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b/>
          <w:bCs/>
          <w:color w:val="B87333"/>
          <w:sz w:val="20"/>
          <w:szCs w:val="20"/>
        </w:rPr>
        <w:t xml:space="preserve">AURORA · DOCUMENTO DE APOIO</w:t>
      </w:r>
    </w:p>
    <w:p>
      <w:pPr>
        <w:spacing w:before="120"/>
      </w:pPr>
      <w:r>
        <w:rPr>
          <w:rFonts w:ascii="Cambria" w:cs="Cambria" w:eastAsia="Cambria" w:hAnsi="Cambria"/>
          <w:b/>
          <w:bCs/>
          <w:color w:val="0F4C4A"/>
          <w:sz w:val="40"/>
          <w:szCs w:val="40"/>
        </w:rPr>
        <w:t xml:space="preserve">EXRS — o motor por trás do método</w:t>
      </w:r>
    </w:p>
    <w:p>
      <w:pPr>
        <w:spacing w:before="8"/>
      </w:pPr>
      <w:r>
        <w:rPr>
          <w:color w:val="1C7C74"/>
          <w:sz w:val="23"/>
          <w:szCs w:val="23"/>
        </w:rPr>
        <w:t xml:space="preserve">Leitura de apoio à reunião de sócios · validar método e fosso</w:t>
      </w:r>
    </w:p>
    <w:p>
      <w:pPr>
        <w:pBdr>
          <w:bottom w:val="single" w:color="B87333" w:sz="8" w:space="6"/>
        </w:pBdr>
        <w:spacing w:before="180"/>
      </w:pPr>
    </w:p>
    <w:p>
      <w:pPr>
        <w:spacing w:after="150" w:line="300"/>
      </w:pPr>
      <w:r>
        <w:rPr>
          <w:b w:val="false"/>
          <w:bCs w:val="false"/>
          <w:i/>
          <w:iCs/>
          <w:color w:val="2A2E2D"/>
          <w:sz w:val="22"/>
          <w:szCs w:val="22"/>
        </w:rPr>
        <w:t xml:space="preserve">Este documento acompanha o deck da reunião. O deck conduz a conversa; aqui fica o detalhe que não cabe no slide — o que o motor é, como foi testado, o que ele achou (com os números), por que a concorrência não consegue copiar o modelo, e o que ainda é fato medido versus cenário a validar. A leitura prévia deixa os três sócios no mesmo ponto antes da reunião.</w:t>
      </w:r>
    </w:p>
    <w:p>
      <w:pPr>
        <w:pStyle w:val="Heading1"/>
      </w:pPr>
      <w:r>
        <w:t xml:space="preserve">1 · O problema: o que o mercado chama de diagnóstico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padrão da concorrência de volume (Berry e similares) é conhecido: uma call gratuita de 30 minutos em que um pré-vendas e um “especialista” apontam o óbvio — controle o estoque, venda mais, faça tráfego pago. Em seguida, 3 a 5 reuniões olhando anúncios, um pacote de planilhas e templates, e o upsell: para executar o tráfego, contrate um serviço à parte, mais R$ 2.000 por mês. O empresário paga para sair com dever de casa, não com respostas.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ponto cego é estrutural: é impossível saber a verdade de uma loja — e principalmente da equipe de vendas — por uma conversa rápida por vídeo. O que corrói o caixa (estoque parado, margem negativa, cliente sumindo em silêncio) não aparece numa call; aparece no dado que a loja já tem e ninguém lê.</w:t>
      </w:r>
    </w:p>
    <w:p>
      <w:pPr>
        <w:pStyle w:val="Heading1"/>
      </w:pPr>
      <w:r>
        <w:t xml:space="preserve">2 · A tese: auditoria de dado morto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Consultoria de palco olha para o que a loja quer vender. Nós olhamos para o dinheiro que a loja já perdeu na gaveta. O raio-x é pago e entrega o resultado dos exames — não um diagnóstico grátis que é apenas uma reunião de venda disfarçada. Essa escolha é, ao mesmo tempo, o método (o que faz o trabalho valer) e o fosso (o que a concorrência não consegue imitar sem se ferir — ver seção 6).</w:t>
      </w:r>
    </w:p>
    <w:p>
      <w:pPr>
        <w:pStyle w:val="Heading1"/>
      </w:pPr>
      <w:r>
        <w:t xml:space="preserve">3 · O que é o EXRS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EXRS é um motor híbrido que lê o histórico da loja e devolve o retrato honesto do negócio. Ele combina duas camadas:</w:t>
      </w:r>
    </w:p>
    <w:p>
      <w:pPr>
        <w:spacing w:after="150" w:line="300"/>
      </w:pPr>
      <w:r>
        <w:rPr>
          <w:b/>
          <w:bCs/>
          <w:color w:val="0F4C4A"/>
          <w:sz w:val="22"/>
          <w:szCs w:val="22"/>
        </w:rPr>
        <w:t xml:space="preserve">Camada determinística (regras e fórmulas, Python/Node). </w:t>
      </w:r>
      <w:r>
        <w:rPr>
          <w:sz w:val="22"/>
          <w:szCs w:val="22"/>
        </w:rPr>
        <w:t xml:space="preserve">Mesmo dado, mesmo laudo — reproduzível e auditável. Churn, margem real, estoque morto, GMROI, RFM: cada indicador tem entrada, saída e critério de aceitação definidos. Não há espaço para achismo.</w:t>
      </w:r>
    </w:p>
    <w:p>
      <w:pPr>
        <w:spacing w:after="150" w:line="300"/>
      </w:pPr>
      <w:r>
        <w:rPr>
          <w:b/>
          <w:bCs/>
          <w:color w:val="B87333"/>
          <w:sz w:val="22"/>
          <w:szCs w:val="22"/>
        </w:rPr>
        <w:t xml:space="preserve">Camada probabilística (IA, leitura de padrão e linguagem). </w:t>
      </w:r>
      <w:r>
        <w:rPr>
          <w:sz w:val="22"/>
          <w:szCs w:val="22"/>
        </w:rPr>
        <w:t xml:space="preserve">Interpreta contexto, prioriza a fila do dia e traduz o laudo em ação — onde a regra sozinha não chega. O humano decide; a máquina tira o trabalho braçal.</w:t>
      </w:r>
    </w:p>
    <w:p>
      <w:pPr>
        <w:pBdr>
          <w:left w:val="single" w:color="B87333" w:sz="18" w:space="12"/>
        </w:pBdr>
        <w:shd w:fill="F7EEE4" w:val="clear"/>
        <w:spacing w:after="160" w:before="60" w:line="300"/>
      </w:pPr>
      <w:r>
        <w:rPr>
          <w:i/>
          <w:iCs/>
          <w:color w:val="5A4632"/>
          <w:sz w:val="21"/>
          <w:szCs w:val="21"/>
        </w:rPr>
        <w:t xml:space="preserve">A régua é clara: determinístico onde o risco é regrável e de baixo risco; humano onde é relacional, alto risco ou inédito. É exatamente essa disciplina que a “IA de prateleira” da concorrência — um wrapper de LLM gerando relatório em massa — não tem.</w:t>
      </w:r>
    </w:p>
    <w:p>
      <w:pPr>
        <w:pStyle w:val="Heading1"/>
      </w:pPr>
      <w:r>
        <w:t xml:space="preserve">4 · Como testamos o motor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Não validamos o EXRS em dado limpo — fixture limpa dá falsa confiança. Rodamos numa rede de óticas simulada, com o formato e o ruído do mundo real, seguindo três disciplinas: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Dado realista: vendas, clientes, estoque, compras e financeiro de uma rede — com a bagunça que toda loja tem.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Gabarito + semente fixa: plantamos anomalias conhecidas e versionadas. Sabemos exatamente o que o motor deveria achar — e o que NÃO deveria.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Teste no ruído: falso positivo é pior que um achado faltando. O motor precisa distinguir problema real de variação normal.</w:t>
      </w:r>
    </w:p>
    <w:p>
      <w:pPr>
        <w:spacing w:after="150" w:line="300"/>
      </w:pPr>
      <w:r>
        <w:rPr>
          <w:b/>
          <w:bCs/>
          <w:sz w:val="22"/>
          <w:szCs w:val="22"/>
        </w:rPr>
        <w:t xml:space="preserve">Resultado que vale destacar na reunião: </w:t>
      </w:r>
      <w:r>
        <w:rPr>
          <w:sz w:val="22"/>
          <w:szCs w:val="22"/>
        </w:rPr>
        <w:t xml:space="preserve">rodar no ruído expôs 2 bugs reais de produção que uma fixture limpa teria escondido — corrigidos antes de qualquer cliente ver. O rigor do teste é, ele próprio, parte do produto.</w:t>
      </w:r>
    </w:p>
    <w:p>
      <w:pPr>
        <w:pStyle w:val="Heading1"/>
      </w:pPr>
      <w:r>
        <w:t xml:space="preserve">5 · O que o motor achou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Os achados abaixo saíram da rede simulada, conferidos contra o gabarito. A última coluna separa o que é fato medido do que ainda é cenário a calibrar — disciplina que carregamos para o cliente real também.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0"/>
        <w:gridCol w:w="3550"/>
        <w:gridCol w:w="1226"/>
      </w:tblGrid>
      <w:tr>
        <w:trPr>
          <w:tblHeader/>
        </w:trPr>
        <w:tc>
          <w:tcPr>
            <w:tcW w:type="dxa" w:w="2500"/>
            <w:shd w:fill="0F4C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Sinal</w:t>
            </w:r>
          </w:p>
        </w:tc>
        <w:tc>
          <w:tcPr>
            <w:tcW w:type="dxa" w:w="1750"/>
            <w:shd w:fill="0F4C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Onde</w:t>
            </w:r>
          </w:p>
        </w:tc>
        <w:tc>
          <w:tcPr>
            <w:tcW w:type="dxa" w:w="3550"/>
            <w:shd w:fill="0F4C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1226"/>
            <w:shd w:fill="0F4C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Churn invisível (A3)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Clientes C-017..021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5 clientes parados há ~300–360 dias (ciclo da loja ~180). Perda ≈ 5 × ticket médio (R$ 694,85)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Campeões (RFM A2)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Clientes C-001..010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10 clientes de alta recência, frequência e valor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Receita latente (A4)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Clientes C-030..059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Attach de solar da rede ≈ 65,8%. A base que nunca leva solar é venda latente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/ cenário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Estoque morto (B4)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SKUs DEAD-001..012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12 SKUs sem movimento ~250 dias. Capital preso = R$ 28.800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Prejuízo oculto (B5)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SKUs NEG-001..003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Vendidos a R$ 200, custo R$ 190 → margem negativa antes de imposto/comissão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GMROI baixo (B2)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Armação premium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Margem sobre estoque &lt; 1 (destrói valor) vs. categoria lente saudável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Direcional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Vazamento de tendência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SKU AG-12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Queda ~34% no 2º trimestre de 2025 — detectada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Sazonalidade (falso +)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SKU SOLAR-SEASONAL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Pico dez–fev todo ano; a queda de março NÃO é anomalia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Rejeição correta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Lobo solitário (SEV)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Vendedor V-03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~60% das vendas sem cliente identificado → captura baixa; penalizado apesar de converter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Completude (A1)</w:t>
            </w:r>
          </w:p>
        </w:tc>
        <w:tc>
          <w:tcPr>
            <w:tcW w:type="dxa" w:w="1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Aba Clientes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~88% com telefone/CPF (&gt; 30%) → motor de recompra roda normalmente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E2D"/>
                <w:sz w:val="17"/>
                <w:szCs w:val="17"/>
              </w:rPr>
              <w:t xml:space="preserve">Fato medido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 · Metas que nascem da própria loja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O maior trunfo do método: nunca trazemos meta pronta de manual genérico ou da Avenida Paulista. Cada alvo nasce do dado da própria loja.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Ticket Ideal (TMI): o alvo de cada venda vem dos melhores dias da própria loja, e é justo pelo mix — quem atende multifocal (V-04) tem meta diferente de quem atende grau simples (V-02).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Derive, não chute: onde há dado, o número é derivado; onde é projeção de futuro, é assumido e rotulado como cenário ajustável. Nunca fingimos que derivamos um palpite.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Justiça na equipe: o vendedor que converte mas não cadastra (o lobo solitário) é penalizado apesar de vender — porque deixa a loja cega para a recompra.</w:t>
      </w:r>
    </w:p>
    <w:p>
      <w:pPr>
        <w:pStyle w:val="Heading1"/>
      </w:pPr>
      <w:r>
        <w:t xml:space="preserve">7 · O fosso: por que a concorrência não copia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A tese estratégica é que, para atacar o nosso modelo, a concorrência de volume teria que destruir o próprio. O mecanismo é causal, não retórico:</w:t>
      </w:r>
    </w:p>
    <w:p>
      <w:pPr>
        <w:spacing w:after="150" w:line="300"/>
      </w:pPr>
      <w:r>
        <w:rPr>
          <w:b/>
          <w:bCs/>
          <w:sz w:val="22"/>
          <w:szCs w:val="22"/>
        </w:rPr>
        <w:t xml:space="preserve">O diagnóstico grátis é parede de carga deles. </w:t>
      </w:r>
      <w:r>
        <w:rPr>
          <w:sz w:val="22"/>
          <w:szCs w:val="22"/>
        </w:rPr>
        <w:t xml:space="preserve">É a máquina de leads que justifica os 24% de royalty distribuídos por 170–200 franqueados — a promessa “nós geramos os leads”. Cobrar pelo raio-x mataria o volume de leads gratuitos, que é o próprio produto que o franqueado compra.</w:t>
      </w:r>
    </w:p>
    <w:p>
      <w:pPr>
        <w:spacing w:after="150" w:line="300"/>
      </w:pPr>
      <w:r>
        <w:rPr>
          <w:b/>
          <w:bCs/>
          <w:sz w:val="22"/>
          <w:szCs w:val="22"/>
        </w:rPr>
        <w:t xml:space="preserve">A economia não aguenta a profundidade. </w:t>
      </w:r>
      <w:r>
        <w:rPr>
          <w:sz w:val="22"/>
          <w:szCs w:val="22"/>
        </w:rPr>
        <w:t xml:space="preserve">Margem apertada e modelo de volume exigem custo por cliente microscópico: uma call de 30 minutos online, não uma auditoria que fala com a equipe de vendas e escava o dado morto. Para fazer o que fazemos, teriam que abandonar a estrutura de custo de volume — ou seja, matar o próprio negócio.</w:t>
      </w:r>
    </w:p>
    <w:p>
      <w:pPr>
        <w:pBdr>
          <w:left w:val="single" w:color="B87333" w:sz="18" w:space="12"/>
        </w:pBdr>
        <w:shd w:fill="F7EEE4" w:val="clear"/>
        <w:spacing w:after="160" w:before="60" w:line="300"/>
      </w:pPr>
      <w:r>
        <w:rPr>
          <w:i/>
          <w:iCs/>
          <w:color w:val="5A4632"/>
          <w:sz w:val="21"/>
          <w:szCs w:val="21"/>
        </w:rPr>
        <w:t xml:space="preserve">Honestidade intelectual (para não vendermos além da conta): esse fosso protege contra o modelo instalado dos incumbentes — não contra um entrante novo, sem a bagagem da franquia, que poderia copiar a jogada. Vendemos a tese com essa precisão.</w:t>
      </w:r>
    </w:p>
    <w:p>
      <w:pPr>
        <w:pStyle w:val="Heading1"/>
      </w:pPr>
      <w:r>
        <w:t xml:space="preserve">8 · A disciplina: fato medido versus cenário assumido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Um princípio atravessa todo o material e deve atravessar cada laudo entregue ao cliente: separar o que foi medido do que foi assumido. O churn, o estoque morto e a margem negativa são fatos medidos, direto do dado. A conversão da receita latente — quanto daquele attach vira venda — é um cenário ajustável, calibrado no piloto, nunca vendido como promessa fechada. Essa honestidade é o que sustenta a confiança que a concorrência não constrói.</w:t>
      </w:r>
    </w:p>
    <w:p>
      <w:pPr>
        <w:pStyle w:val="Heading1"/>
      </w:pPr>
      <w:r>
        <w:t xml:space="preserve">9 · Critério de pronto para a demo</w:t>
      </w:r>
    </w:p>
    <w:p>
      <w:pPr>
        <w:spacing w:after="150" w:line="300"/>
      </w:pPr>
      <w:r>
        <w:rPr>
          <w:b w:val="false"/>
          <w:bCs w:val="false"/>
          <w:i w:val="false"/>
          <w:iCs w:val="false"/>
          <w:color w:val="2A2E2D"/>
          <w:sz w:val="22"/>
          <w:szCs w:val="22"/>
        </w:rPr>
        <w:t xml:space="preserve">Para a reunião, o EXRS precisa demonstrar, ao vivo ou em laudo, os itens abaixo — que são também o checklist de finalização do motor: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Ingerir a planilha da rede (multi-aba) e rodar as séries A (cliente) e B (estoque) sem intervenção manual.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Reproduzir os achados da seção 5 contra o gabarito — mesmos números, de forma reproduzível.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Rejeitar o falso positivo de sazonalidade (SOLAR-SEASONAL) — provar que distingue sazonal de anomalia.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Emitir o laudo separando fato medido de cenário assumido.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Rodar com semente fixa: mesma entrada, mesma saída (a prova de determinismo).</w:t>
      </w:r>
    </w:p>
    <w:p>
      <w:pPr>
        <w:pStyle w:val="Heading1"/>
      </w:pPr>
      <w:r>
        <w:t xml:space="preserve">10 · O que pedimos desta reunião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Validar o método e o fosso: confirmar que auditoria de dado real + metas biológicas + retenção sustentam a tese — e que o EXRS já prova isso na prática.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color w:val="2A2E2D"/>
          <w:sz w:val="21"/>
          <w:szCs w:val="21"/>
        </w:rPr>
        <w:t xml:space="preserve">Definir o piloto: escolher a primeira ótica, o prazo e o critério de sucesso, para provar valor em uma loja antes de levar à rede.</w:t>
      </w:r>
    </w:p>
    <w:p>
      <w:pPr>
        <w:spacing w:after="150" w:line="300"/>
      </w:pPr>
      <w:r>
        <w:rPr>
          <w:b w:val="false"/>
          <w:bCs w:val="false"/>
          <w:i/>
          <w:iCs/>
          <w:color w:val="0F4C4A"/>
          <w:sz w:val="22"/>
          <w:szCs w:val="22"/>
        </w:rPr>
        <w:t xml:space="preserve">Não trazemos uma fórmula pronta. Trazemos um motor que lê a verdade da loja — e uma forma de entrar no mercado que a concorrência não consegue copiar sem se ferir.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Aurora · EXRS — documento de apoio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E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Cambria" w:cs="Cambria" w:eastAsia="Cambria" w:hAnsi="Cambria"/>
      <w:b/>
      <w:bCs/>
      <w:color w:val="0F4C4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2026-07-13T15:24:04.923Z</dcterms:created>
  <dcterms:modified xsi:type="dcterms:W3CDTF">2026-07-13T15:24:04.923Z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