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INTELIGÊNCIA COMERCIAL</w:t>
      </w:r>
    </w:p>
    <w:p>
      <w:pPr>
        <w:spacing w:before="120"/>
      </w:pPr>
      <w:r>
        <w:rPr>
          <w:b/>
          <w:bCs/>
          <w:color w:val="1F3A5F"/>
          <w:sz w:val="42"/>
          <w:szCs w:val="42"/>
        </w:rPr>
        <w:t xml:space="preserve">Modelos Comerciais 2026</w:t>
      </w:r>
    </w:p>
    <w:p>
      <w:pPr>
        <w:spacing w:before="10"/>
      </w:pPr>
      <w:r>
        <w:rPr>
          <w:b/>
          <w:bCs/>
          <w:color w:val="1F3A5F"/>
          <w:sz w:val="24"/>
          <w:szCs w:val="24"/>
        </w:rPr>
        <w:t xml:space="preserve">B2C · B2B · Indústria · Governo — e como o motor Elysian se adapta a cada frente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O estado da arte comercial em julho de 2026, por segmento — com o mapeamento de como a mesma engenharia determinística se reconfigura para cada perfil de cliente.</w:t>
      </w:r>
    </w:p>
    <w:p>
      <w:pPr>
        <w:spacing w:before="300"/>
      </w:pPr>
      <w:r>
        <w:rPr>
          <w:color w:val="3A3A3A"/>
          <w:sz w:val="20"/>
          <w:szCs w:val="20"/>
        </w:rPr>
        <w:t xml:space="preserve">Briefing para o Gestor Comercial · Julho 2026 · fontes ao final</w:t>
      </w:r>
    </w:p>
    <w:p>
      <w:r>
        <w:br w:type="page"/>
      </w:r>
    </w:p>
    <w:p>
      <w:pPr>
        <w:pStyle w:val="Heading1"/>
      </w:pPr>
      <w:r>
        <w:t xml:space="preserve">Como ler este briefing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Os quatro segmentos não competem entre si — eles obedecem a físicas diferentes. O que ganha o negócio no B2C (conveniência e algoritmo) é o oposto do que ganha no governo (conformidade e disputa). Antes dos modelos, vale fixar os cinco eixos que os diferenciam, porque é neles que o motor Elysian se reconfigura: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Ciclo — </w:t>
      </w:r>
      <w:r>
        <w:rPr>
          <w:color w:val="3A3A3A"/>
          <w:sz w:val="21"/>
          <w:szCs w:val="21"/>
        </w:rPr>
        <w:t xml:space="preserve">de horas (B2C) a meses/anos (indústria, governo).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Toque — </w:t>
      </w:r>
      <w:r>
        <w:rPr>
          <w:color w:val="3A3A3A"/>
          <w:sz w:val="21"/>
          <w:szCs w:val="21"/>
        </w:rPr>
        <w:t xml:space="preserve">de zero-humano/self-service a alto-toque consultivo.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O que ganha o negócio — </w:t>
      </w:r>
      <w:r>
        <w:rPr>
          <w:color w:val="3A3A3A"/>
          <w:sz w:val="21"/>
          <w:szCs w:val="21"/>
        </w:rPr>
        <w:t xml:space="preserve">conveniência/preço, confiança/prova, especificação técnica, ou conformidade legal.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Recorrência — </w:t>
      </w:r>
      <w:r>
        <w:rPr>
          <w:color w:val="3A3A3A"/>
          <w:sz w:val="21"/>
          <w:szCs w:val="21"/>
        </w:rPr>
        <w:t xml:space="preserve">onde mora a margem: retenção, expansão (NRR), contrato de fornecimento ou ata de registro de preços.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Quem decide — </w:t>
      </w:r>
      <w:r>
        <w:rPr>
          <w:color w:val="3A3A3A"/>
          <w:sz w:val="21"/>
          <w:szCs w:val="21"/>
        </w:rPr>
        <w:t xml:space="preserve">o consumidor, um comitê de compra, um comprador técnico, ou um pregoeiro/edital.</w:t>
      </w:r>
    </w:p>
    <w:p>
      <w:r>
        <w:br w:type="page"/>
      </w:r>
    </w:p>
    <w:p>
      <w:pPr>
        <w:pStyle w:val="Heading1"/>
      </w:pPr>
      <w:r>
        <w:t xml:space="preserve">Quadro comparativo — o modelo dominante em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500"/>
        <w:gridCol w:w="2600"/>
        <w:gridCol w:w="2576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 dominante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Ciclo &amp; toque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mora a margem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B2C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Sistema de comércio integrado: omnicanal + social commerce + retail media + DTC, orquestrado por IA e dado próprio.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Curto, baixo toque, movido a algoritmo.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Retenção: fidelidade e assinatura (omnicanal = +30% de LTV).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B2B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GTM híbrido: self-serve (PLG) + vendas (SLG) + ecossistema (ELG), escolhido pelo ticket (ACV) e complexidade.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Médio, toque variável.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Expansão / NRR (o lado direito do bowtie).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Indústria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Key-account consultivo + canal/distribuição, migrando para servitização (Equipment-as-a-Service).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Longo, alto toque técnico.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Contrato de fornecimento recorrente; serviço cresce ~40% mais rápido que produto.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Governo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Licitação sob a Lei 14.133/2021: pregão eletrônico, registro de preços, via PNCP/Compras.gov.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Regrado pelo edital; ciclo do processo.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Ata de registro de preços e gestão do contrato.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B2C — o sistema de comércio integrado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Em 2026 o vencedor no B2C não é um canal, é um sistema que costura descoberta social, personalização por IA, entrega confiável e dado de primeira mão numa experiência única. Os pilares atuais: omnicanal (73% dos compradores usam múltiplos canais; o omnicanal gasta 1,5x mais e tem 30% mais LTV), social commerce (mercado rumo a US$ 100B+ em 2026, puxado por TikTok Shop), retail media (redes de mídia de varejo rumo a US$ 140B) e DTC (mais de 70% dos consumidores já compraram de marca DTC).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consequência para o Gestor Comercial: no B2C a aquisição está cara (pressão de CAC), então a margem migrou para a retenção — fidelidade, assinatura e personalização. O jogo é de volume, dado e algoritmo; o humano entra pouco e por exceção.</w:t>
      </w:r>
    </w:p>
    <w:p>
      <w:pPr>
        <w:pStyle w:val="Heading1"/>
      </w:pPr>
      <w:r>
        <w:t xml:space="preserve">2. B2B — o GTM híbrido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guerra “PLG vs. vendas” acabou empatada: em 2026 as empresas mais competitivas rodam modelos híbridos que combinam a eficiência de aquisição do self-serve com a profundidade de receita das vendas. A regra prática é pelo ticket: abaixo de ~US$ 5 mil de ACV, product-led; acima de ~US$ 50 mil, sales-led; a faixa intermediária (US$ 10–50 mil) é onde o híbrido vence por padrão.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Duas forças completam o quadro: o ecossistema (ELG) — negócios influenciados por parceiro fecham ~27% mais rápido e são ~60% maiores — e a infraestrutura de ativação (analytics de comportamento que sinaliza expansão antes da conta estagnar). É o território natural do SPICED/MEDDIC e do bowtie.</w:t>
      </w:r>
    </w:p>
    <w:p>
      <w:pPr>
        <w:pStyle w:val="Heading1"/>
      </w:pPr>
      <w:r>
        <w:t xml:space="preserve">3. Indústria — key-account consultivo, migrando para servitização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modelo real e dominante na indústria continua sendo a venda técnica consultiva de key-account somada ao canal/distribuição: ciclo longo, especificação (spec-in), confiança técnica e contrato de fornecimento. É o mundo de uma metalúrgica como a AçoForte.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fronteira é a servitização / Equipment-as-a-Service — vender resultado/serviço em vez de só o produto físico. O prêmio é real (a receita de serviço cresce ~40% mais rápido que a de equipamento, com margem ~10 pontos maior, e 90% das organizações best-in-class já implementam alguma servitização), mas a adoção plena de EaaS ainda é embrionária (&lt;1% das vendas de equipamento), crescendo ~11% ao ano. Leitura para o Gestor: mantenha o key-account consultivo como base e comece a anexar camadas de serviço recorrente — é onde a margem e a previsibilidade crescem.</w:t>
      </w:r>
    </w:p>
    <w:p>
      <w:pPr>
        <w:pStyle w:val="Heading1"/>
      </w:pPr>
      <w:r>
        <w:t xml:space="preserve">4. Governo (Brasil) — a venda regrada pela Lei 14.133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Vender para o governo em 2026 é uma física à parte: quem escreve as regras é a lei, não o vendedor. Desde 2024, toda licitação segue exclusivamente a Lei 14.133/2021. As modalidades são concorrência, concurso, leilão, pregão e diálogo competitivo — escolhidas pelo tipo de objeto, não mais só pelo valor. O pregão eletrônico (via Compras.gov.br) é a modalidade mais usada para bens e serviços comuns, e o Sistema de Registro de Preços (SRP/atas) gera volume para contratações futuras.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operação gira em torno do PNCP (Portal Nacional de Contratações Públicas) para achar editais, do cadastro no SICAF e da regularidade fiscal. A novidade de 2026 é o Decreto nº 12.807/2025 (em vigor desde 1º/1/2026), que corrigiu os limites financeiros de dispensa e de grande vulto. Leitura para o Gestor: aqui não se “vende”, se qualifica, se cumpre o edital e se disputa — e a inteligência competitiva é monitorar editais e escolher quais disputas valem a pena.</w:t>
      </w:r>
    </w:p>
    <w:p>
      <w:pPr>
        <w:pBdr>
          <w:left w:val="single" w:color="8A2B2B" w:sz="18" w:space="10"/>
        </w:pBdr>
        <w:shd w:fill="EEF2F6" w:val="clear"/>
        <w:spacing w:after="170" w:before="80" w:line="278"/>
      </w:pPr>
      <w:r>
        <w:rPr>
          <w:b/>
          <w:bCs/>
          <w:color w:val="8A2B2B"/>
          <w:sz w:val="21"/>
          <w:szCs w:val="21"/>
        </w:rPr>
        <w:t xml:space="preserve">Aviso  </w:t>
      </w:r>
      <w:r>
        <w:rPr>
          <w:color w:val="333333"/>
          <w:sz w:val="21"/>
          <w:szCs w:val="21"/>
        </w:rPr>
        <w:t xml:space="preserve">Regras de licitação e limites mudam por decreto e por ente (União, estados, municípios). Trate os pontos legais acima como orientação de partida e confirme o edital específico e a norma vigente antes de cada disputa.</w:t>
      </w:r>
    </w:p>
    <w:p>
      <w:r>
        <w:br w:type="page"/>
      </w:r>
    </w:p>
    <w:p>
      <w:pPr>
        <w:pStyle w:val="Heading1"/>
      </w:pPr>
      <w:r>
        <w:t xml:space="preserve">5. Como o motor Elysian se adapta a cada frente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Esta é a razão de mapear os quatro modelos: o motor determinístico (Decode → Roteamento → HITL → Observabilidade) é o mesmo — muda o que vira sinal, qual camada domina e onde o humano se posiciona. É assim que a base construída para produtos se modela para outras frentes e perfis.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350"/>
        <w:gridCol w:w="2550"/>
        <w:gridCol w:w="2776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 dominante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Trilha / motion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o humano decide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B2C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Camadas 1 e 3 (automação + observabilidade).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Trilha Balcão é o padrão; máquina fecha o simples.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HITL leve, só na exceção; foco em churn e RFM.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B2B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Equilíbrio das três camadas.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Dupla Trilha quase 1:1: Balcão = PLG, Consultiva = SLG, ecossistema = nearbound.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(SPICED/MEDDIC); sinais de expansão.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Indústria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Camada 2 (HITL) pesada.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Consultiva dominante (key-account); base pode ter balcão.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Arquiteto / key-account; o “porquê” técnico e o spec-in.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Governo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 regra é externa — o edital É o determinismo.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Trilha própria de licitação (qualificar → disputar).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Jurídico/compliance; a Razão Viva vira “vale disputar este edital?”.</w:t>
            </w:r>
          </w:p>
        </w:tc>
      </w:tr>
    </w:tbl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leitura de gestor que amarra tudo  </w:t>
      </w:r>
      <w:r>
        <w:rPr>
          <w:color w:val="333333"/>
          <w:sz w:val="21"/>
          <w:szCs w:val="21"/>
        </w:rPr>
        <w:t xml:space="preserve">Quase nenhuma PME é pura. Uma metalúrgica vende B2B de key-account no topo, balcão quase-B2C na base, e às vezes disputa um pregão. O ofício do Gestor Comercial não é escolher um modelo — é reconhecer a motion dominante de cada camada da carteira e configurar o motor de acordo. A pirâmide de nichos e a dupla trilha já são exatamente isso: o motor deixando cada cliente ser atendido pela física certa.</w:t>
      </w:r>
    </w:p>
    <w:p>
      <w:pPr>
        <w:pStyle w:val="Heading1"/>
      </w:pPr>
      <w:r>
        <w:t xml:space="preserve">Fontes consultadas (julho 2026)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B2B GTM Playbook 2026 — </w:t>
      </w:r>
      <w:hyperlink w:history="1" r:id="rId7tmzlr8abggu1g6c0x88h">
        <w:r>
          <w:rPr>
            <w:rStyle w:val="Hyperlink"/>
            <w:sz w:val="19"/>
            <w:szCs w:val="19"/>
          </w:rPr>
          <w:t xml:space="preserve">https://www.digitalapplied.com/blog/b2b-go-to-market-gtm-playbook-2026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PLG vs Sales-Led 2026 (Jimo) — </w:t>
      </w:r>
      <w:hyperlink w:history="1" r:id="rIdze5lyniphuxoeblxwpuom">
        <w:r>
          <w:rPr>
            <w:rStyle w:val="Hyperlink"/>
            <w:sz w:val="19"/>
            <w:szCs w:val="19"/>
          </w:rPr>
          <w:t xml:space="preserve">https://jimo.ai/blog/product-led-growth-vs-sales-led-growth-guide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B2C Trends 2026 (StartUs Insights) — </w:t>
      </w:r>
      <w:hyperlink w:history="1" r:id="rIdr56xlvjqxftomyppoc24g">
        <w:r>
          <w:rPr>
            <w:rStyle w:val="Hyperlink"/>
            <w:sz w:val="19"/>
            <w:szCs w:val="19"/>
          </w:rPr>
          <w:t xml:space="preserve">https://www.startus-insights.com/innovators-guide/b2c-trends/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Omnichannel Retail 2026 (BigCommerce) — </w:t>
      </w:r>
      <w:hyperlink w:history="1" r:id="rIda3f43wpdwr_iwl59ftvlx">
        <w:r>
          <w:rPr>
            <w:rStyle w:val="Hyperlink"/>
            <w:sz w:val="19"/>
            <w:szCs w:val="19"/>
          </w:rPr>
          <w:t xml:space="preserve">https://www.bigcommerce.com/articles/omnichannel-retail/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OEM Servitization / EaaS (IoT Analytics) — </w:t>
      </w:r>
      <w:hyperlink w:history="1" r:id="rIdlwpgo6nwao9cm38aiky7u">
        <w:r>
          <w:rPr>
            <w:rStyle w:val="Hyperlink"/>
            <w:sz w:val="19"/>
            <w:szCs w:val="19"/>
          </w:rPr>
          <w:t xml:space="preserve">https://iot-analytics.com/oem-servitization-strategies-equipment-as-a-service/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Industrial Servitization (PTC) — </w:t>
      </w:r>
      <w:hyperlink w:history="1" r:id="rId3fdj4z9voafaohp7n6xtb">
        <w:r>
          <w:rPr>
            <w:rStyle w:val="Hyperlink"/>
            <w:sz w:val="19"/>
            <w:szCs w:val="19"/>
          </w:rPr>
          <w:t xml:space="preserve">https://www.ptc.com/en/blogs/industrials/industrial-servitization-strategic-path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Como vender para o governo 2026 (Effecti) — </w:t>
      </w:r>
      <w:hyperlink w:history="1" r:id="rIdbwywhvkz95ojvs0xdv0tv">
        <w:r>
          <w:rPr>
            <w:rStyle w:val="Hyperlink"/>
            <w:sz w:val="19"/>
            <w:szCs w:val="19"/>
          </w:rPr>
          <w:t xml:space="preserve">https://effecti.com.br/como-vender-para-o-governo/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Nova Lei de Licitações — Portal de Compras (gov.br) — </w:t>
      </w:r>
      <w:hyperlink w:history="1" r:id="rId8hclpxbysd08ow_gsi6xl">
        <w:r>
          <w:rPr>
            <w:rStyle w:val="Hyperlink"/>
            <w:sz w:val="19"/>
            <w:szCs w:val="19"/>
          </w:rPr>
          <w:t xml:space="preserve">https://www.gov.br/compras/pt-br/nllc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3A3A"/>
          <w:sz w:val="19"/>
          <w:szCs w:val="19"/>
        </w:rPr>
        <w:t xml:space="preserve">Nova Lei de Licitações 2026 / limites (Conlicitação) — </w:t>
      </w:r>
      <w:hyperlink w:history="1" r:id="rIdex028v56gebncu59agq6b">
        <w:r>
          <w:rPr>
            <w:rStyle w:val="Hyperlink"/>
            <w:sz w:val="19"/>
            <w:szCs w:val="19"/>
          </w:rPr>
          <w:t xml:space="preserve">https://conlicitacao.com.br/nova-lei-de-licitacoes-2026/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Briefing comercial · confidencial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Modelos Comerciais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tmzlr8abggu1g6c0x88h" Type="http://schemas.openxmlformats.org/officeDocument/2006/relationships/hyperlink" Target="https://www.digitalapplied.com/blog/b2b-go-to-market-gtm-playbook-2026" TargetMode="External"/><Relationship Id="rIdze5lyniphuxoeblxwpuom" Type="http://schemas.openxmlformats.org/officeDocument/2006/relationships/hyperlink" Target="https://jimo.ai/blog/product-led-growth-vs-sales-led-growth-guide" TargetMode="External"/><Relationship Id="rIdr56xlvjqxftomyppoc24g" Type="http://schemas.openxmlformats.org/officeDocument/2006/relationships/hyperlink" Target="https://www.startus-insights.com/innovators-guide/b2c-trends/" TargetMode="External"/><Relationship Id="rIda3f43wpdwr_iwl59ftvlx" Type="http://schemas.openxmlformats.org/officeDocument/2006/relationships/hyperlink" Target="https://www.bigcommerce.com/articles/omnichannel-retail/" TargetMode="External"/><Relationship Id="rIdlwpgo6nwao9cm38aiky7u" Type="http://schemas.openxmlformats.org/officeDocument/2006/relationships/hyperlink" Target="https://iot-analytics.com/oem-servitization-strategies-equipment-as-a-service/" TargetMode="External"/><Relationship Id="rId3fdj4z9voafaohp7n6xtb" Type="http://schemas.openxmlformats.org/officeDocument/2006/relationships/hyperlink" Target="https://www.ptc.com/en/blogs/industrials/industrial-servitization-strategic-path" TargetMode="External"/><Relationship Id="rIdbwywhvkz95ojvs0xdv0tv" Type="http://schemas.openxmlformats.org/officeDocument/2006/relationships/hyperlink" Target="https://effecti.com.br/como-vender-para-o-governo/" TargetMode="External"/><Relationship Id="rId8hclpxbysd08ow_gsi6xl" Type="http://schemas.openxmlformats.org/officeDocument/2006/relationships/hyperlink" Target="https://www.gov.br/compras/pt-br/nllc" TargetMode="External"/><Relationship Id="rIdex028v56gebncu59agq6b" Type="http://schemas.openxmlformats.org/officeDocument/2006/relationships/hyperlink" Target="https://conlicitacao.com.br/nova-lei-de-licitacoes-2026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2026-07-07T11:14:56.042Z</dcterms:created>
  <dcterms:modified xsi:type="dcterms:W3CDTF">2026-07-07T11:14:56.049Z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