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NICHO ÓTICAS · CLIENTE #1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Playbook Operacional Detalhado</w:t>
      </w:r>
    </w:p>
    <w:p>
      <w:pPr>
        <w:spacing w:before="10"/>
      </w:pPr>
      <w:r>
        <w:rPr>
          <w:b/>
          <w:bCs/>
          <w:color w:val="1F3A5F"/>
          <w:sz w:val="24"/>
          <w:szCs w:val="24"/>
        </w:rPr>
        <w:t xml:space="preserve">Métodos, ferramentas e fórmulas de cada etapa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A camada que faltava no playbook: não “analisar giro e margem”, mas com qual método, qual fórmula e qual ferramenta. A Caixa de Ferramentas Analíticas amarrada à linha do tempo de 30 dias.</w:t>
      </w:r>
    </w:p>
    <w:p>
      <w:pPr>
        <w:spacing w:before="280"/>
      </w:pPr>
      <w:r>
        <w:rPr>
          <w:color w:val="3A3A3A"/>
          <w:sz w:val="20"/>
          <w:szCs w:val="20"/>
        </w:rPr>
        <w:t xml:space="preserve">Rede independente de 3 lojas · proprietário único · Julho 2026 · uso interno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Como usar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playbook original diz o que fazer e quando. Este documento diz como fazer. Ele tem três partes: a Caixa de Ferramentas Analíticas (o coração — cada análise com fórmula), a Linha do Tempo com o “como” (qual ferramenta em cada bloco de dias) e o Cockpit (os KPIs e suas fórmulas).</w:t>
      </w:r>
    </w:p>
    <w:p>
      <w:pPr>
        <w:pBdr>
          <w:left w:val="single" w:color="6E4B2A" w:sz="18" w:space="10"/>
        </w:pBdr>
        <w:shd w:fill="EEF2F6" w:val="clear"/>
        <w:spacing w:after="160" w:before="80" w:line="276"/>
      </w:pPr>
      <w:r>
        <w:rPr>
          <w:b/>
          <w:bCs/>
          <w:color w:val="6E4B2A"/>
          <w:sz w:val="20"/>
          <w:szCs w:val="20"/>
        </w:rPr>
        <w:t xml:space="preserve">Sobre o “nada além do mercado”  </w:t>
      </w:r>
      <w:r>
        <w:rPr>
          <w:color w:val="333333"/>
          <w:sz w:val="20"/>
          <w:szCs w:val="20"/>
        </w:rPr>
        <w:t xml:space="preserve">Individualmente, RFM, GMROI e curva ABC são padrão de varejo — existem. O diferencial da Aurora não está em nenhuma ferramenta isolada; está em três coisas: rodá-las de forma integrada sobre o dado morto da ótica, derivar os parâmetros do próprio cliente (não de benchmark), e ligá-las ao Clube e ao financeiro num motor só. Marquei os twists com “✦ Elysian”. A régua fina do diferencial fica para depois, como combinado.</w:t>
      </w:r>
    </w:p>
    <w:p>
      <w:r>
        <w:br w:type="page"/>
      </w:r>
    </w:p>
    <w:p>
      <w:pPr>
        <w:pStyle w:val="Heading1"/>
      </w:pPr>
      <w:r>
        <w:t xml:space="preserve">Parte A — Caixa de Ferramentas Analíticas</w:t>
      </w:r>
    </w:p>
    <w:p>
      <w:pPr>
        <w:pStyle w:val="Heading2"/>
      </w:pPr>
      <w:r>
        <w:t xml:space="preserve">A. Diagnóstico da base de clientes (o dado morto)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A1 · Completude de Cadastro (pré-requisito)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dá para rodar o motor? quantos clientes têm telefone, CPF e data de exame?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auditar a completude dos campos-chave do cadastro, loja a loja.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% preenchido por campo = registros com o campo ÷ total. Meta operacional de partida: &gt;70% com telefone/WhatsApp.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a taxa de identificação atual e o tamanho do buraco a fechar na Fase 2. Ferramenta: EXRS Oracle (contagem por campo) ou planilha (CONT.VALORES).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A2 · Segmentação RFM (Recência, Frequência, Valor)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quem são os vitais, quem está esfriando e quem já sumiu?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pontuar cada cliente de 1 a 5 em Recência (dias desde a última compra), Frequência (nº de compras) e Monetário (R$ total); cruzar os três.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quintis por eixo → segmentos: Campeões (555), Fiéis, Em risco, Hibernando, Perdidos.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o mapa da base, que alimenta o Mapa da Mina (Estado × Movimento). Ferramenta: EXRS / planilha (PERCENTIL/NTILE).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A3 · Churn Invisível (recompra)  ✦ Elysian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quem passou do ciclo de recompra e não voltou?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derivar o ciclo real de recompra da própria base (mediana do intervalo entre compras dos clientes vitais) em vez de assumir 12 meses genéricos; marcar quem está além do ciclo + tolerância.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cliente em churn se (hoje − última compra) &gt; ciclo_mediano × 1,5. Taxa de recompra = voltaram ÷ elegíveis no período. R$ perdido = nº em churn × ticket médio.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lista nominal de clientes a resgatar + a perda em R$ para o Audit Report. Ferramenta: EXRS Oracle. ✦ A régua do ciclo sai do dado do cliente (Módulo 0), não de benchmark.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A4 · Receita Latente / Attach Rate (share de cesta)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quem comprou parte do “kit ótico” e deixou o resto na mesa?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análise de cesta (market basket): medir a taxa de anexação de cada categoria sobre a base de grau — solar com grau, antirreflexo/lente premium, lente de contato, garantia, segundo par.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attach rate (cat. X) = clientes com X ÷ clientes de grau. R$ latente = (base sem X) × conversão esperada × ticket de X.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a fila de cross-sell priorizada por R$, que vira alvo de recall. Ferramenta: tabela dinâmica das linhas de venda.</w:t>
      </w:r>
    </w:p>
    <w:p>
      <w:pPr>
        <w:pStyle w:val="Heading2"/>
      </w:pPr>
      <w:r>
        <w:t xml:space="preserve">B. Diagnóstico de estoque e margem (o exemplo do giro)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B1 · Giro e Cobertura de Estoque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onde o caixa está parado em prateleira?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calcular o giro e a cobertura por categoria e por SKU.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Giro = CMV do período ÷ estoque médio (a custo). Cobertura (dias) = 365 ÷ giro. Cobertura alta = capital preso.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o ranking de categorias que imobilizam caixa. Ferramenta: EXRS / planilha (estoque + CMV).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B2 · GMROI — a métrica-rainha do estoque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cada real parado em estoque está pagando ou destruindo margem?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GMROI substitui o giro isolado: mede o retorno de margem sobre o investimento em estoque, por categoria e SKU.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GMROI = Margem bruta (R$) ÷ Estoque médio (a custo). GMROI &gt; 1 significa que o estoque se paga; &lt; 1, destrói valor.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o mapa de onde o estoque cria vs. destrói valor — decisão de compra e de mix. Ferramenta: EXRS / planilha.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B3 · Curva ABC (Pareto) cruzada com giro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quais SKUs sustentam a loja e quais são cauda morta?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ordenar SKUs por receita (ou margem) acumulada — A = 80%, B = 15%, C = 5% — e cruzar com o giro.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matriz ABC × giro: A de baixo giro = capital preso em item nobre (alerta); C de alto giro = risco de ruptura em item de cauda.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a política de estoque por classe (o que repor, o que enxugar). Ferramenta: EXRS / planilha.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B4 · Estoque Morto / Lento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quanto caixa está enterrado em armação que não vende?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identificar SKUs sem venda há mais de N meses (N calibrado pela sazonalidade da moda de armação, tipicamente 6–9 meses).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R$ preso = Σ (quantidade × custo) dos SKUs mortos. Índice de estoque morto = valor morto ÷ estoque total.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a lista para queima/devolução/promoção e o caixa a liberar. Ferramenta: EXRS / planilha.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B5 · Margem de Contribuição e o “prejuízo oculto”  ✦ Elysian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existe produto ou serviço sendo vendido no vermelho sem ninguém ver?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calcular a margem de contribuição real por SKU/serviço e comparar preço praticado × tabela × custo atual (o custo da lente subiu; o preço acompanhou?).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MC unitária = preço − custo (lente/armação) − custos variáveis (imposto, comissão, taxa de cartão). Sinalizar MC &lt; 0 ou markup desatualizado.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os itens vendidos no prejuízo — o “soco” do Audit Report (o mesmo padrão da margem oculta industrial). Ferramenta: EXRS / planilha.</w:t>
      </w:r>
    </w:p>
    <w:p>
      <w:pPr>
        <w:pStyle w:val="Heading2"/>
      </w:pPr>
      <w:r>
        <w:t xml:space="preserve">C. Clube e camada financeira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C1 · Unit Economics do Clube de Saúde Visual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por quanto vender a assinatura para ela dar lucro e ainda ser atrativa?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precificar por custo de servir + margem-alvo, provisionando o uso esperado dos benefícios (desconto do 2º par, exame, limpeza).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Mensalidade ≥ custo mensal de servir ÷ (1 − margem-alvo). LTV do assinante = mensalidade × meses médios + margem das compras incrementais. Ponto de equilíbrio = custos fixos do clube ÷ margem por assinante.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o preço do clube, a meta de assinantes e o break-even. Ferramenta: planilha de modelo.</w:t>
      </w:r>
    </w:p>
    <w:p>
      <w:pPr>
        <w:spacing w:after="40" w:before="150"/>
      </w:pPr>
      <w:r>
        <w:rPr>
          <w:b/>
          <w:bCs/>
          <w:color w:val="6E4B2A"/>
          <w:sz w:val="22"/>
          <w:szCs w:val="22"/>
        </w:rPr>
        <w:t xml:space="preserve">C2 · Camada Financeira (crediário / cartão / BaaS)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Pergunta: </w:t>
      </w:r>
      <w:r>
        <w:rPr>
          <w:color w:val="3A3A3A"/>
          <w:sz w:val="20"/>
          <w:szCs w:val="20"/>
        </w:rPr>
        <w:t xml:space="preserve">quanto o financeiro adiciona de ticket, fidelidade e receita — e qual o risco?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Método: </w:t>
      </w:r>
      <w:r>
        <w:rPr>
          <w:color w:val="3A3A3A"/>
          <w:sz w:val="20"/>
          <w:szCs w:val="20"/>
        </w:rPr>
        <w:t xml:space="preserve">definir política de crédito (score de bureau + comportamento), limite e aprovação em background; modelar o P&amp;L da operação.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Fórmula / critério: </w:t>
      </w:r>
      <w:r>
        <w:rPr>
          <w:color w:val="3A3A3A"/>
          <w:sz w:val="20"/>
          <w:szCs w:val="20"/>
        </w:rPr>
        <w:t xml:space="preserve">Receita financeira = MDR/juros por transação. Provisão de inadimplência ancorada no varejo (≈8,5%) — provisionar, não ignorar. Uplift de ticket = ticket com crédito ÷ ticket à vista.</w:t>
      </w:r>
    </w:p>
    <w:p>
      <w:pPr>
        <w:spacing w:after="50" w:line="264"/>
        <w:ind w:left="360"/>
      </w:pPr>
      <w:r>
        <w:rPr>
          <w:b/>
          <w:bCs/>
          <w:color w:val="1F3A5F"/>
          <w:sz w:val="20"/>
          <w:szCs w:val="20"/>
        </w:rPr>
        <w:t xml:space="preserve">Output &amp; ferramenta: </w:t>
      </w:r>
      <w:r>
        <w:rPr>
          <w:color w:val="3A3A3A"/>
          <w:sz w:val="20"/>
          <w:szCs w:val="20"/>
        </w:rPr>
        <w:t xml:space="preserve">a política de limite e o P&amp;L financeiro por loja. Ferramenta: seu stack de emissão/BaaS.</w:t>
      </w:r>
    </w:p>
    <w:p>
      <w:r>
        <w:br w:type="page"/>
      </w:r>
    </w:p>
    <w:p>
      <w:pPr>
        <w:pStyle w:val="Heading1"/>
      </w:pPr>
      <w:r>
        <w:t xml:space="preserve">Parte B — A linha do tempo, agora com o “como”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Cada bloco de dias do playbook original, com a(s) ferramenta(s) da Caixa que se aplica(m) e o gate de saída.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 / ferramenta aplicada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Output / Gate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Checklist de coleta: exigir 3 bases — vendas com linha de item, cadastro de clientes (com data de exame) e estoque a custo com tabela de preço. Assinar DPA/LGPD.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Dados em mãos; base para o Oracle.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D2–D4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Rodar a bateria de diagnóstico: A1, A2, A3, A4 (base) + B1–B5 (estoque/margem).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Os números em R$: churn, latente, estoque morto, prejuízo oculto.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D5–D7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Executive Audit Report: liderar por B5 (prejuízo oculto) e A3/A4 (churn + latente), tudo em R$.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GATE 1: escopo de implementação assinado.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D8–D10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Régua de Recall: derivar da A3 o calendário de recall por cliente; configurar a Secretária de IA (recall de exame + cadência de resgate).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Disparos automáticos ativos.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D11–D13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Portão de Dupla Trilha: regras de roteamento (passante × base); KPI taxa de identificação.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GATE 2: 100% dos leads na triagem; captura de CPF no balcão.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D14–D15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Treino da tropa: Script de Acordo Inicial; o vendedor como agente de recompra.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Time operando o script.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D16–D20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Clube: aplicar C1 (unit economics) para precificar; empacotar e treinar a venda.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Preço e oferta do Clube prontos.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D21–D25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Financeiro: aplicar C2 (política de crédito e P&amp;L); ativar cartão/crediário.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Emissão ativa; primeiras assinaturas.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D26–D30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Cockpit (Chronos): montar o painel com os KPIs da Parte C; go-live.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GATE 3: dashboard rodando; cliente em operação.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C — O Cockpit: KPIs e fórmulas (Fase 4)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painel que o dono acompanha e a base do ritual de forecast mensal. Cada indicador com sua fórmula, para não virar métrica de vaidade.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 que serve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Taxa de recompra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clientes que voltaram ÷ elegíveis no período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Coração do motor; sobe se o recall funciona.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Attach rate / UPT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clientes com cat. X ÷ base  /  itens ÷ venda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Mede a captura de Receita Latente.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Taxa de identificação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vendas identificadas ÷ vendas totais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Fim do cliente anônimo; alimenta o motor.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GMROI / Cobertura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margem R$ ÷ estoque a custo  /  365 ÷ giro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Saúde do estoque; compra inteligente.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MRR do Clube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Σ mensalidades ativas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Receita recorrente criada.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Inadimplência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parcelas vencidas ÷ carteira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Saúde do financeiro; provisão.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Forecast de recompra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Σ (elegíveis a recall no mês × conversão × ticket)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Previsibilidade que renova o retainer.</w:t>
            </w:r>
          </w:p>
        </w:tc>
      </w:tr>
    </w:tbl>
    <w:p>
      <w:pPr>
        <w:pBdr>
          <w:left w:val="single" w:color="2E5D34" w:sz="18" w:space="10"/>
        </w:pBdr>
        <w:shd w:fill="EEF2F6" w:val="clear"/>
        <w:spacing w:after="160" w:before="80" w:line="276"/>
      </w:pPr>
      <w:r>
        <w:rPr>
          <w:b/>
          <w:bCs/>
          <w:color w:val="2E5D34"/>
          <w:sz w:val="20"/>
          <w:szCs w:val="20"/>
        </w:rPr>
        <w:t xml:space="preserve">O ritual de forecast  </w:t>
      </w:r>
      <w:r>
        <w:rPr>
          <w:color w:val="333333"/>
          <w:sz w:val="20"/>
          <w:szCs w:val="20"/>
        </w:rPr>
        <w:t xml:space="preserve">Mensalmente, com o dono: projetar a receita de recompra pela última fórmula, acompanhar a queda da Receita Latente (A4) e a evolução da taxa de recompra e do MRR do Clube. É a prova de ROI que sustenta o retainer.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Playbook Operacional Detalhado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28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2026-07-07T16:47:37.470Z</dcterms:created>
  <dcterms:modified xsi:type="dcterms:W3CDTF">2026-07-07T16:47:37.470Z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