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ÓTICAS · CLIENTE #1</w:t>
      </w:r>
    </w:p>
    <w:p>
      <w:pPr>
        <w:spacing w:before="120"/>
      </w:pPr>
      <w:r>
        <w:rPr>
          <w:b/>
          <w:bCs/>
          <w:color w:val="1F3A5F"/>
          <w:sz w:val="36"/>
          <w:szCs w:val="36"/>
        </w:rPr>
        <w:t xml:space="preserve">Camada Financeira — Crédito Risco Zero (C2)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Método fechado: modelo, monetização, dado e métricas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 Aurora viabiliza o parcelamento/crediário da ótica sem que ela vire banco, monetizando direto com um painel de fornecedores financeiros — de forma transparente e com o dado voltando ao motor.</w:t>
      </w:r>
    </w:p>
    <w:p>
      <w:r>
        <w:br w:type="page"/>
      </w:r>
    </w:p>
    <w:p>
      <w:pPr>
        <w:pStyle w:val="Heading1"/>
      </w:pPr>
      <w:r>
        <w:t xml:space="preserve">1. O modelo — risco zero para a ótica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Aurora atua como arquiteta financeira. Mapeia, negocia e pluga parceiros (emissores de cartão, plataformas de crediário garantido, BaaS) que assumem 100% do risco de default. A ótica ganha ticket e fidelização; não vira banco nem agência de cobrança.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O que isso destrava  </w:t>
      </w:r>
      <w:r>
        <w:rPr>
          <w:color w:val="333333"/>
          <w:sz w:val="20"/>
          <w:szCs w:val="20"/>
        </w:rPr>
        <w:t xml:space="preserve">Parcelamento longo e crediário próprio aumentam o ticket (o cliente leva o par completo com tratamento premium) e criam um motivo de volta (usar o limite) — sem colocar o caixa da ótica em risco de inadimplência.</w:t>
      </w:r>
    </w:p>
    <w:p>
      <w:pPr>
        <w:pStyle w:val="Heading1"/>
      </w:pPr>
      <w:r>
        <w:t xml:space="preserve">2. Monetização — Rota 1: direto com o painel de fornecedores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Aurora é remunerada pelos parceiros financeiros (contrato de indicador/seller), não pelo dono da ótica. O dono não paga nada a mais pela camada financeira — atrito mínimo, decisivo no início. Duas regras estruturais tornam isso seguro: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Painel, não bandeira única — </w:t>
      </w:r>
      <w:r>
        <w:rPr>
          <w:color w:val="3A3A3A"/>
          <w:sz w:val="20"/>
          <w:szCs w:val="20"/>
        </w:rPr>
        <w:t xml:space="preserve">tratar direto com vários fornecedores permite colocar cada ótica com o parceiro de melhor fit. É o que preserva a neutralidade estruturalmente: arquiteta com mesa de parceiros, não revendedor de uma marca.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Transparência radical — </w:t>
      </w:r>
      <w:r>
        <w:rPr>
          <w:color w:val="3A3A3A"/>
          <w:sz w:val="20"/>
          <w:szCs w:val="20"/>
        </w:rPr>
        <w:t xml:space="preserve">o dono sabe que a Aurora é remunerada pelo parceiro. “Não te custa nada, e por isso eu escolho o que é melhor pra você, não o que me paga mais.” A transparência transforma o conflito em confiança.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Rota 2 (fee direto no dono) fica como plano B: para quem exige neutralidade pura ou quando não há bom parceiro de comissão. E o C2 não precisa financiar a operação no início — quem faz isso é o setup + retainer; o C2 é upside que compõe com o volume.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Inegociáveis  </w:t>
      </w:r>
      <w:r>
        <w:rPr>
          <w:color w:val="333333"/>
          <w:sz w:val="20"/>
          <w:szCs w:val="20"/>
        </w:rPr>
        <w:t xml:space="preserve">1) Transparência sobre a comissão — é o que separa arquiteta de vendedor disfarçado. 2) Dever de arquiteto: escolher sempre o melhor parceiro para o cliente. 3) Dado de volta como condição (§3).</w:t>
      </w:r>
    </w:p>
    <w:p>
      <w:pPr>
        <w:pStyle w:val="Heading1"/>
      </w:pPr>
      <w:r>
        <w:t xml:space="preserve">3. O dado de volta (condição de escolha do parceiro)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crédito gera comportamento riquíssimo (quem parcela, quanto, recorrência). Se esse dado fica só com o parceiro, cria-se uma “ferida de marketplace” dentro do próprio stack da Aurora. Por isso o retorno do dado da transação ao motor é condição de seleção — e o volume que a Aurora leva é a alavanca para exigi-lo na negociação.</w:t>
      </w:r>
    </w:p>
    <w:p>
      <w:pPr>
        <w:pStyle w:val="Heading1"/>
      </w:pPr>
      <w:r>
        <w:t xml:space="preserve">4. Critérios de escolha do parceiro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Assume 100% do risco de default — </w:t>
      </w:r>
      <w:r>
        <w:rPr>
          <w:color w:val="3A3A3A"/>
          <w:sz w:val="20"/>
          <w:szCs w:val="20"/>
        </w:rPr>
        <w:t xml:space="preserve">a ótica nunca carrega inadimplência.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Devolve o dado da transação — </w:t>
      </w:r>
      <w:r>
        <w:rPr>
          <w:color w:val="3A3A3A"/>
          <w:sz w:val="20"/>
          <w:szCs w:val="20"/>
        </w:rPr>
        <w:t xml:space="preserve">condição inegociável (§3).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Taxa competitiva e aprovação ágil — </w:t>
      </w:r>
      <w:r>
        <w:rPr>
          <w:color w:val="3A3A3A"/>
          <w:sz w:val="20"/>
          <w:szCs w:val="20"/>
        </w:rPr>
        <w:t xml:space="preserve">análise em background, no tempo do atendimento.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Integração simples — </w:t>
      </w:r>
      <w:r>
        <w:rPr>
          <w:color w:val="3A3A3A"/>
          <w:sz w:val="20"/>
          <w:szCs w:val="20"/>
        </w:rPr>
        <w:t xml:space="preserve">sem curva de aprendizado para a equipe da loja (tecnologia invisível).</w:t>
      </w:r>
    </w:p>
    <w:p>
      <w:pPr>
        <w:pStyle w:val="Heading1"/>
      </w:pPr>
      <w:r>
        <w:t xml:space="preserve">5. Métricas (com fórmula)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Uplift de Ticket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Uplift (%) = ( Ticket médio com crédito ÷ Ticket médio à vista − 1 )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Ticket médio com crédito = média das vendas parceladas via parceiro · Ticket médio à vista = média das vendas sem crédito.</w:t>
      </w:r>
    </w:p>
    <w:p>
      <w:pPr>
        <w:spacing w:after="122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Mede o quanto o crédito realmente aumenta o ticket. É a prova de valor da camada e a base de um eventual success fee sobre o volume incremental.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Taxa de Aprovação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Aprovação (%) = ( Limites aprovados ÷ Propostas enviadas ao parceiro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Limites aprovados = propostas que o parceiro aprovou · Propostas enviadas = total submetido no período.</w:t>
      </w:r>
    </w:p>
    <w:p>
      <w:pPr>
        <w:spacing w:after="122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Mede o oxigênio financeiro que o parceiro de fato destrava. Aprovação baixa = parceiro apertado; sinal para acionar outro do painel.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Inadimplência — </w:t>
      </w:r>
      <w:r>
        <w:rPr>
          <w:color w:val="3A3A3A"/>
          <w:sz w:val="20"/>
          <w:szCs w:val="20"/>
        </w:rPr>
        <w:t xml:space="preserve">monitorada no parceiro, não na ótica (a ótica tem risco zero). Serve para avaliar a saúde do parceiro, não o caixa do cliente.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Receita de comissão (Aurora) — </w:t>
      </w:r>
      <w:r>
        <w:rPr>
          <w:color w:val="3A3A3A"/>
          <w:sz w:val="20"/>
          <w:szCs w:val="20"/>
        </w:rPr>
        <w:t xml:space="preserve">função do volume transacionado (share de MDR, % do crédito ou por conta), conforme o contrato de cada fornecedor. Cresce com a escala das óticas na carteira.</w:t>
      </w:r>
    </w:p>
    <w:p>
      <w:pPr>
        <w:pStyle w:val="Heading1"/>
      </w:pPr>
      <w:r>
        <w:t xml:space="preserve">6. Onde e quando · cautela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Onde &amp; quando — </w:t>
      </w:r>
      <w:r>
        <w:rPr>
          <w:color w:val="3A3A3A"/>
          <w:sz w:val="20"/>
          <w:szCs w:val="20"/>
        </w:rPr>
        <w:t xml:space="preserve">Fase 3 (D21–D25) na implantação; depois recorrente no retainer. Quem: Consultor Aurora + fornecedor. Entra: mapeamento de emissores e taxas → Sai: esteira de crédito ativa, risco zero para a loja.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Cautela regulatória (não é aconselhamento jurídico)  </w:t>
      </w:r>
      <w:r>
        <w:rPr>
          <w:color w:val="333333"/>
          <w:sz w:val="20"/>
          <w:szCs w:val="20"/>
        </w:rPr>
        <w:t xml:space="preserve">O contrato de indicador/seller e a intermediação de crédito no Brasil moram no arcabouço de correspondente bancário (regras do Banco Central). É isso que define o que a Aurora pode legalmente receber e como. Estruture com apoio jurídico/contábil antes de operar.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Camada Financeira C2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2026-07-08T19:15:13.775Z</dcterms:created>
  <dcterms:modified xsi:type="dcterms:W3CDTF">2026-07-08T19:15:13.776Z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