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ÓTICAS · CLIENTE #1</w:t>
      </w:r>
    </w:p>
    <w:p>
      <w:pPr>
        <w:spacing w:before="120"/>
      </w:pPr>
      <w:r>
        <w:rPr>
          <w:b/>
          <w:bCs/>
          <w:color w:val="1F3A5F"/>
          <w:sz w:val="38"/>
          <w:szCs w:val="38"/>
        </w:rPr>
        <w:t xml:space="preserve">Mapa de Aplicação das Fórmulas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Onde, quando, por quem e ligada a quê — cada fórmula do sistema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A camada de instrução do arsenal. Torna o material autossuficiente: um consultor novo — ou um agente de IA — sabe aplicar cada fórmula sem o contexto desta conversa.</w:t>
      </w:r>
    </w:p>
    <w:p>
      <w:r>
        <w:br w:type="page"/>
      </w:r>
    </w:p>
    <w:p>
      <w:pPr>
        <w:pStyle w:val="Heading1"/>
      </w:pPr>
      <w:r>
        <w:t xml:space="preserve">Como ler o mapa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Cada fórmula tem quatro campos de aplicação, e todo bloco de fórmula novo deve carregá-los: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Onde = fase ou momento do processo. Quando = o gatilho e a cadência (uma vez, semanal, trimestral…). Quem = quem executa (máquina, consultor ou gestor). Entra → Sai = o dado que consome e o que alimenta — é o que liga as fórmulas num pipeline, não em ilhas.</w:t>
      </w:r>
    </w:p>
    <w:p>
      <w:r>
        <w:br w:type="page"/>
      </w:r>
    </w:p>
    <w:p>
      <w:pPr>
        <w:pStyle w:val="Heading1"/>
      </w:pPr>
      <w:r>
        <w:t xml:space="preserve">1. Diagnóstico e Caixa (Parte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50"/>
        <w:gridCol w:w="1350"/>
        <w:gridCol w:w="2776"/>
      </w:tblGrid>
      <w:tr>
        <w:trPr>
          <w:tblHeader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 / método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 &amp; quando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 → Sai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A1 · Completude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(D1–D2), no início, antes de rodar o resto.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/ EXRS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Cadastro bruto → decide a contingência (pivotar p/ estoque).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A2 · RFM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 e depois mensal.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Histórico de vendas → segmentos → Mapa da Mina e fila.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A3 · Churn Invisível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 e contínuo, semanal.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Histórico datado → lista de resgate, R$ perdido, régua de recall.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A4 · Receita Latente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e contínuo, semanal.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Linhas de venda → fila de cross-sell + attach-alvo (IA).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B1–B4 · Estoque/GMROI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 e mensal.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/ EXRS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Estoque + CMV → choque do Audit + decisão de compra.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B5 · Margem/Prejuízo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(D2–D4), no início.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Preço + custo → prejuízo oculto (Audit Report).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C1 · Clube (unit econ.)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Fase 3 (D16–D20), ao desenhar o clube.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Custos de servir → preço e break-even do clube.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C2 · Crédito Risco Zero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Fase 3 (D21–D25), ao plugar o financeiro.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— → política de crédito via parceiro.</w:t>
            </w:r>
          </w:p>
        </w:tc>
      </w:tr>
    </w:tbl>
    <w:p>
      <w:pPr>
        <w:pStyle w:val="Heading1"/>
      </w:pPr>
      <w:r>
        <w:t xml:space="preserve">2. Motor de Recompra (Dois Relógios)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50"/>
        <w:gridCol w:w="1350"/>
        <w:gridCol w:w="2776"/>
      </w:tblGrid>
      <w:tr>
        <w:trPr>
          <w:tblHeader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 / método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 &amp; quando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 → Sai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Régua de recall (Saúde)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Operação contínua; dispara pela data de exame/garantia.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Ciclo (A3) → fila diária de recall.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Calendário Moda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Operação contínua; a cada ~40 dias (drop) e ocasiões.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+ 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Segmento fashion + coleção → disparo dirigido.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Ciclo de recompra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Cockpit, mensal (north-star).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Intervalos de compra → meta de compressão (15+→&lt;12).</w:t>
            </w:r>
          </w:p>
        </w:tc>
      </w:tr>
    </w:tbl>
    <w:p>
      <w:pPr>
        <w:pStyle w:val="Heading1"/>
      </w:pPr>
      <w:r>
        <w:t xml:space="preserve">3. Performance e SEV (Parte F — retainer)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50"/>
        <w:gridCol w:w="1350"/>
        <w:gridCol w:w="2776"/>
      </w:tblGrid>
      <w:tr>
        <w:trPr>
          <w:tblHeader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 / método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 &amp; quando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 → Sai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5 índices (IC…IAd)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Operação/painel; mensal, por vendedor.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Eventos de venda/cadastro → SEV.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SEV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Painel; mensal.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5 índices normalizados → bandas do painel.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 histórico (P75)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Config do IT; recalibra trimestral.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Vendas por segmento → TMI do vendedor (TMIhv).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 de planejamento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Planejamento trimestral, com o dono.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+ Dono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Meta de receita ÷ nº de vendas → TMIp e o gap.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 operacional (ponte)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Trimestral; o consultor define o α.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TMIh + TMIp → denominador do IT.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Alvos IA/IR/IAd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Config e recalibra trimestral.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 / 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P75 (+plano) → normaliza os índices do SEV.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Forecast PV / DR (Cam. 2)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Operação, semanal.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SEV + fila + estoque → previsão de venda e de ruptura.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Nota Comportamental (Cam. 3)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Trimestral (ou mensal).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Gestor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Observação / cliente oculto → crivo de perfil.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Régua de Perfil Ideal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Retainer, ao contratar; amadurece em meses.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+ Gestor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Contraste topo × base/saíram → perfil de contratação.</w:t>
            </w:r>
          </w:p>
        </w:tc>
      </w:tr>
    </w:tbl>
    <w:p>
      <w:pPr>
        <w:pStyle w:val="Heading1"/>
      </w:pPr>
      <w:r>
        <w:t xml:space="preserve">Nota de manutenção</w:t>
      </w:r>
    </w:p>
    <w:p>
      <w:pPr>
        <w:pBdr>
          <w:left w:val="single" w:color="6E4B2A" w:sz="18" w:space="10"/>
        </w:pBdr>
        <w:shd w:fill="EEF2F6" w:val="clear"/>
        <w:spacing w:after="150" w:before="70" w:line="276"/>
      </w:pPr>
      <w:r>
        <w:rPr>
          <w:b/>
          <w:bCs/>
          <w:color w:val="6E4B2A"/>
          <w:sz w:val="20"/>
          <w:szCs w:val="20"/>
        </w:rPr>
        <w:t xml:space="preserve">Padrão daqui pra frente  </w:t>
      </w:r>
      <w:r>
        <w:rPr>
          <w:color w:val="333333"/>
          <w:sz w:val="20"/>
          <w:szCs w:val="20"/>
        </w:rPr>
        <w:t xml:space="preserve">Todo bloco de fórmula novo já nasce com o campo “Onde e quando usar” (Onde · Quando · Quem · Entra → Sai). Este mapa é o índice-mestre; quando uma fórmula for criada ou alterada, atualize aqui também, para o material seguir autossuficiente para um humano ou uma 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Mapa de Aplicação das Fórmulas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30" w:before="260"/>
      <w:outlineLvl w:val="0"/>
    </w:pPr>
    <w:rPr>
      <w:rFonts w:ascii="Arial" w:cs="Arial" w:eastAsia="Arial" w:hAnsi="Arial"/>
      <w:b/>
      <w:bCs/>
      <w:color w:val="1F3A5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2026-07-08T12:30:37.618Z</dcterms:created>
  <dcterms:modified xsi:type="dcterms:W3CDTF">2026-07-08T12:30:37.618Z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