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AURORA · ÓTICAS · PARTE F (DETALHE)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Blindagem do SEV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O alvo derivado de cada índice — e por que a taxa crua mente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Correção estrutural do SEV: cada índice se normaliza contra um alvo derivado do dado, e não pela taxa crua. O TMI foi o primeiro caso; este documento aplica o mesmo a IC, IA, IR e IAd.</w:t>
      </w:r>
    </w:p>
    <w:p>
      <w:r>
        <w:br w:type="page"/>
      </w:r>
    </w:p>
    <w:p>
      <w:pPr>
        <w:pStyle w:val="Heading1"/>
      </w:pPr>
      <w:r>
        <w:t xml:space="preserve">1. O princípio: normalizar contra o alvo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O SEV somava taxas cruas (IA = attach ×100, IR = conversão ×100). Isso repete o erro do TMI em todo índice: um attach de 30% pode ser excelente naquele segmento, mas entra como 30/100 e faz o bom vendedor parecer medíocre. A correção: todo índice passa a medir quão perto do ideal ele está.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Normalização de um índice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IN = mín( Real ÷ Alvo ; 1 )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IN = índice normalizado (0 a 100) · Real = taxa realizada do índice · Alvo = alvo derivado do dado · mín(…;1) = teto em 100 (não passa do ideal).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Cada índice deixa de ser a taxa crua e vira “quão perto do ideal”. Isso torna as parcelas do SEV comparáveis entre si — sem isso, um índice de teto naturalmente baixo pesa errado.</w:t>
      </w:r>
    </w:p>
    <w:p>
      <w:pPr>
        <w:pStyle w:val="Heading1"/>
      </w:pPr>
      <w:r>
        <w:t xml:space="preserve">2. O alvo de cada índice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IC · Captura — a exceção (alvo = 100%)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IC = mín( AC ÷ AT ; 1 )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AC = Atendimentos Cadastrados · AT = Atendimentos Totais · Alvo = 100% (capturar todo atendimento).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Único índice cujo alvo é 100 de verdade: o ideal é identificar todo cliente atendido. Não precisa derivação. Vale o cuidado de como medir o AT (o denominador).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IA · Anexação — attach-alvo derivado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AttachAlvo = P75( attach por vendedor, por segmento )   →   IA = mín( AttachReal ÷ AttachAlvo ; 1 )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attach = VC ÷ VG (vendas com complementar ÷ vendas de grau) · P75 = terceiro quartil · segmento = base do produto (grau simples, multifocal, solar).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O alvo é o que os melhores da loja já anexam ali, por tipo de cliente. Triangule com o “kit clínico” (quantos daqueles graus a receita justifica antirreflexo/solar): o gap entre o kit clínico e o P75 é Receita Latente à mesa.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IR · Resgate — conversão-alvo por temperatura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ConvAlvo = P75( conversão da fila, por temperatura )   →   IR = mín( ConvReal ÷ ConvAlvo ; 1 )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conversão = RC ÷ RT (resgates convertidos ÷ trabalhados) · temperatura = tipo de fila (recall de exame vencido = quente; reativação fria = fria).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Segmenta por temperatura da fila, senão pune quem recebeu a lista fria e premia quem pegou a quente — o mesmo “sorte vs. habilidade” do TMI. O alvo é o que os melhores convertem naquele tipo de fila.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IAd · Adesão — alvo NÃO é 100%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AdesãoAlvo = participação-meta da campanha (do plano)   →   IAd = mín( AdesãoReal ÷ AdesãoAlvo ; 1 ) × 100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adesão = VCa ÷ VT (vendas da campanha ÷ vendas totais) · alvo = a % de participação que a campanha quer, aferida pela viabilidade.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Aqui o ideal não é 100%: você não quer só venda de campanha. Cuidado com a super-adesão canibalizar o resto do mix — se virar problema, troque por uma banda-alvo (penaliza acima e abaixo do alvo).</w:t>
      </w:r>
    </w:p>
    <w:p>
      <w:pPr>
        <w:pStyle w:val="Heading1"/>
      </w:pPr>
      <w:r>
        <w:t xml:space="preserve">3. O SEV reescrito</w:t>
      </w:r>
    </w:p>
    <w:p>
      <w:pPr>
        <w:spacing w:after="40" w:before="160"/>
      </w:pPr>
      <w:r>
        <w:rPr>
          <w:b/>
          <w:bCs/>
          <w:color w:val="6E4B2A"/>
          <w:sz w:val="22"/>
          <w:szCs w:val="22"/>
        </w:rPr>
        <w:t xml:space="preserve">Score de Engenharia de Venda (normalizado)</w:t>
      </w:r>
    </w:p>
    <w:p>
      <w:pPr>
        <w:pBdr>
          <w:left w:val="single" w:color="1F3A5F" w:sz="14" w:space="8"/>
        </w:pBdr>
        <w:shd w:fill="EAF0F6" w:val="clear"/>
        <w:spacing w:after="40"/>
      </w:pPr>
      <w:r>
        <w:rPr>
          <w:b/>
          <w:bCs/>
          <w:color w:val="10305A"/>
          <w:sz w:val="22"/>
          <w:szCs w:val="22"/>
        </w:rPr>
        <w:t xml:space="preserve">  SEV = (IC×p1)+(IA×p2)+(IT×p3)+(IR×p4)+(IAd×p5)</w:t>
      </w:r>
    </w:p>
    <w:p>
      <w:pPr>
        <w:spacing w:after="40" w:line="264"/>
      </w:pPr>
      <w:r>
        <w:rPr>
          <w:b/>
          <w:bCs/>
          <w:color w:val="3A3A3A"/>
          <w:sz w:val="18"/>
          <w:szCs w:val="18"/>
        </w:rPr>
        <w:t xml:space="preserve">Legenda: </w:t>
      </w:r>
      <w:r>
        <w:rPr>
          <w:i/>
          <w:iCs/>
          <w:color w:val="555555"/>
          <w:sz w:val="18"/>
          <w:szCs w:val="18"/>
        </w:rPr>
        <w:t xml:space="preserve">IC, IA, IT, IR, IAd = os cinco índices agora NORMALIZADOS contra alvo · p1…p5 = pesos da Régua de Pesos por Maturidade (somam 1).</w:t>
      </w:r>
    </w:p>
    <w:p>
      <w:pPr>
        <w:spacing w:after="130" w:line="274"/>
      </w:pPr>
      <w:r>
        <w:rPr>
          <w:b/>
          <w:bCs/>
          <w:color w:val="1F3A5F"/>
          <w:sz w:val="20"/>
          <w:szCs w:val="20"/>
        </w:rPr>
        <w:t xml:space="preserve">O que significa: </w:t>
      </w:r>
      <w:r>
        <w:rPr>
          <w:color w:val="3A3A3A"/>
          <w:sz w:val="20"/>
          <w:szCs w:val="20"/>
        </w:rPr>
        <w:t xml:space="preserve">Mesma composição e mesmos pesos por maturidade de antes — a diferença é que cada parcela agora é “quão perto do ideal”, e por isso somável de forma justa. É o SEV blindado.</w:t>
      </w:r>
    </w:p>
    <w:p>
      <w:pPr>
        <w:pBdr>
          <w:left w:val="single" w:color="2E5D34" w:sz="18" w:space="10"/>
        </w:pBdr>
        <w:shd w:fill="EEF2F6" w:val="clear"/>
        <w:spacing w:after="150" w:before="70" w:line="276"/>
      </w:pPr>
      <w:r>
        <w:rPr>
          <w:b/>
          <w:bCs/>
          <w:color w:val="2E5D34"/>
          <w:sz w:val="20"/>
          <w:szCs w:val="20"/>
        </w:rPr>
        <w:t xml:space="preserve">Os alvos seguem as duas leituras do TMI  </w:t>
      </w:r>
      <w:r>
        <w:rPr>
          <w:color w:val="333333"/>
          <w:sz w:val="20"/>
          <w:szCs w:val="20"/>
        </w:rPr>
        <w:t xml:space="preserve">Attach-alvo, conversão-alvo e adesão-alvo têm a mesma dupla leitura: histórico (P75, o que a loja consegue) e planejamento (o que o plano precisa). A régua operacional é a ponte entre os dois, com o α subindo por trimestre. Nunca o número-fantasia no dia 1; nunca congelado no histórico.</w:t>
      </w:r>
    </w:p>
    <w:p>
      <w:pPr>
        <w:spacing w:after="120" w:line="276"/>
      </w:pPr>
      <w:r>
        <w:rPr>
          <w:b w:val="false"/>
          <w:bCs w:val="false"/>
          <w:i/>
          <w:iCs/>
          <w:color w:val="1F3A5F"/>
          <w:sz w:val="21"/>
          <w:szCs w:val="21"/>
        </w:rPr>
        <w:t xml:space="preserve">Recalibre os alvos a cada trimestre, junto com os pesos: o P75 sobe quando a loja melhora e o α avança na ponte. Todo “número ideal” do sistema é derivado do dado e caminha — nunca chutado.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Cliente #1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Aurora · Óticas · Blindagem do SEV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2026-07-08T12:24:37.534Z</dcterms:created>
  <dcterms:modified xsi:type="dcterms:W3CDTF">2026-07-08T12:24:37.535Z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