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ÓTICAS · PARTE F (DETALHE)</w:t>
      </w:r>
    </w:p>
    <w:p>
      <w:pPr>
        <w:spacing w:before="120"/>
      </w:pPr>
      <w:r>
        <w:rPr>
          <w:b/>
          <w:bCs/>
          <w:color w:val="1F3A5F"/>
          <w:sz w:val="40"/>
          <w:szCs w:val="40"/>
        </w:rPr>
        <w:t xml:space="preserve">Como derivar o TMI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O Ticket Médio Ideal do mix — o coração do Índice de Ticket (IT)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Encaixa no Índice de Ticket (IT) da Parte F. Tira o TMI do achismo com duas leituras — o que a loja consegue (histórico) e o que o negócio precisa (planejamento) — e usa o gap entre elas.</w:t>
      </w:r>
    </w:p>
    <w:p>
      <w:r>
        <w:br w:type="page"/>
      </w:r>
    </w:p>
    <w:p>
      <w:pPr>
        <w:pStyle w:val="Heading1"/>
      </w:pPr>
      <w:r>
        <w:t xml:space="preserve">1. Por que o TMI ingênuo mente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IT = (TMR ÷ TMI) × 100 só vale o quanto o TMI vale. Duas formas erradas de traçá-lo: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Erro 1 — TMI = média da loja  </w:t>
      </w:r>
      <w:r>
        <w:rPr>
          <w:color w:val="333333"/>
          <w:sz w:val="20"/>
          <w:szCs w:val="20"/>
        </w:rPr>
        <w:t xml:space="preserve">Assa a mediocridade: se a loja vende barato, o TMI é baixo e todo mundo tira IT perto de 100. A métrica para de separar quem vende bem de quem tira pedido.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Erro 2 — TMI = número único para todos  </w:t>
      </w:r>
      <w:r>
        <w:rPr>
          <w:color w:val="333333"/>
          <w:sz w:val="20"/>
          <w:szCs w:val="20"/>
        </w:rPr>
        <w:t xml:space="preserve">Confunde sorte com habilidade: o vendedor que por acaso atende mais multifocal (ticket naturalmente alto) parece melhor que o que atende mais grau simples e solar — sem ter vendido melhor.</w:t>
      </w:r>
    </w:p>
    <w:p>
      <w:pPr>
        <w:spacing w:after="120" w:line="276"/>
      </w:pPr>
      <w:r>
        <w:rPr>
          <w:b/>
          <w:bCs/>
          <w:i w:val="false"/>
          <w:iCs w:val="false"/>
          <w:color w:val="1F3A5F"/>
          <w:sz w:val="21"/>
          <w:szCs w:val="21"/>
        </w:rPr>
        <w:t xml:space="preserve">A correção tem dois movimentos: derivar o TMI do próprio dado, por segmento; e ponderá-lo pela composição de cliente de cada vendedor.</w:t>
      </w:r>
    </w:p>
    <w:p>
      <w:pPr>
        <w:pStyle w:val="Heading1"/>
      </w:pPr>
      <w:r>
        <w:t xml:space="preserve">2. O TMI histórico, em três passos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Esta é a leitura “o que a loja consegue”, derivada das vendas reais. Passo 1 — Segmentar por tipo, porque cada tipo tem potencial de ticket diferente: grau simples, multifocal, solar com grau, lente de contato. Sem segmentar, herda-se o Erro 2.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Passo 2 · TMI histórico do segmento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TMIhs = P75( tickets das vendas do segmento s, na própria loja )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TMIhs = TMI histórico do segmento s · P75 = terceiro quartil (valor abaixo do qual estão 75% das vendas) · segmento s = grupo de vendas com potencial de ticket parecido.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O ideal não é inventado nem é a média — é o que a própria loja já alcança quando vende bem. 25% das vendas já batem (é possível), 75% ficam abaixo (é aspiracional), e sobe sozinho conforme a loja melhora.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Passo 3 · TMI histórico do vendedor (ponderado pelo mix)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TMIhv = Σ ( Mi × TMIhs_i )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TMIhv = TMI histórico esperado do vendedor · Mi = participação (%) das vendas do vendedor no segmento i · TMIhs_i = TMI histórico do segmento i · Σ = soma sobre os segmentos que ele atendeu.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Pondera o ideal pela composição real de clientes daquele vendedor. Quem atende mais multifocal tem TMI naturalmente mais alto — não leva vantagem por acaso, e quem atende ticket menor não é punido. Remove a sorte.</w:t>
      </w:r>
    </w:p>
    <w:p>
      <w:pPr>
        <w:pStyle w:val="Heading1"/>
      </w:pPr>
      <w:r>
        <w:t xml:space="preserve">3. A segunda leitura: o TMI de planejamento e o gap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histórico diz o que a loja consegue. Mas o dono tem contas a fechar — custo fixo, margem, ponto de equilíbrio. Daí a segunda leitura, top-down.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TMI de planejamento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TMIp = MR ÷ NVp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TMIp = TMI de planejamento · MR = Meta de Receita do período · NVp = Número de Vendas projetado para o período.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O ticket que o negócio precisa para fechar as contas. É o alvo do dono — mas é top-down: pode estar descolado do que a loja consegue hoje. Sozinho, vira número-fantasia e desmotiva.</w:t>
      </w:r>
    </w:p>
    <w:p>
      <w:pPr>
        <w:pBdr>
          <w:left w:val="single" w:color="2E5D34" w:sz="18" w:space="10"/>
        </w:pBdr>
        <w:shd w:fill="EEF2F6" w:val="clear"/>
        <w:spacing w:after="150" w:before="70" w:line="276"/>
      </w:pPr>
      <w:r>
        <w:rPr>
          <w:b/>
          <w:bCs/>
          <w:color w:val="2E5D34"/>
          <w:sz w:val="20"/>
          <w:szCs w:val="20"/>
        </w:rPr>
        <w:t xml:space="preserve">O gap é o achado  </w:t>
      </w:r>
      <w:r>
        <w:rPr>
          <w:color w:val="333333"/>
          <w:sz w:val="20"/>
          <w:szCs w:val="20"/>
        </w:rPr>
        <w:t xml:space="preserve">Gap = TMIp − TMIhv. Ele é o tamanho da transformação. Gap fechável por mix e coaching (mais tratamento de lente, 2º par, armação de valor) é operacional — vira a meta que a régua persegue. Gap estrutural (o mercado/posicionamento não entrega esse ticket) é decisão do dono: repor preço, mudar público. E se o próprio orçamento for irreal, ele é Hopium e precisa ser revisto, não perseguido.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O TMI operacional (a ponte)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TMIo = TMIhv + α × (TMIp − TMIhv)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TMIo = TMI operacional (a régua que o vendedor enfrenta no IT) · TMIhv = TMI histórico do vendedor · TMIp = TMI de planejamento · α = fração da ponte já percorrida (0 a 1), que sobe a cada trimestre conforme a viabilidade.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A régua começa no histórico (realista, motiva) e caminha rumo ao planejamento (o alvo do negócio) no ritmo que o mix permite. Nunca o número-fantasia no dia 1 (desmotiva); nunca congelada no histórico (não entrega o que o negócio precisa). É o glide path — a mesma lógica dos pesos por maturidade.</w:t>
      </w:r>
    </w:p>
    <w:p>
      <w:pPr>
        <w:spacing w:after="120" w:line="276"/>
      </w:pPr>
      <w:r>
        <w:rPr>
          <w:b/>
          <w:bCs/>
          <w:i w:val="false"/>
          <w:iCs w:val="false"/>
          <w:color w:val="1F3A5F"/>
          <w:sz w:val="21"/>
          <w:szCs w:val="21"/>
        </w:rPr>
        <w:t xml:space="preserve">Ou seja: o IT usa o TMIo no denominador. As duas leituras não competem — o histórico é o ponto de partida, o planejamento é o destino, e o α é a velocidade viável da ponte.</w:t>
      </w:r>
    </w:p>
    <w:p>
      <w:pPr>
        <w:pStyle w:val="Heading1"/>
      </w:pPr>
      <w:r>
        <w:t xml:space="preserve">4. Triangulação e cuidados</w:t>
      </w:r>
    </w:p>
    <w:p>
      <w:pPr>
        <w:pBdr>
          <w:left w:val="single" w:color="2E5D34" w:sz="18" w:space="10"/>
        </w:pBdr>
        <w:shd w:fill="EEF2F6" w:val="clear"/>
        <w:spacing w:after="150" w:before="70" w:line="276"/>
      </w:pPr>
      <w:r>
        <w:rPr>
          <w:b/>
          <w:bCs/>
          <w:color w:val="2E5D34"/>
          <w:sz w:val="20"/>
          <w:szCs w:val="20"/>
        </w:rPr>
        <w:t xml:space="preserve">Triangule com o “kit ideal” engenheirado  </w:t>
      </w:r>
      <w:r>
        <w:rPr>
          <w:color w:val="333333"/>
          <w:sz w:val="20"/>
          <w:szCs w:val="20"/>
        </w:rPr>
        <w:t xml:space="preserve">Monte, do catálogo, o ticket de uma venda bem-feita por segmento (armação de valor + lente com os tratamentos que a receita permite: antirreflexo, blue, transitions) e compare com o P75. Se o kit ideal for muito maior que o P75, nem os melhores da loja vendem o kit completo — não é erro da régua, é oportunidade de receita à mesa.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Cuidado com o dado: exige a venda etiquetada por tipo (multifocal, simples, solar…). Sem isso, use provisoriamente um TMI único (P75 geral) e marque a segmentação como meta da fase de higiene — a mesma contingência de dados.</w:t>
      </w:r>
    </w:p>
    <w:p>
      <w:pPr>
        <w:spacing w:after="120" w:line="276"/>
      </w:pPr>
      <w:r>
        <w:rPr>
          <w:b w:val="false"/>
          <w:bCs w:val="false"/>
          <w:i/>
          <w:iCs/>
          <w:color w:val="1F3A5F"/>
          <w:sz w:val="21"/>
          <w:szCs w:val="21"/>
        </w:rPr>
        <w:t xml:space="preserve">Recalibre a cada trimestre: o P75 sobe quando a loja melhora, e o α avança na ponte. A régua nunca congela na foto antiga.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Como derivar o TMI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2026-07-08T12:09:42.922Z</dcterms:created>
  <dcterms:modified xsi:type="dcterms:W3CDTF">2026-07-08T12:09:42.923Z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