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50"/>
      </w:pPr>
      <w:r>
        <w:rPr>
          <w:b/>
          <w:bCs/>
          <w:color w:val="6E4B2A"/>
          <w:sz w:val="20"/>
          <w:szCs w:val="20"/>
        </w:rPr>
        <w:t xml:space="preserve">AURORA · NICHO ÓTICAS · CLIENTE #1</w:t>
      </w:r>
    </w:p>
    <w:p>
      <w:pPr>
        <w:spacing w:before="120"/>
      </w:pPr>
      <w:r>
        <w:rPr>
          <w:b/>
          <w:bCs/>
          <w:color w:val="1F3A5F"/>
          <w:sz w:val="40"/>
          <w:szCs w:val="40"/>
        </w:rPr>
        <w:t xml:space="preserve">Playbook Operacional — v9 Master</w:t>
      </w:r>
    </w:p>
    <w:p>
      <w:pPr>
        <w:spacing w:before="10"/>
      </w:pPr>
      <w:r>
        <w:rPr>
          <w:b/>
          <w:bCs/>
          <w:color w:val="1F3A5F"/>
          <w:sz w:val="23"/>
          <w:szCs w:val="23"/>
        </w:rPr>
        <w:t xml:space="preserve">Métodos, motor de recompra, cultura, performance e mapa de aplicação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30"/>
      </w:pPr>
      <w:r>
        <w:rPr>
          <w:i/>
          <w:iCs/>
          <w:color w:val="3A3A3A"/>
          <w:sz w:val="21"/>
          <w:szCs w:val="21"/>
        </w:rPr>
        <w:t xml:space="preserve">O documento definitivo de campo. Roda todas as camadas integradas: extrai inteligência do dado morto, transforma em roteiro diário, gira o estoque como moda em dois relógios de recompra, blinda o caixa com crédito sem risco, e mapeia a performance individual como radar de desenvolvimento — nunca como vigilância. ✦ marca os twists proprietários da Aurora.</w:t>
      </w:r>
    </w:p>
    <w:p>
      <w:pPr>
        <w:spacing w:before="230"/>
      </w:pPr>
      <w:r>
        <w:rPr>
          <w:color w:val="3A3A3A"/>
          <w:sz w:val="20"/>
          <w:szCs w:val="20"/>
        </w:rPr>
        <w:t xml:space="preserve">Rede independente de 3 lojas · proprietário único · Julho 2026 · uso interno</w:t>
      </w:r>
    </w:p>
    <w:p>
      <w:r>
        <w:br w:type="page"/>
      </w:r>
    </w:p>
    <w:p>
      <w:pPr>
        <w:pStyle w:val="Heading1"/>
      </w:pPr>
      <w:r>
        <w:t xml:space="preserve">Como usar este Playbook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Execução de ponta a ponta da entrega, em oito partes complementares: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A · Caixa de Ferramentas — </w:t>
      </w:r>
      <w:r>
        <w:rPr>
          <w:color w:val="3A3A3A"/>
          <w:sz w:val="20"/>
          <w:szCs w:val="20"/>
        </w:rPr>
        <w:t xml:space="preserve">o diagnóstico de dados e caixa que gera o choque do Dia 5.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B · Motor de Recompra de Dois Relógios ✦ — </w:t>
      </w:r>
      <w:r>
        <w:rPr>
          <w:color w:val="3A3A3A"/>
          <w:sz w:val="20"/>
          <w:szCs w:val="20"/>
        </w:rPr>
        <w:t xml:space="preserve">o núcleo que faz a ótica vender de novo; onde mora o moat.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C · Adoção e Cultura ✦ — </w:t>
      </w:r>
      <w:r>
        <w:rPr>
          <w:color w:val="3A3A3A"/>
          <w:sz w:val="20"/>
          <w:szCs w:val="20"/>
        </w:rPr>
        <w:t xml:space="preserve">como obter a adesão da equipe sem atrito (zero sifocância).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D · Linha do Tempo — </w:t>
      </w:r>
      <w:r>
        <w:rPr>
          <w:color w:val="3A3A3A"/>
          <w:sz w:val="20"/>
          <w:szCs w:val="20"/>
        </w:rPr>
        <w:t xml:space="preserve">o cronograma do Dia 1 ao 30+.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E · Cockpit — </w:t>
      </w:r>
      <w:r>
        <w:rPr>
          <w:color w:val="3A3A3A"/>
          <w:sz w:val="20"/>
          <w:szCs w:val="20"/>
        </w:rPr>
        <w:t xml:space="preserve">os KPIs do painel do dono (Chronos).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F · Arquitetura de Performance ✦ — </w:t>
      </w:r>
      <w:r>
        <w:rPr>
          <w:color w:val="3A3A3A"/>
          <w:sz w:val="20"/>
          <w:szCs w:val="20"/>
        </w:rPr>
        <w:t xml:space="preserve">o motor de performance individual em 3 camadas + governança.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G · SEV e TMI (detalhe) — </w:t>
      </w:r>
      <w:r>
        <w:rPr>
          <w:color w:val="3A3A3A"/>
          <w:sz w:val="20"/>
          <w:szCs w:val="20"/>
        </w:rPr>
        <w:t xml:space="preserve">as fórmulas de comportamento e a engenharia do ticket ideal.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H · Mapa de Aplicação ✦ — </w:t>
      </w:r>
      <w:r>
        <w:rPr>
          <w:color w:val="3A3A3A"/>
          <w:sz w:val="20"/>
          <w:szCs w:val="20"/>
        </w:rPr>
        <w:t xml:space="preserve">onde, quando, por quem e ligada a quê cada fórmula roda.</w:t>
      </w:r>
    </w:p>
    <w:p>
      <w:r>
        <w:br w:type="page"/>
      </w:r>
    </w:p>
    <w:p>
      <w:pPr>
        <w:pStyle w:val="Heading1"/>
      </w:pPr>
      <w:r>
        <w:t xml:space="preserve">Parte A — Caixa de Ferramentas Analíticas (dados e caixa)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diagnóstico que gera o choque do Dia 5 e a inteligência da fila diária.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Base de clientes (o dado morto)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A1 · Completude — </w:t>
      </w:r>
      <w:r>
        <w:rPr>
          <w:color w:val="3A3A3A"/>
          <w:sz w:val="20"/>
          <w:szCs w:val="20"/>
        </w:rPr>
        <w:t xml:space="preserve">% preenchido = registros com o campo ÷ total × 100. ✦ Contingência: se &lt;30% com telefone/CPF, o choque do D5 pivota 100% para o estoque (B4/B5) e a captação começa no balcão.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A2 · RFM — </w:t>
      </w:r>
      <w:r>
        <w:rPr>
          <w:color w:val="3A3A3A"/>
          <w:sz w:val="20"/>
          <w:szCs w:val="20"/>
        </w:rPr>
        <w:t xml:space="preserve">pontua cada cliente 1–5 em Recência, Frequência e Valor (quintis); segmentos: Campeões (555), Fiéis, Em Risco, Hibernando, Perdidos. Alimenta o Mapa da Mina.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A3 · Churn Invisível ✦ — </w:t>
      </w:r>
      <w:r>
        <w:rPr>
          <w:color w:val="3A3A3A"/>
          <w:sz w:val="20"/>
          <w:szCs w:val="20"/>
        </w:rPr>
        <w:t xml:space="preserve">ciclo = mediana do intervalo entre compras dos fiéis (não os 12 meses genéricos). Churn se (hoje − última compra) &gt; ciclo × 1,5. Perda R$ = nº em churn × ticket médio.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A4 · Receita Latente — </w:t>
      </w:r>
      <w:r>
        <w:rPr>
          <w:color w:val="3A3A3A"/>
          <w:sz w:val="20"/>
          <w:szCs w:val="20"/>
        </w:rPr>
        <w:t xml:space="preserve">attach = clientes com categoria X ÷ clientes de grau × 100. R$ latente = (base sem X) × conversão esperada × ticket de X. Gera a fila de cross-sell e o attach-alvo (IA).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Estoque e margem (a salvação do caixa)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B1 · Giro e Cobertura — </w:t>
      </w:r>
      <w:r>
        <w:rPr>
          <w:color w:val="3A3A3A"/>
          <w:sz w:val="20"/>
          <w:szCs w:val="20"/>
        </w:rPr>
        <w:t xml:space="preserve">Giro = CMV ÷ estoque médio a custo; Cobertura (dias) = 365 ÷ giro.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B2 · GMROI — </w:t>
      </w:r>
      <w:r>
        <w:rPr>
          <w:color w:val="3A3A3A"/>
          <w:sz w:val="20"/>
          <w:szCs w:val="20"/>
        </w:rPr>
        <w:t xml:space="preserve">Margem bruta (R$) ÷ estoque médio a custo. &gt; 1 se paga; &lt; 1 destrói valor. A métrica-rainha do estoque.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B3 · ABC × giro — </w:t>
      </w:r>
      <w:r>
        <w:rPr>
          <w:color w:val="3A3A3A"/>
          <w:sz w:val="20"/>
          <w:szCs w:val="20"/>
        </w:rPr>
        <w:t xml:space="preserve">A = 80% da receita/margem; A de baixo giro = capital preso; C de alto giro = risco de ruptura.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B4 · Estoque Morto ✦ — </w:t>
      </w:r>
      <w:r>
        <w:rPr>
          <w:color w:val="3A3A3A"/>
          <w:sz w:val="20"/>
          <w:szCs w:val="20"/>
        </w:rPr>
        <w:t xml:space="preserve">SKUs sem saída há 6–9 meses. Capital preso = Σ (qtd × custo). A âncora do contrato quando o cadastro é ruim.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B5 · Margem de Contribuição ✦ — </w:t>
      </w:r>
      <w:r>
        <w:rPr>
          <w:color w:val="3A3A3A"/>
          <w:sz w:val="20"/>
          <w:szCs w:val="20"/>
        </w:rPr>
        <w:t xml:space="preserve">MC = preço − custo de entrada − variáveis (imposto, comissão, taxa de cartão). Sinaliza MC &lt; 0 e markup defasado. O soco do D5.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Clube e crédito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C1 · Unit Economics do Clube — </w:t>
      </w:r>
      <w:r>
        <w:rPr>
          <w:color w:val="3A3A3A"/>
          <w:sz w:val="20"/>
          <w:szCs w:val="20"/>
        </w:rPr>
        <w:t xml:space="preserve">mensalidade mínima ≥ custo mensal de servir ÷ (1 − margem-alvo). Break-even = fixos ÷ margem por assinante.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C2 · Crédito Risco Zero ✦ — </w:t>
      </w:r>
      <w:r>
        <w:rPr>
          <w:color w:val="3A3A3A"/>
          <w:sz w:val="20"/>
          <w:szCs w:val="20"/>
        </w:rPr>
        <w:t xml:space="preserve">a Aurora conecta a ótica a um parceiro que assume 100% do default; a ótica não vira banco. Monetização = setup + retainer valorizado pelo uplift; exigir o dado da transação de volta ao motor.</w:t>
      </w:r>
    </w:p>
    <w:p>
      <w:r>
        <w:br w:type="page"/>
      </w:r>
    </w:p>
    <w:p>
      <w:pPr>
        <w:pStyle w:val="Heading1"/>
      </w:pPr>
      <w:r>
        <w:t xml:space="preserve">Parte B — Motor de Recompra de Dois Relógios ✦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sonho da ótica é baixar a recompra de 15+ meses para menos de 12. Não se apressa a saúde (o grau muda quando muda); liga-se um segundo relógio: o da moda. Óculos é acessório de guarda-roupa que troca por coleção e estação — o modelo “Chilli Beans”, coleção nova a cada 40 dias.</w:t>
      </w:r>
    </w:p>
    <w:p>
      <w:pPr>
        <w:spacing w:after="36" w:before="110"/>
        <w:jc w:val="center"/>
      </w:pPr>
      <w:r>
        <w:drawing>
          <wp:inline distT="0" distB="0" distL="0" distR="0">
            <wp:extent cx="4267200" cy="2990850"/>
            <wp:effectExtent t="0" r="0" b="0" l="0"/>
            <wp:docPr id="1" name="d" descr="d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777777"/>
          <w:sz w:val="18"/>
          <w:szCs w:val="18"/>
        </w:rPr>
        <w:t xml:space="preserve">Dois relógios, duas populações e a fusão com o estoque.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As duas populações do radar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Base (comprou) — </w:t>
      </w:r>
      <w:r>
        <w:rPr>
          <w:color w:val="3A3A3A"/>
          <w:sz w:val="20"/>
          <w:szCs w:val="20"/>
        </w:rPr>
        <w:t xml:space="preserve">entra nos dois relógios de recompra.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Pendentes (deu dados, não comprou) — </w:t>
      </w:r>
      <w:r>
        <w:rPr>
          <w:color w:val="3A3A3A"/>
          <w:sz w:val="20"/>
          <w:szCs w:val="20"/>
        </w:rPr>
        <w:t xml:space="preserve">entram num track de conversão + nos gatilhos de moda. É o “não compre antes de me ligar” virando pipeline, recriando o lado esquerdo do funil que o varejo perde.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Os dois relógios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Dimensão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Relógio Saúde (piso)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Relógio Moda (frequência)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Cadência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~12 meses.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~40 dias (coleção), estações, ocasiões.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Gatilho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Exame vencendo, troca de grau, garantia.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Coleção nova, verão/volta às aulas, data pessoal.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Alvo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Toda a base.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Os fashion-responsivos (do decode).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Função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Defensiva: segura contra a concorrência da quadra.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Ofensiva: comprime o ciclo; vende o par-acessório.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Método Saúde — </w:t>
      </w:r>
      <w:r>
        <w:rPr>
          <w:color w:val="3A3A3A"/>
          <w:sz w:val="20"/>
          <w:szCs w:val="20"/>
        </w:rPr>
        <w:t xml:space="preserve">régua de recall determinística por cliente, com o ciclo derivado do próprio dado (A3), disparando antes do vencimento.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Método Moda — </w:t>
      </w:r>
      <w:r>
        <w:rPr>
          <w:color w:val="3A3A3A"/>
          <w:sz w:val="20"/>
          <w:szCs w:val="20"/>
        </w:rPr>
        <w:t xml:space="preserve">calendário de coleção/ocasião, disparo dirigido só aos fashion-responsivos (quem já comprou solar/2º par/marca-desejo).</w:t>
      </w:r>
    </w:p>
    <w:p>
      <w:pPr>
        <w:pBdr>
          <w:left w:val="single" w:color="2E5D34" w:sz="18" w:space="10"/>
        </w:pBdr>
        <w:shd w:fill="EEF2F6" w:val="clear"/>
        <w:spacing w:after="150" w:before="70" w:line="276"/>
      </w:pPr>
      <w:r>
        <w:rPr>
          <w:b/>
          <w:bCs/>
          <w:color w:val="2E5D34"/>
          <w:sz w:val="20"/>
          <w:szCs w:val="20"/>
        </w:rPr>
        <w:t xml:space="preserve">A fusão moda × estoque (o moat)  </w:t>
      </w:r>
      <w:r>
        <w:rPr>
          <w:color w:val="333333"/>
          <w:sz w:val="20"/>
          <w:szCs w:val="20"/>
        </w:rPr>
        <w:t xml:space="preserve">Se óculos é moda, o estoque gira como moda — comprar coleção errada é estoque morto (GMROI/B4 importam mais). O dado de recompra dirige a compra da coleção; a coleção dispara a recompra; a recompra gera mais dado. Ninguém no varejo ótico liga o CRM ao GMROI — a cadência de 40 dias obriga. É o diferencial real da Aurora.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O Clube reposicionado — </w:t>
      </w:r>
      <w:r>
        <w:rPr>
          <w:color w:val="3A3A3A"/>
          <w:sz w:val="20"/>
          <w:szCs w:val="20"/>
        </w:rPr>
        <w:t xml:space="preserve">saúde é o motivo para ENTRAR (exame, garantia, confiança); moda é o motivo para VOLTAR (preview de coleção, consultoria de estilo, acesso antecipado). O nome “Saúde Visual” subvende a frequência.</w:t>
      </w:r>
    </w:p>
    <w:p>
      <w:r>
        <w:br w:type="page"/>
      </w:r>
    </w:p>
    <w:p>
      <w:pPr>
        <w:pStyle w:val="Heading1"/>
      </w:pPr>
      <w:r>
        <w:t xml:space="preserve">Parte C — Motor de Adoção e Cultura ✦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Não se muda cultura impondo sistema. Move-se pela influência social e pelo bolso. Dois eixos, três métodos.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Influência baixa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Influência 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Desempenho alto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Artesão — template técnico; não conta para virar a cultura.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Âncora — template E evangelista. Dê palco.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Desempenho baixo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Base — coaching ou saída. Baixo risco.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O Portão — decide se o projeto vive. Conquiste por co-optação (papel de piloto da fila).</w:t>
            </w:r>
          </w:p>
        </w:tc>
      </w:tr>
    </w:tbl>
    <w:p>
      <w:pPr>
        <w:spacing w:after="118" w:line="276"/>
      </w:pPr>
      <w:r>
        <w:rPr>
          <w:b/>
          <w:bCs/>
          <w:i w:val="false"/>
          <w:iCs w:val="false"/>
          <w:color w:val="1F3A5F"/>
          <w:sz w:val="21"/>
          <w:szCs w:val="21"/>
        </w:rPr>
        <w:t xml:space="preserve">Regra de ouro: a cultura se move pela coluna da influência, não pela do desempenho. O desempenho dá o método; a influência define o cronograma de adoção.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Medir o desempenho — </w:t>
      </w:r>
      <w:r>
        <w:rPr>
          <w:color w:val="3A3A3A"/>
          <w:sz w:val="20"/>
          <w:szCs w:val="20"/>
        </w:rPr>
        <w:t xml:space="preserve">scoring por vendedor (conversão, attach/P.A., taxa de cadastro, recompra da carteira dele). Dado, não opinião.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Identificar a influência — </w:t>
      </w:r>
      <w:r>
        <w:rPr>
          <w:color w:val="3A3A3A"/>
          <w:sz w:val="20"/>
          <w:szCs w:val="20"/>
        </w:rPr>
        <w:t xml:space="preserve">sociometria: “quem você procura na dúvida? quem puxa o clima? quem ensina o novato?”. Mais setas = líder informal.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Conquistar — </w:t>
      </w:r>
      <w:r>
        <w:rPr>
          <w:color w:val="3A3A3A"/>
          <w:sz w:val="20"/>
          <w:szCs w:val="20"/>
        </w:rPr>
        <w:t xml:space="preserve">co-optação: dê ao Portão o papel de piloto da nova fila. Transforma o maior risco no maior propagador.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A Venda do Cadastro (zero sifocância)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Mentalidade: “o cadastro é a MINHA carteira”. Metáfora: a compra é o primeiro encontro, não o casamento — sem ferramenta para continuar cortejando, o concorrente da quadra casa com o seu cliente.</w:t>
      </w:r>
    </w:p>
    <w:p>
      <w:pPr>
        <w:pBdr>
          <w:left w:val="single" w:color="8A2B2B" w:sz="18" w:space="10"/>
        </w:pBdr>
        <w:shd w:fill="EEF2F6" w:val="clear"/>
        <w:spacing w:after="150" w:before="70" w:line="276"/>
      </w:pPr>
      <w:r>
        <w:rPr>
          <w:b/>
          <w:bCs/>
          <w:color w:val="8A2B2B"/>
          <w:sz w:val="20"/>
          <w:szCs w:val="20"/>
        </w:rPr>
        <w:t xml:space="preserve">O gancho imediato ✦ (obrigatório — não reverter)  </w:t>
      </w:r>
      <w:r>
        <w:rPr>
          <w:color w:val="333333"/>
          <w:sz w:val="20"/>
          <w:szCs w:val="20"/>
        </w:rPr>
        <w:t xml:space="preserve">No cartão a recompensa é hoje; no cadastro o recall só paga em 12 meses — vender só o futuro (“comissão ano que vem”) mata o hábito. Todo cadastro vem grudado num ganho de agora: o pitch do clube / 2º par na mesma visita, mais um spiff de identificação. E a captura defensiva: “não compre antes de me ligar, eu vou brigar por você” — com uma margem de briga definida (um limite de desconto que o vendedor pode puxar), senão a promessa é falsa e ele para de usar.</w:t>
      </w:r>
    </w:p>
    <w:p>
      <w:pPr>
        <w:spacing w:after="96" w:line="272"/>
        <w:ind w:left="340"/>
      </w:pPr>
      <w:r>
        <w:rPr>
          <w:b/>
          <w:bCs/>
          <w:color w:val="6E4B2A"/>
          <w:sz w:val="20"/>
          <w:szCs w:val="20"/>
        </w:rPr>
        <w:t xml:space="preserve">Script — captura: </w:t>
      </w:r>
      <w:r>
        <w:rPr>
          <w:i/>
          <w:iCs/>
          <w:color w:val="333333"/>
          <w:sz w:val="20"/>
          <w:szCs w:val="20"/>
        </w:rPr>
        <w:t xml:space="preserve">“Vou registrar seu grau e a data do exame aqui. Assim, quando estiver perto de vencer, eu te aviso pra você não ficar enxergando mal nem perder a garantia. Qual o melhor WhatsApp?”</w:t>
      </w:r>
    </w:p>
    <w:p>
      <w:pPr>
        <w:spacing w:after="96" w:line="272"/>
        <w:ind w:left="340"/>
      </w:pPr>
      <w:r>
        <w:rPr>
          <w:b/>
          <w:bCs/>
          <w:color w:val="6E4B2A"/>
          <w:sz w:val="20"/>
          <w:szCs w:val="20"/>
        </w:rPr>
        <w:t xml:space="preserve">Script — sem compra hoje: </w:t>
      </w:r>
      <w:r>
        <w:rPr>
          <w:i/>
          <w:iCs/>
          <w:color w:val="333333"/>
          <w:sz w:val="20"/>
          <w:szCs w:val="20"/>
        </w:rPr>
        <w:t xml:space="preserve">“Sem problema não levar agora. Deixa eu anotar seu contato e o que você gostou — quando chegar novidade da sua cara ou uma condição melhor, eu te chamo primeiro. Não compre em outro lugar sem falar comigo de novo.”</w:t>
      </w:r>
    </w:p>
    <w:p>
      <w:r>
        <w:br w:type="page"/>
      </w:r>
    </w:p>
    <w:p>
      <w:pPr>
        <w:pStyle w:val="Heading1"/>
      </w:pPr>
      <w:r>
        <w:t xml:space="preserve">Parte D — Linha do Tempo de Execução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4150"/>
        <w:gridCol w:w="3426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Bloco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Método / ferramenta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Output / Gate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D1–D4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Coleta e Oracle. Se o dado for ruim (A1), peso 100% no choque de estoque (B4/B5).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Números mastigados em R$.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D5–D7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Executive Audit Report: liderar por B5 (prejuízo oculto) + A3/A4 (churn/latente), em R$.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GATE 1: escopo assinado e pago.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D8–D10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Fila diária (churn/latente) + régua de recall dos dois relógios. Captura de identidade vira trava de PDV.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Fila de resgate na mão dos vendedores.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D11–D13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Dupla trilha: fila em loja vazia, passante no movimento.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GATE 2: 100% dos leads na triagem; captura de CPF ativa.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D14–D15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Mapeamento de tropa: sociometria + scoring → Matriz. Conquistar o Portão com as melhores listas.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Matriz montada; Portão a bordo.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D16–D25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Clube (C1) + crédito risco zero (C2) + calendário de coleção do Relógio Moda com o dono.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Esteira de crédito, Clube e calendário prontos.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D26–D30+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Cockpit (Chronos) + início da coleta da Parte F. Shadowing contínuo no retainer.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GATE 3: cliente em retainer.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E — O Cockpit: KPIs de operação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painel do dono. O indicador-mãe é o ciclo de recompra caindo. Sem métrica de vaidade.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76"/>
        <w:gridCol w:w="135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KPI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Fórmula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Ciclo médio de recompra (north-star)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mediana do intervalo entre compras da base ativa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15+ → &lt;12 meses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Taxa de cadastro por vendedor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clientes identificados ÷ atendimentos (AT)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fim do anonimato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Taxa de recompra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voltaram ÷ elegíveis no período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sobe se o recall funciona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Attach rate / UPT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vendas com categoria extra ÷ total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captura de Receita Latente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GMROI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margem bruta (R$) ÷ estoque médio a custo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&gt;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Conversão de pendentes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pendentes que compraram ÷ pendentes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o lado esquerdo do funil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MRR do Clube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Σ mensalidades ativas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recorrência nova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F — Arquitetura de Performance (3 Camadas) ✦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Mede o DNA de performance de cada indivíduo para achar os padrões do top performer e desenhar a régua de contratação. É radar de crescimento, nunca vigilância.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Camada 1 — Determinístico (matemática do comportamento)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Sistema lógico que pontua padrões observáveis: ticket real vs. ideal, attach pessoal, adesão a campanha, conversão da fila, taxa de cadastro. Saída: o Score de Engenharia de Venda (SEV), detalhado na Parte G.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Camada 2 — Probabilístico (forecast)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Cruza a Camada 1 com compras e estoque: prevê venda/caixa (PV) e ruptura da Curva A (DR). Amadurece em 60–90 dias, conforme o dado acumula.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Camada 3 — Analítico-Comportamental (crivo do gestor)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Onde a matemática não alcança a nuance: ética, pontualidade, valores, qualidade (cliente oculto/NPS) e posição na Matriz. Funde-se às Camadas 1 e 2 na Régua de Perfil Ideal.</w:t>
      </w:r>
    </w:p>
    <w:p>
      <w:pPr>
        <w:pStyle w:val="Heading2"/>
      </w:pPr>
      <w:r>
        <w:t xml:space="preserve">As 5 regras de governança (a trava-mãe)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Este motor é efetivo e desconfortável em algum grau — mas nunca é vendido nem usado como ferramenta punitiva.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1. Escada de três modos — </w:t>
      </w:r>
      <w:r>
        <w:rPr>
          <w:color w:val="3A3A3A"/>
          <w:sz w:val="20"/>
          <w:szCs w:val="20"/>
        </w:rPr>
        <w:t xml:space="preserve">(a) só na consultoria → (b) anônimo, por arquétipos/amostragem → (c) gestão nominal. Sobe por confiança conquistada.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2. Empacotamento do score (a trava-mãe) — </w:t>
      </w:r>
      <w:r>
        <w:rPr>
          <w:color w:val="3A3A3A"/>
          <w:sz w:val="20"/>
          <w:szCs w:val="20"/>
        </w:rPr>
        <w:t xml:space="preserve">sempre score + caminho de desenvolvimento, nunca ranking cru. Pago ou não, o formato protege.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3. Painel por bandas, não por nomes — </w:t>
      </w:r>
      <w:r>
        <w:rPr>
          <w:color w:val="3A3A3A"/>
          <w:sz w:val="20"/>
          <w:szCs w:val="20"/>
        </w:rPr>
        <w:t xml:space="preserve">mostra a distribuição (X na banda 60–75, Y na 90–100), a assinatura de comportamento de cada banda e o gap em R$ entre média e topo. KPI: mover a curva para a direita, não cortar a cauda.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4. Portão de preço no modo (c) — </w:t>
      </w:r>
      <w:r>
        <w:rPr>
          <w:color w:val="3A3A3A"/>
          <w:sz w:val="20"/>
          <w:szCs w:val="20"/>
        </w:rPr>
        <w:t xml:space="preserve">qualifica financeiramente. Mas preço filtra a carteira, não o caráter — vem com o empacotamento e o tempo de relação, nunca sozinho.</w:t>
      </w:r>
    </w:p>
    <w:p>
      <w:pPr>
        <w:pStyle w:val="ListParagraph"/>
        <w:numPr>
          <w:ilvl w:val="0"/>
          <w:numId w:val="2"/>
        </w:numPr>
        <w:spacing w:after="62" w:line="262"/>
      </w:pPr>
      <w:r>
        <w:rPr>
          <w:b/>
          <w:bCs/>
          <w:color w:val="1F3A5F"/>
          <w:sz w:val="20"/>
          <w:szCs w:val="20"/>
        </w:rPr>
        <w:t xml:space="preserve">5. Onde os nomes vivem — </w:t>
      </w:r>
      <w:r>
        <w:rPr>
          <w:color w:val="3A3A3A"/>
          <w:sz w:val="20"/>
          <w:szCs w:val="20"/>
        </w:rPr>
        <w:t xml:space="preserve">no coaching privado (com o caminho de melhora), nunca no painel.</w:t>
      </w:r>
    </w:p>
    <w:p>
      <w:pPr>
        <w:pBdr>
          <w:left w:val="single" w:color="8A2B2B" w:sz="18" w:space="10"/>
        </w:pBdr>
        <w:shd w:fill="EEF2F6" w:val="clear"/>
        <w:spacing w:after="150" w:before="70" w:line="276"/>
      </w:pPr>
      <w:r>
        <w:rPr>
          <w:b/>
          <w:bCs/>
          <w:color w:val="8A2B2B"/>
          <w:sz w:val="20"/>
          <w:szCs w:val="20"/>
        </w:rPr>
        <w:t xml:space="preserve">Compliance (RH e LGPD)  </w:t>
      </w:r>
      <w:r>
        <w:rPr>
          <w:color w:val="333333"/>
          <w:sz w:val="20"/>
          <w:szCs w:val="20"/>
        </w:rPr>
        <w:t xml:space="preserve">Métricas individuais e seu peso em decisões de RH exigem cautela com a lei trabalhista (evitar assédio por ranking vexatório) e a LGPD (dado do colaborador e do cliente). O anônimo por bandas protege — e garante dado honesto: sistema que pune, a equipe gambiarra; sistema que desenvolve, o dado fica limpo. Passe por RH/jurídico antes de a régua dirigir contratação/demissão.</w:t>
      </w:r>
    </w:p>
    <w:p>
      <w:r>
        <w:br w:type="page"/>
      </w:r>
    </w:p>
    <w:p>
      <w:pPr>
        <w:pStyle w:val="Heading1"/>
      </w:pPr>
      <w:r>
        <w:t xml:space="preserve">Parte G — O SEV e a engenharia do TMI (detalhe)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“como” da Camada 1. Cinco índices, todos normalizados de 0 a 100 contra um alvo derivado do dado — não pela taxa crua.</w:t>
      </w:r>
    </w:p>
    <w:p>
      <w:pPr>
        <w:spacing w:after="38" w:before="150"/>
      </w:pPr>
      <w:r>
        <w:rPr>
          <w:b/>
          <w:bCs/>
          <w:color w:val="6E4B2A"/>
          <w:sz w:val="22"/>
          <w:szCs w:val="22"/>
        </w:rPr>
        <w:t xml:space="preserve">Normalização (vale para todo índice)</w:t>
      </w:r>
    </w:p>
    <w:p>
      <w:pPr>
        <w:pBdr>
          <w:left w:val="single" w:color="1F3A5F" w:sz="14" w:space="8"/>
        </w:pBdr>
        <w:shd w:fill="EAF0F6" w:val="clear"/>
        <w:spacing w:after="38"/>
      </w:pPr>
      <w:r>
        <w:rPr>
          <w:b/>
          <w:bCs/>
          <w:color w:val="10305A"/>
          <w:sz w:val="21"/>
          <w:szCs w:val="21"/>
        </w:rPr>
        <w:t xml:space="preserve">  IN = mín( Real ÷ Alvo ; 1 ) × 100</w:t>
      </w:r>
    </w:p>
    <w:p>
      <w:pPr>
        <w:spacing w:after="36" w:line="262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IN = índice normalizado · Real = taxa realizada · Alvo = alvo derivado do dado · mín(…;1) = teto em 100.</w:t>
      </w:r>
    </w:p>
    <w:p>
      <w:pPr>
        <w:spacing w:after="120" w:line="272"/>
      </w:pPr>
      <w:r>
        <w:rPr>
          <w:b/>
          <w:bCs/>
          <w:color w:val="1F3A5F"/>
          <w:sz w:val="19"/>
          <w:szCs w:val="19"/>
        </w:rPr>
        <w:t xml:space="preserve">O que significa: </w:t>
      </w:r>
      <w:r>
        <w:rPr>
          <w:color w:val="3A3A3A"/>
          <w:sz w:val="19"/>
          <w:szCs w:val="19"/>
        </w:rPr>
        <w:t xml:space="preserve">Cada índice mede “quão perto do ideal”, tornando as parcelas do SEV comparáveis. Sem isso, um índice de teto baixo pesa errado.</w:t>
      </w:r>
    </w:p>
    <w:p>
      <w:pPr>
        <w:spacing w:after="38" w:before="150"/>
      </w:pPr>
      <w:r>
        <w:rPr>
          <w:b/>
          <w:bCs/>
          <w:color w:val="6E4B2A"/>
          <w:sz w:val="22"/>
          <w:szCs w:val="22"/>
        </w:rPr>
        <w:t xml:space="preserve">IC · Captura (alvo = 100%)</w:t>
      </w:r>
    </w:p>
    <w:p>
      <w:pPr>
        <w:pBdr>
          <w:left w:val="single" w:color="1F3A5F" w:sz="14" w:space="8"/>
        </w:pBdr>
        <w:shd w:fill="EAF0F6" w:val="clear"/>
        <w:spacing w:after="38"/>
      </w:pPr>
      <w:r>
        <w:rPr>
          <w:b/>
          <w:bCs/>
          <w:color w:val="10305A"/>
          <w:sz w:val="21"/>
          <w:szCs w:val="21"/>
        </w:rPr>
        <w:t xml:space="preserve">  IC = mín( AC ÷ AT ; 1 ) × 100</w:t>
      </w:r>
    </w:p>
    <w:p>
      <w:pPr>
        <w:spacing w:after="36" w:line="262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AC = Atendimentos Cadastrados · AT = Atendimentos Totais.</w:t>
      </w:r>
    </w:p>
    <w:p>
      <w:pPr>
        <w:spacing w:after="120" w:line="272"/>
      </w:pPr>
      <w:r>
        <w:rPr>
          <w:b/>
          <w:bCs/>
          <w:color w:val="1F3A5F"/>
          <w:sz w:val="19"/>
          <w:szCs w:val="19"/>
        </w:rPr>
        <w:t xml:space="preserve">O que significa: </w:t>
      </w:r>
      <w:r>
        <w:rPr>
          <w:color w:val="3A3A3A"/>
          <w:sz w:val="19"/>
          <w:szCs w:val="19"/>
        </w:rPr>
        <w:t xml:space="preserve">Único índice cujo alvo é 100 de verdade (identificar todo atendimento). Não precisa derivação.</w:t>
      </w:r>
    </w:p>
    <w:p>
      <w:pPr>
        <w:pBdr>
          <w:left w:val="single" w:color="8A2B2B" w:sz="18" w:space="10"/>
        </w:pBdr>
        <w:shd w:fill="EEF2F6" w:val="clear"/>
        <w:spacing w:after="150" w:before="70" w:line="276"/>
      </w:pPr>
      <w:r>
        <w:rPr>
          <w:b/>
          <w:bCs/>
          <w:color w:val="8A2B2B"/>
          <w:sz w:val="20"/>
          <w:szCs w:val="20"/>
        </w:rPr>
        <w:t xml:space="preserve">O buraco do AT (medir o denominador) ✦  </w:t>
      </w:r>
      <w:r>
        <w:rPr>
          <w:color w:val="333333"/>
          <w:sz w:val="20"/>
          <w:szCs w:val="20"/>
        </w:rPr>
        <w:t xml:space="preserve">O AT não é observável por padrão (o não-comprador raramente é registrado). Escada: Nível 0 = proxy por orçamento no PDV (ponte: Cadastros ÷ Vendas); Nível 1 = Ficha de Atendimento obrigatória (trava de PDV); Nível 2 = contador de fluxo. Anti-gaming: prefira o AT contado pelo sistema, nunca autorreporte.</w:t>
      </w:r>
    </w:p>
    <w:p>
      <w:pPr>
        <w:spacing w:after="38" w:before="150"/>
      </w:pPr>
      <w:r>
        <w:rPr>
          <w:b/>
          <w:bCs/>
          <w:color w:val="6E4B2A"/>
          <w:sz w:val="22"/>
          <w:szCs w:val="22"/>
        </w:rPr>
        <w:t xml:space="preserve">IA · Anexação (attach-alvo derivado)</w:t>
      </w:r>
    </w:p>
    <w:p>
      <w:pPr>
        <w:pBdr>
          <w:left w:val="single" w:color="1F3A5F" w:sz="14" w:space="8"/>
        </w:pBdr>
        <w:shd w:fill="EAF0F6" w:val="clear"/>
        <w:spacing w:after="38"/>
      </w:pPr>
      <w:r>
        <w:rPr>
          <w:b/>
          <w:bCs/>
          <w:color w:val="10305A"/>
          <w:sz w:val="21"/>
          <w:szCs w:val="21"/>
        </w:rPr>
        <w:t xml:space="preserve">  AttachAlvo = P75(attach por segmento) → IA = mín( AttachReal ÷ AttachAlvo ; 1 ) × 100</w:t>
      </w:r>
    </w:p>
    <w:p>
      <w:pPr>
        <w:spacing w:after="36" w:line="262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attach = VC ÷ VG · P75 = terceiro quartil · segmento = base do produto.</w:t>
      </w:r>
    </w:p>
    <w:p>
      <w:pPr>
        <w:spacing w:after="120" w:line="272"/>
      </w:pPr>
      <w:r>
        <w:rPr>
          <w:b/>
          <w:bCs/>
          <w:color w:val="1F3A5F"/>
          <w:sz w:val="19"/>
          <w:szCs w:val="19"/>
        </w:rPr>
        <w:t xml:space="preserve">O que significa: </w:t>
      </w:r>
      <w:r>
        <w:rPr>
          <w:color w:val="3A3A3A"/>
          <w:sz w:val="19"/>
          <w:szCs w:val="19"/>
        </w:rPr>
        <w:t xml:space="preserve">O alvo é o que os melhores já anexam ali, por tipo de cliente. Triangule com o kit clínico; o gap = Receita Latente.</w:t>
      </w:r>
    </w:p>
    <w:p>
      <w:pPr>
        <w:spacing w:after="38" w:before="150"/>
      </w:pPr>
      <w:r>
        <w:rPr>
          <w:b/>
          <w:bCs/>
          <w:color w:val="6E4B2A"/>
          <w:sz w:val="22"/>
          <w:szCs w:val="22"/>
        </w:rPr>
        <w:t xml:space="preserve">IR · Resgate (conv-alvo por temperatura)</w:t>
      </w:r>
    </w:p>
    <w:p>
      <w:pPr>
        <w:pBdr>
          <w:left w:val="single" w:color="1F3A5F" w:sz="14" w:space="8"/>
        </w:pBdr>
        <w:shd w:fill="EAF0F6" w:val="clear"/>
        <w:spacing w:after="38"/>
      </w:pPr>
      <w:r>
        <w:rPr>
          <w:b/>
          <w:bCs/>
          <w:color w:val="10305A"/>
          <w:sz w:val="21"/>
          <w:szCs w:val="21"/>
        </w:rPr>
        <w:t xml:space="preserve">  ConvAlvo = P75(conversão por temperatura) → IR = mín( ConvReal ÷ ConvAlvo ; 1 ) × 100</w:t>
      </w:r>
    </w:p>
    <w:p>
      <w:pPr>
        <w:spacing w:after="36" w:line="262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conversão = AR ÷ CF · temperatura = tipo de fila (recall de exame vencido = quente; reativação fria = fria).</w:t>
      </w:r>
    </w:p>
    <w:p>
      <w:pPr>
        <w:spacing w:after="120" w:line="272"/>
      </w:pPr>
      <w:r>
        <w:rPr>
          <w:b/>
          <w:bCs/>
          <w:color w:val="1F3A5F"/>
          <w:sz w:val="19"/>
          <w:szCs w:val="19"/>
        </w:rPr>
        <w:t xml:space="preserve">O que significa: </w:t>
      </w:r>
      <w:r>
        <w:rPr>
          <w:color w:val="3A3A3A"/>
          <w:sz w:val="19"/>
          <w:szCs w:val="19"/>
        </w:rPr>
        <w:t xml:space="preserve">Segmenta por temperatura, senão pune quem pegou a lista fria — o mesmo “sorte vs. habilidade” do TMI.</w:t>
      </w:r>
    </w:p>
    <w:p>
      <w:pPr>
        <w:spacing w:after="38" w:before="150"/>
      </w:pPr>
      <w:r>
        <w:rPr>
          <w:b/>
          <w:bCs/>
          <w:color w:val="6E4B2A"/>
          <w:sz w:val="22"/>
          <w:szCs w:val="22"/>
        </w:rPr>
        <w:t xml:space="preserve">IAd · Adesão (alvo NÃO é 100%)</w:t>
      </w:r>
    </w:p>
    <w:p>
      <w:pPr>
        <w:pBdr>
          <w:left w:val="single" w:color="1F3A5F" w:sz="14" w:space="8"/>
        </w:pBdr>
        <w:shd w:fill="EAF0F6" w:val="clear"/>
        <w:spacing w:after="38"/>
      </w:pPr>
      <w:r>
        <w:rPr>
          <w:b/>
          <w:bCs/>
          <w:color w:val="10305A"/>
          <w:sz w:val="21"/>
          <w:szCs w:val="21"/>
        </w:rPr>
        <w:t xml:space="preserve">  AdesãoAlvo = participação-meta da campanha → IAd = mín( AdesãoReal ÷ AdesãoAlvo ; 1 ) × 100</w:t>
      </w:r>
    </w:p>
    <w:p>
      <w:pPr>
        <w:spacing w:after="36" w:line="262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adesão = VCa ÷ VTC · alvo = a % de participação que a campanha quer.</w:t>
      </w:r>
    </w:p>
    <w:p>
      <w:pPr>
        <w:spacing w:after="120" w:line="272"/>
      </w:pPr>
      <w:r>
        <w:rPr>
          <w:b/>
          <w:bCs/>
          <w:color w:val="1F3A5F"/>
          <w:sz w:val="19"/>
          <w:szCs w:val="19"/>
        </w:rPr>
        <w:t xml:space="preserve">O que significa: </w:t>
      </w:r>
      <w:r>
        <w:rPr>
          <w:color w:val="3A3A3A"/>
          <w:sz w:val="19"/>
          <w:szCs w:val="19"/>
        </w:rPr>
        <w:t xml:space="preserve">Não se quer só venda de campanha. Cuidado com super-adesão canibalizando o mix; se preciso, use banda-alvo.</w:t>
      </w:r>
    </w:p>
    <w:p>
      <w:pPr>
        <w:spacing w:after="38" w:before="150"/>
      </w:pPr>
      <w:r>
        <w:rPr>
          <w:b/>
          <w:bCs/>
          <w:color w:val="6E4B2A"/>
          <w:sz w:val="22"/>
          <w:szCs w:val="22"/>
        </w:rPr>
        <w:t xml:space="preserve">SEV · composição</w:t>
      </w:r>
    </w:p>
    <w:p>
      <w:pPr>
        <w:pBdr>
          <w:left w:val="single" w:color="1F3A5F" w:sz="14" w:space="8"/>
        </w:pBdr>
        <w:shd w:fill="EAF0F6" w:val="clear"/>
        <w:spacing w:after="38"/>
      </w:pPr>
      <w:r>
        <w:rPr>
          <w:b/>
          <w:bCs/>
          <w:color w:val="10305A"/>
          <w:sz w:val="21"/>
          <w:szCs w:val="21"/>
        </w:rPr>
        <w:t xml:space="preserve">  SEV = (IC×p1)+(IA×p2)+(IT×p3)+(IR×p4)+(IAd×p5)</w:t>
      </w:r>
    </w:p>
    <w:p>
      <w:pPr>
        <w:spacing w:after="36" w:line="262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IC…IAd = os cinco índices normalizados · p1…p5 = pesos do estágio (somam 1).</w:t>
      </w:r>
    </w:p>
    <w:p>
      <w:pPr>
        <w:spacing w:after="120" w:line="272"/>
      </w:pPr>
      <w:r>
        <w:rPr>
          <w:b/>
          <w:bCs/>
          <w:color w:val="1F3A5F"/>
          <w:sz w:val="19"/>
          <w:szCs w:val="19"/>
        </w:rPr>
        <w:t xml:space="preserve">O que significa: </w:t>
      </w:r>
      <w:r>
        <w:rPr>
          <w:color w:val="3A3A3A"/>
          <w:sz w:val="19"/>
          <w:szCs w:val="19"/>
        </w:rPr>
        <w:t xml:space="preserve">Vetor padrão (Construção): 0,30 / 0,25 / 0,20 / 0,15 / 0,10 — Captura + Anexação = 55%. Os pesos seguem a maturidade da loja (tabela abaixo).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Régua de Pesos por Maturidade (lojas da mesma rede podem estar em estágios diferentes):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720"/>
        <w:gridCol w:w="720"/>
        <w:gridCol w:w="720"/>
        <w:gridCol w:w="720"/>
        <w:gridCol w:w="720"/>
        <w:gridCol w:w="3476"/>
      </w:tblGrid>
      <w:tr>
        <w:trPr>
          <w:tblHeader/>
        </w:trP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Estágio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IC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IAd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Prioridade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Cego (Fases 1–2)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0,45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0,15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0,20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0,10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Encher a base — loja cega.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Construção (padrão)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0,30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0,25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0,20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0,15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0,10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Equilíbrio.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Cruzeiro (Fase 4)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0,15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0,25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0,20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0,30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0,10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Usar a fila (IR) agressivamente.</w:t>
            </w:r>
          </w:p>
        </w:tc>
      </w:tr>
    </w:tbl>
    <w:p>
      <w:pPr>
        <w:pBdr>
          <w:left w:val="single" w:color="1F3A5F" w:sz="18" w:space="10"/>
        </w:pBdr>
        <w:shd w:fill="EEF2F6" w:val="clear"/>
        <w:spacing w:after="150" w:before="70" w:line="276"/>
      </w:pPr>
      <w:r>
        <w:rPr>
          <w:b/>
          <w:bCs/>
          <w:color w:val="1F3A5F"/>
          <w:sz w:val="20"/>
          <w:szCs w:val="20"/>
        </w:rPr>
        <w:t xml:space="preserve">Por que rebaixar índice saturado não é só tático ✦  </w:t>
      </w:r>
      <w:r>
        <w:rPr>
          <w:color w:val="333333"/>
          <w:sz w:val="20"/>
          <w:szCs w:val="20"/>
        </w:rPr>
        <w:t xml:space="preserve">Quando um índice satura (todo mundo perto de 100, como o IC quando cadastrar vira rotina), ele perde poder de discriminação. Rebaixá-lo e subir o do que ainda varia é matematicamente correto. E cuidado: lojas com vetores de peso diferentes não têm SEV comparável — compare a tendência dentro de cada loja.</w:t>
      </w:r>
    </w:p>
    <w:p>
      <w:pPr>
        <w:pStyle w:val="Heading2"/>
      </w:pPr>
      <w:r>
        <w:t xml:space="preserve">A engenharia do TMI (denominador do IT)</w:t>
      </w:r>
    </w:p>
    <w:p>
      <w:pPr>
        <w:spacing w:after="38" w:before="150"/>
      </w:pPr>
      <w:r>
        <w:rPr>
          <w:b/>
          <w:bCs/>
          <w:color w:val="6E4B2A"/>
          <w:sz w:val="22"/>
          <w:szCs w:val="22"/>
        </w:rPr>
        <w:t xml:space="preserve">Passo 1–2 · TMI histórico do segmento</w:t>
      </w:r>
    </w:p>
    <w:p>
      <w:pPr>
        <w:pBdr>
          <w:left w:val="single" w:color="1F3A5F" w:sz="14" w:space="8"/>
        </w:pBdr>
        <w:shd w:fill="EAF0F6" w:val="clear"/>
        <w:spacing w:after="38"/>
      </w:pPr>
      <w:r>
        <w:rPr>
          <w:b/>
          <w:bCs/>
          <w:color w:val="10305A"/>
          <w:sz w:val="21"/>
          <w:szCs w:val="21"/>
        </w:rPr>
        <w:t xml:space="preserve">  TMIhs = P75( tickets do segmento s, na própria loja )</w:t>
      </w:r>
    </w:p>
    <w:p>
      <w:pPr>
        <w:spacing w:after="36" w:line="262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TMIhs = TMI histórico do segmento · segmentos: grau simples, multifocal, solar com grau, lente de contato.</w:t>
      </w:r>
    </w:p>
    <w:p>
      <w:pPr>
        <w:spacing w:after="120" w:line="272"/>
      </w:pPr>
      <w:r>
        <w:rPr>
          <w:b/>
          <w:bCs/>
          <w:color w:val="1F3A5F"/>
          <w:sz w:val="19"/>
          <w:szCs w:val="19"/>
        </w:rPr>
        <w:t xml:space="preserve">O que significa: </w:t>
      </w:r>
      <w:r>
        <w:rPr>
          <w:color w:val="3A3A3A"/>
          <w:sz w:val="19"/>
          <w:szCs w:val="19"/>
        </w:rPr>
        <w:t xml:space="preserve">O ideal é o que a loja já alcança quando vende bem: 25% já batem (possível), 75% ficam abaixo (aspiracional). Sobe sozinho.</w:t>
      </w:r>
    </w:p>
    <w:p>
      <w:pPr>
        <w:spacing w:after="38" w:before="150"/>
      </w:pPr>
      <w:r>
        <w:rPr>
          <w:b/>
          <w:bCs/>
          <w:color w:val="6E4B2A"/>
          <w:sz w:val="22"/>
          <w:szCs w:val="22"/>
        </w:rPr>
        <w:t xml:space="preserve">Passo 3 · TMI histórico do vendedor</w:t>
      </w:r>
    </w:p>
    <w:p>
      <w:pPr>
        <w:pBdr>
          <w:left w:val="single" w:color="1F3A5F" w:sz="14" w:space="8"/>
        </w:pBdr>
        <w:shd w:fill="EAF0F6" w:val="clear"/>
        <w:spacing w:after="38"/>
      </w:pPr>
      <w:r>
        <w:rPr>
          <w:b/>
          <w:bCs/>
          <w:color w:val="10305A"/>
          <w:sz w:val="21"/>
          <w:szCs w:val="21"/>
        </w:rPr>
        <w:t xml:space="preserve">  TMIhv = Σ ( Mi × TMIhs_i )</w:t>
      </w:r>
    </w:p>
    <w:p>
      <w:pPr>
        <w:spacing w:after="36" w:line="262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Mi = participação (%) das vendas do vendedor no segmento i · TMIhs_i = TMI histórico do segmento i.</w:t>
      </w:r>
    </w:p>
    <w:p>
      <w:pPr>
        <w:spacing w:after="120" w:line="272"/>
      </w:pPr>
      <w:r>
        <w:rPr>
          <w:b/>
          <w:bCs/>
          <w:color w:val="1F3A5F"/>
          <w:sz w:val="19"/>
          <w:szCs w:val="19"/>
        </w:rPr>
        <w:t xml:space="preserve">O que significa: </w:t>
      </w:r>
      <w:r>
        <w:rPr>
          <w:color w:val="3A3A3A"/>
          <w:sz w:val="19"/>
          <w:szCs w:val="19"/>
        </w:rPr>
        <w:t xml:space="preserve">Pondera pelo mix real de clientes dele — quem atende mais multifocal tem TMI mais alto; remove a sorte da conta.</w:t>
      </w:r>
    </w:p>
    <w:p>
      <w:pPr>
        <w:spacing w:after="38" w:before="150"/>
      </w:pPr>
      <w:r>
        <w:rPr>
          <w:b/>
          <w:bCs/>
          <w:color w:val="6E4B2A"/>
          <w:sz w:val="22"/>
          <w:szCs w:val="22"/>
        </w:rPr>
        <w:t xml:space="preserve">Passo 4 · TMI de planejamento e a ponte</w:t>
      </w:r>
    </w:p>
    <w:p>
      <w:pPr>
        <w:pBdr>
          <w:left w:val="single" w:color="1F3A5F" w:sz="14" w:space="8"/>
        </w:pBdr>
        <w:shd w:fill="EAF0F6" w:val="clear"/>
        <w:spacing w:after="38"/>
      </w:pPr>
      <w:r>
        <w:rPr>
          <w:b/>
          <w:bCs/>
          <w:color w:val="10305A"/>
          <w:sz w:val="21"/>
          <w:szCs w:val="21"/>
        </w:rPr>
        <w:t xml:space="preserve">  TMIp = MR ÷ NVp   ;   TMIo = TMIhv + α × (TMIp − TMIhv)</w:t>
      </w:r>
    </w:p>
    <w:p>
      <w:pPr>
        <w:spacing w:after="36" w:line="262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TMIp = TMI de planejamento · MR = Meta de Receita · NVp = nº de vendas projetado · TMIo = régua operacional (denominador do IT) · α = fração da ponte (0 a 1), por trimestre.</w:t>
      </w:r>
    </w:p>
    <w:p>
      <w:pPr>
        <w:spacing w:after="120" w:line="272"/>
      </w:pPr>
      <w:r>
        <w:rPr>
          <w:b/>
          <w:bCs/>
          <w:color w:val="1F3A5F"/>
          <w:sz w:val="19"/>
          <w:szCs w:val="19"/>
        </w:rPr>
        <w:t xml:space="preserve">O que significa: </w:t>
      </w:r>
      <w:r>
        <w:rPr>
          <w:color w:val="3A3A3A"/>
          <w:sz w:val="19"/>
          <w:szCs w:val="19"/>
        </w:rPr>
        <w:t xml:space="preserve">O histórico é o ponto de partida; o planejamento é o destino; o α é a velocidade viável. Nunca a fantasia no dia 1; nunca congelado no histórico.</w:t>
      </w:r>
    </w:p>
    <w:p>
      <w:pPr>
        <w:pBdr>
          <w:left w:val="single" w:color="2E5D34" w:sz="18" w:space="10"/>
        </w:pBdr>
        <w:shd w:fill="EEF2F6" w:val="clear"/>
        <w:spacing w:after="150" w:before="70" w:line="276"/>
      </w:pPr>
      <w:r>
        <w:rPr>
          <w:b/>
          <w:bCs/>
          <w:color w:val="2E5D34"/>
          <w:sz w:val="20"/>
          <w:szCs w:val="20"/>
        </w:rPr>
        <w:t xml:space="preserve">O gap é o achado  </w:t>
      </w:r>
      <w:r>
        <w:rPr>
          <w:color w:val="333333"/>
          <w:sz w:val="20"/>
          <w:szCs w:val="20"/>
        </w:rPr>
        <w:t xml:space="preserve">Gap = TMIp − TMIhv. Fechável por mix/coaching → é operacional (a régua persegue). Estrutural (o mercado não entrega esse ticket) → decisão do dono (preço, público). Se o orçamento for irreal, é Hopium — revê, não persegue. Triangule o P75 com o “kit clínico” do catálogo: se o kit for muito maior, nem os melhores vendem completo = oportunidade.</w:t>
      </w:r>
    </w:p>
    <w:p>
      <w:pPr>
        <w:spacing w:after="38" w:before="150"/>
      </w:pPr>
      <w:r>
        <w:rPr>
          <w:b/>
          <w:bCs/>
          <w:color w:val="6E4B2A"/>
          <w:sz w:val="22"/>
          <w:szCs w:val="22"/>
        </w:rPr>
        <w:t xml:space="preserve">Nota Comportamental (Camada 3)</w:t>
      </w:r>
    </w:p>
    <w:p>
      <w:pPr>
        <w:pBdr>
          <w:left w:val="single" w:color="1F3A5F" w:sz="14" w:space="8"/>
        </w:pBdr>
        <w:shd w:fill="EAF0F6" w:val="clear"/>
        <w:spacing w:after="38"/>
      </w:pPr>
      <w:r>
        <w:rPr>
          <w:b/>
          <w:bCs/>
          <w:color w:val="10305A"/>
          <w:sz w:val="21"/>
          <w:szCs w:val="21"/>
        </w:rPr>
        <w:t xml:space="preserve">  NC = ( E + Pt + Va + Qa ) ÷ 4</w:t>
      </w:r>
    </w:p>
    <w:p>
      <w:pPr>
        <w:spacing w:after="36" w:line="262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E = Ética · Pt = Pontualidade · Va = Valores · Qa = Qualidade (cliente oculto/NPS). Cada 0 a 100.</w:t>
      </w:r>
    </w:p>
    <w:p>
      <w:pPr>
        <w:spacing w:after="120" w:line="272"/>
      </w:pPr>
      <w:r>
        <w:rPr>
          <w:b/>
          <w:bCs/>
          <w:color w:val="1F3A5F"/>
          <w:sz w:val="19"/>
          <w:szCs w:val="19"/>
        </w:rPr>
        <w:t xml:space="preserve">O que significa: </w:t>
      </w:r>
      <w:r>
        <w:rPr>
          <w:color w:val="3A3A3A"/>
          <w:sz w:val="19"/>
          <w:szCs w:val="19"/>
        </w:rPr>
        <w:t xml:space="preserve">Nota humana, subjetiva por natureza e governada. SEV alto + NC baixa = “Âncora tóxico”; SEV baixo + NC alta = desenvolver, não demitir.</w:t>
      </w:r>
    </w:p>
    <w:p>
      <w:pPr>
        <w:spacing w:after="38" w:before="150"/>
      </w:pPr>
      <w:r>
        <w:rPr>
          <w:b/>
          <w:bCs/>
          <w:color w:val="6E4B2A"/>
          <w:sz w:val="22"/>
          <w:szCs w:val="22"/>
        </w:rPr>
        <w:t xml:space="preserve">Régua de Perfil Ideal (RPI)</w:t>
      </w:r>
    </w:p>
    <w:p>
      <w:pPr>
        <w:pBdr>
          <w:left w:val="single" w:color="1F3A5F" w:sz="14" w:space="8"/>
        </w:pBdr>
        <w:shd w:fill="EAF0F6" w:val="clear"/>
        <w:spacing w:after="38"/>
      </w:pPr>
      <w:r>
        <w:rPr>
          <w:b/>
          <w:bCs/>
          <w:color w:val="10305A"/>
          <w:sz w:val="21"/>
          <w:szCs w:val="21"/>
        </w:rPr>
        <w:t xml:space="preserve">  RPI = assinatura(Banda Topo) − assinatura(Banda Base + quem saiu)</w:t>
      </w:r>
    </w:p>
    <w:p>
      <w:pPr>
        <w:spacing w:after="36" w:line="262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assinatura = índices (IC…IT) + traços (NC) do grupo.</w:t>
      </w:r>
    </w:p>
    <w:p>
      <w:pPr>
        <w:spacing w:after="120" w:line="272"/>
      </w:pPr>
      <w:r>
        <w:rPr>
          <w:b/>
          <w:bCs/>
          <w:color w:val="1F3A5F"/>
          <w:sz w:val="19"/>
          <w:szCs w:val="19"/>
        </w:rPr>
        <w:t xml:space="preserve">O que significa: </w:t>
      </w:r>
      <w:r>
        <w:rPr>
          <w:color w:val="3A3A3A"/>
          <w:sz w:val="19"/>
          <w:szCs w:val="19"/>
        </w:rPr>
        <w:t xml:space="preserve">Isola o que separa quem vence de quem falha. Deriva do contraste (não só do topo, senão clona e homogeneíza); é guia de contratação, não filtro que barra o diferente.</w:t>
      </w:r>
    </w:p>
    <w:p>
      <w:r>
        <w:br w:type="page"/>
      </w:r>
    </w:p>
    <w:p>
      <w:pPr>
        <w:pStyle w:val="Heading1"/>
      </w:pPr>
      <w:r>
        <w:t xml:space="preserve">Parte H — Mapa de Aplicação das Fórmulas ✦</w:t>
      </w:r>
    </w:p>
    <w:p>
      <w:pPr>
        <w:spacing w:after="118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camada de instrução: onde, quando, por quem e ligada a quê cada fórmula roda. Torna o material autossuficiente para um consultor novo — ou um agente de IA — sem o contexto desta conversa. Campos: Onde/Quando · Quem · Entra → Sai.</w:t>
      </w:r>
    </w:p>
    <w:p>
      <w:pPr>
        <w:pStyle w:val="Heading2"/>
      </w:pPr>
      <w:r>
        <w:t xml:space="preserve">Diagnóstico e Caixa (Fase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350"/>
        <w:gridCol w:w="277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Fórmula / 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Onde &amp; quando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Quem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Entra → Sai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A1 · Completude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Diagnóstico, D1–D2, no início.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 / EXRS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Cadastro bruto → decide a contingência (pivotar p/ estoque).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A2 · RFM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Diagnóstico (D2–D4) e mensal.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Histórico → segmentos → Mapa da Mina e fila.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A3 · Churn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Diagnóstico e contínuo (semanal).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Histórico datado → lista de resgate, R$ perdido, régua de recall.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A4 · Receita Latente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Diagnóstico e contínuo (semanal).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Linhas de venda → fila de cross-sell + attach-alvo (IA).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B1–B4 · Estoque/GMROI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Diagnóstico (D2–D4) e mensal.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 / EXRS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Estoque + CMV → choque do Audit + decisão de compra.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B5 · Margem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Diagnóstico (D2–D4).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Preço + custo → prejuízo oculto (Audit).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C1 · Clube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Fase 3 (D16–D20).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Custos de servir → preço e break-even do clube.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C2 · Crédito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Fase 3 (D21–D25).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— → política de crédito (parceiro, risco zero).</w:t>
            </w:r>
          </w:p>
        </w:tc>
      </w:tr>
    </w:tbl>
    <w:p>
      <w:pPr>
        <w:pStyle w:val="Heading2"/>
      </w:pPr>
      <w:r>
        <w:t xml:space="preserve">Motor de Recompra (Parte 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350"/>
        <w:gridCol w:w="277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Fórmula / 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Onde &amp; quando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Quem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Entra → Sai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Régua de recall (Saúde)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Contínua; dispara por data de exame/garantia.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Ciclo (A3) → fila diária de recall.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Calendário Moda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Contínua; a cada ~40 dias (drop) e ocasiões.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 + 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Segmento fashion + coleção → disparo dirigido.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Fusão moda × estoque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Mensal (compra de coleção).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 + Consultor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Recompra/preferência + GMROI → compra da coleção certa.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Ciclo de recompra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Cockpit, mensal (north-star).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Intervalos de compra → meta de compressão (15+→&lt;12).</w:t>
            </w:r>
          </w:p>
        </w:tc>
      </w:tr>
    </w:tbl>
    <w:p>
      <w:pPr>
        <w:pStyle w:val="Heading2"/>
      </w:pPr>
      <w:r>
        <w:t xml:space="preserve">Performance e SEV (Parte F/G)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350"/>
        <w:gridCol w:w="277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Fórmula / 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Onde &amp; quando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Quem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Entra → Sai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5 índices normalizados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Painel; mensal, por vendedor.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Eventos de venda/cadastro → índices 0–100.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SEV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Painel; mensal.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5 índices + pesos do estágio → bandas.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TMI histórico (P75)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Config do IT; recalibra trimestral.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Vendas por segmento → TMIhv.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TMI planejamento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Trimestral, com o dono.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 + Dono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Meta ÷ nº vendas → TMIp + gap.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TMI operacional (α)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Trimestral.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TMIh + TMIp → denominador do IT.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Alvos IA/IR/IAd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Config e recalibra trimestral.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 / Consultor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P75 (+plano) → normaliza os índices.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Forecast PV / DR (Cam.2)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Operação, semanal.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Máquina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SEV + fila + estoque → previsão de venda e ruptura.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NC (Cam.3)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Trimestral (ou mensal).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Gestor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Observação/cliente oculto → crivo de perfil.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RPI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Ao contratar; amadurece em meses.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Consultor + Gestor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82"/>
              <w:bottom w:type="dxa" w:w="48"/>
              <w:right w:type="dxa" w:w="82"/>
            </w:tcMar>
          </w:tcPr>
          <w:p>
            <w:pPr>
              <w:spacing w:after="16" w:line="244"/>
            </w:pPr>
            <w:r>
              <w:rPr>
                <w:b w:val="false"/>
                <w:bCs w:val="false"/>
                <w:color w:val="3A3A3A"/>
                <w:sz w:val="15"/>
                <w:szCs w:val="15"/>
              </w:rPr>
              <w:t xml:space="preserve">Contraste topo × base/saíram → perfil de contratação.</w:t>
            </w:r>
          </w:p>
        </w:tc>
      </w:tr>
    </w:tbl>
    <w:p>
      <w:pPr>
        <w:pStyle w:val="Heading1"/>
      </w:pPr>
      <w:r>
        <w:t xml:space="preserve">Nota final</w:t>
      </w:r>
    </w:p>
    <w:p>
      <w:pPr>
        <w:spacing w:after="118" w:line="276"/>
      </w:pPr>
      <w:r>
        <w:rPr>
          <w:b w:val="false"/>
          <w:bCs w:val="false"/>
          <w:i/>
          <w:iCs/>
          <w:color w:val="8A2B2B"/>
          <w:sz w:val="21"/>
          <w:szCs w:val="21"/>
        </w:rPr>
        <w:t xml:space="preserve">Pontos fiscais, financeiros, trabalhistas e de dados (crédito/BaaS, LGPD de cliente e de funcionário, uso do score em RH) orientam a engenharia comercial e não substituem assessoria jurídica ou contábil. Confirme com os profissionais competentes antes de operacionalizar cada um em cliente real.</w:t>
      </w:r>
    </w:p>
    <w:p>
      <w:pPr>
        <w:spacing w:after="118" w:line="276"/>
      </w:pPr>
      <w:r>
        <w:rPr>
          <w:b w:val="false"/>
          <w:bCs w:val="false"/>
          <w:i/>
          <w:iCs/>
          <w:color w:val="1F3A5F"/>
          <w:sz w:val="21"/>
          <w:szCs w:val="21"/>
        </w:rPr>
        <w:t xml:space="preserve">Todo “número ideal” do sistema (ciclo de recompra, pesos por maturidade, TMI, attach/conversão/adesão-alvo) é derivado do dado do próprio cliente e caminha por um glide path — nunca chutado. É a espinha do método.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· Cliente #1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Óticas · Playbook v9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6E4B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186774086c18a5ed85681c5e50a655f2e7f61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2026-07-08T18:38:18.408Z</dcterms:created>
  <dcterms:modified xsi:type="dcterms:W3CDTF">2026-07-08T18:38:18.416Z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