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276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PIXAR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276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Rules :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300"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Participants must adhere to the event theme. Clearly communicate the theme or narrative concept that the photographs should convey.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Establish a specific deadline for photo submissions. Late entries may not be considered to maintain fairness.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All submitted photographs must be original work created by the participants. Plagiarism or the use of stock images without proper attribution is strictly prohibited.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Specify the maximum number of entries allowed per participant to ensure a balanced competition. This helps prevent an overwhelming number of submissions from a single participant.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Clearly outline technical specifications for the photographs, such as file format, resolution, and any other specific requirements for submission.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Participants should provide a brief caption or description for each photograph, explaining how it contributes to the overall storytelling theme.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Set clear guidelines regarding the content of the photographs to ensure appropriateness and adherence to any ethical or cultural considerations.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Clearly define the judging criteria, which may include creativity, storytelling effectiveness, composition, technical skill, and adherence to the theme.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Specify any limitations on post-processing or image manipulation. Clearly state whether heavy editing, filters, or alterations are allowed or restricted.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Clearly communicate the rights and usage terms associated with the submitted photographs. Ensure that participants understand whether the organizers have the right to use the images for promotional purposes.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Clearly define who is eligible to participate. This could include students, faculty, or any specific groups within the college community.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Clearly outline reasons for disqualification, such as violation of rules, submission of inappropriate content, or failure to meet technical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Consider organizing a feedback session with the judges to provide participants with constructive criticism and insights into their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Clearly list the prizes or recognitions that winners will receive. This could include certificates, trophies, or opportunities for further exposure.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Ensure transparency in the judging process. If possible, provide participants with information about the judging panel and the criteria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