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标题：Crisis Interventions in Corporate Insolvency</w:t>
      </w:r>
    </w:p>
    <w:p>
      <w:r>
        <w:t>作者及机构:</w:t>
      </w:r>
    </w:p>
    <w:p>
      <w:r>
        <w:t xml:space="preserve">SAMUEL ANTILL: </w:t>
      </w:r>
    </w:p>
    <w:p>
      <w:r>
        <w:t xml:space="preserve">CHRISTOPHER CLAYTON: </w:t>
      </w:r>
    </w:p>
    <w:p>
      <w:r>
        <w:t>摘要: We model the optimal resolution of insolvent firms in general equilibrium. Collateral-constrained banks lend to (i) solvent firms to finance investments and (ii) distressed firms to avoid liquidation. Liquidations create negative fire-sale externalities. Liquidations also relieve bank balance–sheet congestion, enabling new firm loans that generate positive collateral externalities by lowering bank borrowing rates. Socially optimal interventions encourage liquidation when firms have high operating losses, high leverage, or low productivity. Surprisingly, larger fire sales promote interventions encouraging more liquidations. We study synergies between insolvency interventions and macroprudential regulation, bailouts, deferred loss recognition, and debt subordination. Our model elucidates historical crisis interventions.</w:t>
      </w:r>
    </w:p>
    <w:p>
      <w:r>
        <w:t>AI标题: 破产干预临界点：抵押品外部性重塑清算最优解</w:t>
      </w:r>
    </w:p>
    <w:p>
      <w:r>
        <w:t>AI精炼: 当企业陷入破产危机时，政府应该救还是弃？这篇发表于金融学顶刊的研究《企业破产中的危机干预》给出了颠覆传统认知的答案：在某些情况下，主动清算僵尸企业反而能拯救经济。传统破产法通常以债权人利益最大化为准则，但研究者发现这种单一视角存在双重盲区：一是资产抛售引发价格崩盘（甩卖外部性），二是银行资金紧张推高融资成本（抵押品外部性）。通过构建包含企业、银行、套利者和家庭四部门的一般均衡模型，论文首次揭示了两种外部性的动态博弈——前者抑制清算，后者却鼓励清算。研究团队发现，当企业杠杆率高、经营亏损大或生产率低下时，政府应通过税收工具鼓励银行清算不良资产。反直觉的是，即便甩卖损失加剧，清算补贴依然有效——因为释放的银行资金能激活健康企业，形成「抵押品增值-利率下降-信贷扩张」的良性循环。研究还发现，对银行的定向救助比直接注资企业更高效，因其能通过抵押品乘数撬动更多资源。这项研究为2000年代日本「竹中计划」清算补贴政策提供了理论支撑，也为疫情期间美国的破产保护政策划定了边界。它提示政策制定者：危机干预不是非黑即白的拯救游戏，而是要在僵尸企业吸血的「血栓效应」与资产抛售的「失血效应」间找到精妙平衡。</w:t>
      </w:r>
    </w:p>
    <w:p>
      <w:r>
        <w:t>关键词:</w:t>
      </w:r>
    </w:p>
    <w:p>
      <w:r>
        <w:t>一般均衡模型</w:t>
      </w:r>
    </w:p>
    <w:p>
      <w:r>
        <w:t>甩卖外部性</w:t>
      </w:r>
    </w:p>
    <w:p>
      <w:r>
        <w:t>抵押品外部性</w:t>
      </w:r>
    </w:p>
    <w:p>
      <w:r>
        <w:t>清算阈值规则</w:t>
      </w:r>
    </w:p>
    <w:p>
      <w:r>
        <w:t>抵押约束乘数</w:t>
      </w:r>
    </w:p>
    <w:p>
      <w:r>
        <w:t>银行有效回报率</w:t>
      </w:r>
    </w:p>
    <w:p>
      <w:r>
        <w:t>破产干预税收工具</w:t>
      </w:r>
    </w:p>
    <w:p>
      <w:r>
        <w:t>学术要点: 学术要点 1：抵押外部性（Collateral Externality）|||银行重组破产企业时占用资金导致信贷市场利率上升，通过抵押品价值重估机制对其他银行产生负向连锁反应，这种未被个体银行内部化的外部效应。|||</w:t>
        <w:br/>
        <w:t>学术要点 2：抛售外部性（Fire-Sale Externality）|||清算行为导致资产价格下跌，通过降低所有银行的清算回收价值产生负外部性，但该价格效应在抵押约束下具有社会福利损失的非中性特征。|||</w:t>
        <w:br/>
        <w:t>学术要点 3：清算阈值规则（Liquidation Threshold Rule）|||基于企业长期价值设置动态清算门槛的决策机制，其社会最优阈值与私人最优阈值因外部性差异产生系统性偏离。|||</w:t>
        <w:br/>
        <w:t>学术要点 4：抵押再估值乘数（Collateral Revaluation Multiplier）|||反映银行新增贷款通过利率传导提升抵押品价值的放大效应，量化社会计划者与私人银行在资金边际价值评估上的差异。|||</w:t>
        <w:br/>
        <w:t>学术要点 5：异质银行分拆（Heterogeneous Bank Bifurcation）|||根据抵押品折扣率将银行划分为清算专营机构与重组专营机构的政策设计，通过功能分离实现社会福利最大化的干预策略。</w:t>
      </w:r>
    </w:p>
    <w:p>
      <w:r>
        <w:t>原文链接: https://doi.org/10.1111/jofi.13421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