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712C" w:rsidRDefault="00000000">
      <w:r>
        <w:t>标题：</w:t>
      </w:r>
      <w:r>
        <w:t>Anomaly Time</w:t>
      </w:r>
    </w:p>
    <w:p w:rsidR="001F712C" w:rsidRDefault="00000000">
      <w:r>
        <w:t>链接：</w:t>
      </w:r>
      <w:r>
        <w:t>https://onlinelibrary.wiley.com/doi/full/10.1111/jofi.13372</w:t>
      </w:r>
    </w:p>
    <w:p w:rsidR="001F712C" w:rsidRDefault="00000000">
      <w:r>
        <w:t>作者及机构：</w:t>
      </w:r>
      <w:r>
        <w:t>BOONE BOWLES</w:t>
      </w:r>
    </w:p>
    <w:p w:rsidR="001F712C" w:rsidRDefault="00000000">
      <w:r>
        <w:t>ADAM V. REED</w:t>
      </w:r>
    </w:p>
    <w:p w:rsidR="001F712C" w:rsidRDefault="00000000">
      <w:r>
        <w:t>MATTHEW C. RINGGENBERG</w:t>
      </w:r>
    </w:p>
    <w:p w:rsidR="001F712C" w:rsidRDefault="00000000">
      <w:r>
        <w:t>JACOB R. THORNOCK</w:t>
      </w:r>
    </w:p>
    <w:p w:rsidR="001F712C" w:rsidRDefault="00000000">
      <w:pPr>
        <w:rPr>
          <w:rFonts w:eastAsia="宋体"/>
          <w:lang w:eastAsia="zh-CN"/>
        </w:rPr>
      </w:pPr>
      <w:r>
        <w:t>摘要：</w:t>
      </w:r>
      <w:r>
        <w:t xml:space="preserve">  We examine the timing of returns around the publication of anomaly trading signals. Using a database that captures when information is first publicly released, we show that anomaly returns are concentrated in the first month after information release dates, and these returns decay soon thereafter. We also show that the academic convention of forming portfolios in June underestimates predictability because it uses stale information, which makes some anomalies appear insignificant. In contrast, we show many anomalies do predict returns if portfolios are formed immediately after information releases. Finally, we develop guidance on forming portfolios without using stale information.</w:t>
      </w:r>
    </w:p>
    <w:p w:rsidR="00A72EE9" w:rsidRDefault="00A72EE9">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A72EE9">
        <w:rPr>
          <w:rFonts w:eastAsia="宋体"/>
          <w:lang w:eastAsia="zh-CN"/>
        </w:rPr>
        <w:t>图表展示了异常收益在不同时间段内的事件时间分布，强调信息发布后异常收益的集中性和随后的衰减趋势。</w:t>
      </w:r>
    </w:p>
    <w:p w:rsidR="00A72EE9" w:rsidRPr="00A72EE9" w:rsidRDefault="00A72EE9">
      <w:pPr>
        <w:rPr>
          <w:rFonts w:eastAsia="宋体"/>
          <w:lang w:eastAsia="zh-CN"/>
        </w:rPr>
      </w:pPr>
    </w:p>
    <w:p w:rsidR="00F23641" w:rsidRPr="00F23641" w:rsidRDefault="00F23641" w:rsidP="00F23641">
      <w:pPr>
        <w:rPr>
          <w:rFonts w:eastAsia="宋体"/>
          <w:lang w:eastAsia="zh-CN"/>
        </w:rPr>
      </w:pPr>
      <w:r w:rsidRPr="00F23641">
        <w:rPr>
          <w:rFonts w:eastAsia="宋体"/>
          <w:lang w:eastAsia="zh-CN"/>
        </w:rPr>
        <w:t>AI</w:t>
      </w:r>
      <w:r w:rsidRPr="00F23641">
        <w:rPr>
          <w:rFonts w:eastAsia="宋体" w:hint="eastAsia"/>
          <w:lang w:eastAsia="zh-CN"/>
        </w:rPr>
        <w:t>标题：</w:t>
      </w:r>
      <w:r w:rsidRPr="00F23641">
        <w:rPr>
          <w:rFonts w:eastAsia="宋体"/>
          <w:lang w:eastAsia="zh-CN"/>
        </w:rPr>
        <w:t>资本市场中的时间错配：如何捕捉异常交易信号的真实回报</w:t>
      </w:r>
    </w:p>
    <w:p w:rsidR="00F23641" w:rsidRPr="00F23641" w:rsidRDefault="00F23641" w:rsidP="00F23641">
      <w:pPr>
        <w:rPr>
          <w:rFonts w:eastAsia="宋体"/>
          <w:lang w:eastAsia="zh-CN"/>
        </w:rPr>
      </w:pPr>
      <w:r w:rsidRPr="00F23641">
        <w:rPr>
          <w:rFonts w:eastAsia="宋体"/>
          <w:lang w:eastAsia="zh-CN"/>
        </w:rPr>
        <w:t>AI</w:t>
      </w:r>
      <w:r w:rsidRPr="00F23641">
        <w:rPr>
          <w:rFonts w:eastAsia="宋体" w:hint="eastAsia"/>
          <w:lang w:eastAsia="zh-CN"/>
        </w:rPr>
        <w:t>精炼：</w:t>
      </w:r>
      <w:r w:rsidRPr="00F23641">
        <w:rPr>
          <w:rFonts w:eastAsia="宋体"/>
          <w:lang w:eastAsia="zh-CN"/>
        </w:rPr>
        <w:t>本文研究的是资本市场中的异常交易信号发布时机对回报率的影响。过去的研究通常忽视了信息发布的具体时间，而是使用了公开可得的、但往往已经过时的信息来构建投资组合。本研究利用</w:t>
      </w:r>
      <w:r w:rsidRPr="00F23641">
        <w:rPr>
          <w:rFonts w:eastAsia="宋体"/>
          <w:lang w:eastAsia="zh-CN"/>
        </w:rPr>
        <w:t>Compustat Snapshot</w:t>
      </w:r>
      <w:r w:rsidRPr="00F23641">
        <w:rPr>
          <w:rFonts w:eastAsia="宋体"/>
          <w:lang w:eastAsia="zh-CN"/>
        </w:rPr>
        <w:t>数据库，精确识别关键信息发布的日期，发现异常回报主要集中在信息发布后的第一个月，并且此后迅速衰减。研究表明，通过在信息发布后立即构建投资组合，可以更准确地预测回报，从而挑战了学术界常用的每年六月更新投资组合的传统做法。此外，文章还发展了一种不使用过时信息来形成投资组合的指导方针，为未来研究提供了新的视角。</w:t>
      </w:r>
    </w:p>
    <w:p w:rsidR="00F23641" w:rsidRPr="00F23641" w:rsidRDefault="00F23641" w:rsidP="00F23641">
      <w:pPr>
        <w:rPr>
          <w:rFonts w:eastAsia="宋体"/>
          <w:lang w:eastAsia="zh-CN"/>
        </w:rPr>
      </w:pPr>
      <w:r w:rsidRPr="00F23641">
        <w:rPr>
          <w:rFonts w:eastAsia="宋体" w:hint="eastAsia"/>
          <w:lang w:eastAsia="zh-CN"/>
        </w:rPr>
        <w:t>关键字：</w:t>
      </w:r>
      <w:r w:rsidRPr="00F23641">
        <w:rPr>
          <w:rFonts w:eastAsia="宋体"/>
          <w:lang w:eastAsia="zh-CN"/>
        </w:rPr>
        <w:t>  Anomaly trading signals</w:t>
      </w:r>
    </w:p>
    <w:p w:rsidR="00F23641" w:rsidRPr="00F23641" w:rsidRDefault="00F23641" w:rsidP="00F23641">
      <w:pPr>
        <w:rPr>
          <w:rFonts w:eastAsia="宋体"/>
          <w:lang w:eastAsia="zh-CN"/>
        </w:rPr>
      </w:pPr>
      <w:r w:rsidRPr="00F23641">
        <w:rPr>
          <w:rFonts w:eastAsia="宋体"/>
          <w:lang w:eastAsia="zh-CN"/>
        </w:rPr>
        <w:t>  Information release dates</w:t>
      </w:r>
    </w:p>
    <w:p w:rsidR="00F23641" w:rsidRPr="00F23641" w:rsidRDefault="00F23641" w:rsidP="00F23641">
      <w:pPr>
        <w:rPr>
          <w:rFonts w:eastAsia="宋体"/>
          <w:lang w:eastAsia="zh-CN"/>
        </w:rPr>
      </w:pPr>
      <w:r w:rsidRPr="00F23641">
        <w:rPr>
          <w:rFonts w:eastAsia="宋体"/>
          <w:lang w:eastAsia="zh-CN"/>
        </w:rPr>
        <w:t>  Asset pricing</w:t>
      </w:r>
    </w:p>
    <w:p w:rsidR="00F23641" w:rsidRPr="00F23641" w:rsidRDefault="00F23641" w:rsidP="00F23641">
      <w:pPr>
        <w:rPr>
          <w:rFonts w:eastAsia="宋体"/>
          <w:lang w:eastAsia="zh-CN"/>
        </w:rPr>
      </w:pPr>
      <w:r w:rsidRPr="00F23641">
        <w:rPr>
          <w:rFonts w:eastAsia="宋体"/>
          <w:lang w:eastAsia="zh-CN"/>
        </w:rPr>
        <w:t>  Compustat Snapshot</w:t>
      </w:r>
    </w:p>
    <w:p w:rsidR="00F23641" w:rsidRPr="00F23641" w:rsidRDefault="00F23641" w:rsidP="00F23641">
      <w:pPr>
        <w:rPr>
          <w:rFonts w:eastAsia="宋体"/>
          <w:lang w:eastAsia="zh-CN"/>
        </w:rPr>
      </w:pPr>
      <w:r w:rsidRPr="00F23641">
        <w:rPr>
          <w:rFonts w:eastAsia="宋体"/>
          <w:lang w:eastAsia="zh-CN"/>
        </w:rPr>
        <w:t>  Portfolio rebalancing</w:t>
      </w:r>
    </w:p>
    <w:p w:rsidR="00F23641" w:rsidRPr="00F23641" w:rsidRDefault="00F23641" w:rsidP="00F23641">
      <w:pPr>
        <w:rPr>
          <w:rFonts w:eastAsia="宋体"/>
          <w:lang w:eastAsia="zh-CN"/>
        </w:rPr>
      </w:pPr>
      <w:r w:rsidRPr="00F23641">
        <w:rPr>
          <w:rFonts w:eastAsia="宋体"/>
          <w:lang w:eastAsia="zh-CN"/>
        </w:rPr>
        <w:lastRenderedPageBreak/>
        <w:t>  Information decay</w:t>
      </w:r>
    </w:p>
    <w:p w:rsidR="00F23641" w:rsidRPr="00F23641" w:rsidRDefault="00F23641" w:rsidP="00F23641">
      <w:pPr>
        <w:rPr>
          <w:rFonts w:eastAsia="宋体"/>
          <w:lang w:eastAsia="zh-CN"/>
        </w:rPr>
      </w:pPr>
      <w:r w:rsidRPr="00F23641">
        <w:rPr>
          <w:rFonts w:eastAsia="宋体"/>
          <w:lang w:eastAsia="zh-CN"/>
        </w:rPr>
        <w:t>  Market efficiency</w:t>
      </w:r>
    </w:p>
    <w:p w:rsidR="00F23641" w:rsidRDefault="00F23641" w:rsidP="00F23641">
      <w:pPr>
        <w:rPr>
          <w:rFonts w:eastAsia="宋体"/>
          <w:lang w:eastAsia="zh-CN"/>
        </w:rPr>
      </w:pPr>
      <w:r w:rsidRPr="00F23641">
        <w:rPr>
          <w:rFonts w:eastAsia="宋体" w:hint="eastAsia"/>
          <w:lang w:eastAsia="zh-CN"/>
        </w:rPr>
        <w:t>学术要点：</w:t>
      </w:r>
    </w:p>
    <w:p w:rsidR="00B97C52" w:rsidRPr="00B97C52" w:rsidRDefault="00B97C52" w:rsidP="00B97C52">
      <w:pPr>
        <w:rPr>
          <w:rFonts w:eastAsia="宋体"/>
          <w:lang w:eastAsia="zh-CN"/>
        </w:rPr>
      </w:pPr>
      <w:r w:rsidRPr="00B97C52">
        <w:rPr>
          <w:rFonts w:eastAsia="宋体"/>
          <w:lang w:eastAsia="zh-CN"/>
        </w:rPr>
        <w:t xml:space="preserve">  </w:t>
      </w:r>
      <w:r w:rsidRPr="00B97C52">
        <w:rPr>
          <w:rFonts w:eastAsia="宋体"/>
          <w:b/>
          <w:bCs/>
          <w:lang w:eastAsia="zh-CN"/>
        </w:rPr>
        <w:t>学术要点</w:t>
      </w:r>
      <w:r w:rsidRPr="00B97C52">
        <w:rPr>
          <w:rFonts w:eastAsia="宋体"/>
          <w:b/>
          <w:bCs/>
          <w:lang w:eastAsia="zh-CN"/>
        </w:rPr>
        <w:t xml:space="preserve"> 1</w:t>
      </w:r>
      <w:r w:rsidRPr="00B97C52">
        <w:rPr>
          <w:rFonts w:eastAsia="宋体"/>
          <w:b/>
          <w:bCs/>
          <w:lang w:eastAsia="zh-CN"/>
        </w:rPr>
        <w:t>：异常收益时效性（</w:t>
      </w:r>
      <w:r w:rsidRPr="00B97C52">
        <w:rPr>
          <w:rFonts w:eastAsia="宋体"/>
          <w:b/>
          <w:bCs/>
          <w:lang w:eastAsia="zh-CN"/>
        </w:rPr>
        <w:t>Anomaly Return Timing</w:t>
      </w:r>
      <w:r w:rsidRPr="00B97C52">
        <w:rPr>
          <w:rFonts w:eastAsia="宋体"/>
          <w:b/>
          <w:bCs/>
          <w:lang w:eastAsia="zh-CN"/>
        </w:rPr>
        <w:t>）</w:t>
      </w:r>
      <w:r w:rsidRPr="00B97C52">
        <w:rPr>
          <w:rFonts w:eastAsia="宋体"/>
          <w:lang w:eastAsia="zh-CN"/>
        </w:rPr>
        <w:br/>
      </w:r>
      <w:r w:rsidRPr="00B97C52">
        <w:rPr>
          <w:rFonts w:eastAsia="宋体"/>
          <w:lang w:eastAsia="zh-CN"/>
        </w:rPr>
        <w:t>异常收益主要集中在信息发布后的第一个月内，随后迅速减弱，反映了市场对新信息的快速反应。</w:t>
      </w:r>
    </w:p>
    <w:p w:rsidR="00B97C52" w:rsidRPr="00B97C52" w:rsidRDefault="00B97C52" w:rsidP="00B97C52">
      <w:pPr>
        <w:rPr>
          <w:rFonts w:eastAsia="宋体"/>
          <w:lang w:eastAsia="zh-CN"/>
        </w:rPr>
      </w:pPr>
      <w:r w:rsidRPr="00B97C52">
        <w:rPr>
          <w:rFonts w:eastAsia="宋体"/>
          <w:lang w:eastAsia="zh-CN"/>
        </w:rPr>
        <w:t xml:space="preserve">  </w:t>
      </w:r>
      <w:r w:rsidRPr="00B97C52">
        <w:rPr>
          <w:rFonts w:eastAsia="宋体"/>
          <w:b/>
          <w:bCs/>
          <w:lang w:eastAsia="zh-CN"/>
        </w:rPr>
        <w:t>学术要点</w:t>
      </w:r>
      <w:r w:rsidRPr="00B97C52">
        <w:rPr>
          <w:rFonts w:eastAsia="宋体"/>
          <w:b/>
          <w:bCs/>
          <w:lang w:eastAsia="zh-CN"/>
        </w:rPr>
        <w:t xml:space="preserve"> 2</w:t>
      </w:r>
      <w:r w:rsidRPr="00B97C52">
        <w:rPr>
          <w:rFonts w:eastAsia="宋体"/>
          <w:b/>
          <w:bCs/>
          <w:lang w:eastAsia="zh-CN"/>
        </w:rPr>
        <w:t>：动态信息重平衡（</w:t>
      </w:r>
      <w:r w:rsidRPr="00B97C52">
        <w:rPr>
          <w:rFonts w:eastAsia="宋体"/>
          <w:b/>
          <w:bCs/>
          <w:lang w:eastAsia="zh-CN"/>
        </w:rPr>
        <w:t>Information-Rebalancing Portfolio</w:t>
      </w:r>
      <w:r w:rsidRPr="00B97C52">
        <w:rPr>
          <w:rFonts w:eastAsia="宋体"/>
          <w:b/>
          <w:bCs/>
          <w:lang w:eastAsia="zh-CN"/>
        </w:rPr>
        <w:t>）</w:t>
      </w:r>
      <w:r w:rsidRPr="00B97C52">
        <w:rPr>
          <w:rFonts w:eastAsia="宋体"/>
          <w:lang w:eastAsia="zh-CN"/>
        </w:rPr>
        <w:br/>
      </w:r>
      <w:r w:rsidRPr="00B97C52">
        <w:rPr>
          <w:rFonts w:eastAsia="宋体"/>
          <w:lang w:eastAsia="zh-CN"/>
        </w:rPr>
        <w:t>基于信息发布日期动态调整投资组合，可比传统方法显著提高年化异常收益。</w:t>
      </w:r>
    </w:p>
    <w:p w:rsidR="00B97C52" w:rsidRPr="00B97C52" w:rsidRDefault="00B97C52" w:rsidP="00B97C52">
      <w:pPr>
        <w:rPr>
          <w:rFonts w:eastAsia="宋体"/>
          <w:lang w:eastAsia="zh-CN"/>
        </w:rPr>
      </w:pPr>
      <w:r w:rsidRPr="00B97C52">
        <w:rPr>
          <w:rFonts w:eastAsia="宋体"/>
          <w:lang w:eastAsia="zh-CN"/>
        </w:rPr>
        <w:t xml:space="preserve">  </w:t>
      </w:r>
      <w:r w:rsidRPr="00B97C52">
        <w:rPr>
          <w:rFonts w:eastAsia="宋体"/>
          <w:b/>
          <w:bCs/>
          <w:lang w:eastAsia="zh-CN"/>
        </w:rPr>
        <w:t>学术要点</w:t>
      </w:r>
      <w:r w:rsidRPr="00B97C52">
        <w:rPr>
          <w:rFonts w:eastAsia="宋体"/>
          <w:b/>
          <w:bCs/>
          <w:lang w:eastAsia="zh-CN"/>
        </w:rPr>
        <w:t xml:space="preserve"> 3</w:t>
      </w:r>
      <w:r w:rsidRPr="00B97C52">
        <w:rPr>
          <w:rFonts w:eastAsia="宋体"/>
          <w:b/>
          <w:bCs/>
          <w:lang w:eastAsia="zh-CN"/>
        </w:rPr>
        <w:t>：</w:t>
      </w:r>
      <w:r w:rsidRPr="00B97C52">
        <w:rPr>
          <w:rFonts w:eastAsia="宋体"/>
          <w:b/>
          <w:bCs/>
          <w:lang w:eastAsia="zh-CN"/>
        </w:rPr>
        <w:t>EDGAR</w:t>
      </w:r>
      <w:r w:rsidRPr="00B97C52">
        <w:rPr>
          <w:rFonts w:eastAsia="宋体"/>
          <w:b/>
          <w:bCs/>
          <w:lang w:eastAsia="zh-CN"/>
        </w:rPr>
        <w:t>系统的影响（</w:t>
      </w:r>
      <w:r w:rsidRPr="00B97C52">
        <w:rPr>
          <w:rFonts w:eastAsia="宋体"/>
          <w:b/>
          <w:bCs/>
          <w:lang w:eastAsia="zh-CN"/>
        </w:rPr>
        <w:t>Impact of EDGAR System</w:t>
      </w:r>
      <w:r w:rsidRPr="00B97C52">
        <w:rPr>
          <w:rFonts w:eastAsia="宋体"/>
          <w:b/>
          <w:bCs/>
          <w:lang w:eastAsia="zh-CN"/>
        </w:rPr>
        <w:t>）</w:t>
      </w:r>
      <w:r w:rsidRPr="00B97C52">
        <w:rPr>
          <w:rFonts w:eastAsia="宋体"/>
          <w:lang w:eastAsia="zh-CN"/>
        </w:rPr>
        <w:br/>
        <w:t>SEC</w:t>
      </w:r>
      <w:r w:rsidRPr="00B97C52">
        <w:rPr>
          <w:rFonts w:eastAsia="宋体"/>
          <w:lang w:eastAsia="zh-CN"/>
        </w:rPr>
        <w:t>推出的</w:t>
      </w:r>
      <w:r w:rsidRPr="00B97C52">
        <w:rPr>
          <w:rFonts w:eastAsia="宋体"/>
          <w:lang w:eastAsia="zh-CN"/>
        </w:rPr>
        <w:t>EDGAR</w:t>
      </w:r>
      <w:r w:rsidRPr="00B97C52">
        <w:rPr>
          <w:rFonts w:eastAsia="宋体"/>
          <w:lang w:eastAsia="zh-CN"/>
        </w:rPr>
        <w:t>系统大幅降低了信息获取成本，使异常收益更集中于短期内并加速套利交易。</w:t>
      </w:r>
    </w:p>
    <w:p w:rsidR="00B97C52" w:rsidRPr="00B97C52" w:rsidRDefault="00B97C52" w:rsidP="00B97C52">
      <w:pPr>
        <w:rPr>
          <w:rFonts w:eastAsia="宋体"/>
          <w:lang w:eastAsia="zh-CN"/>
        </w:rPr>
      </w:pPr>
      <w:r w:rsidRPr="00B97C52">
        <w:rPr>
          <w:rFonts w:eastAsia="宋体"/>
          <w:lang w:eastAsia="zh-CN"/>
        </w:rPr>
        <w:t xml:space="preserve">  </w:t>
      </w:r>
      <w:r w:rsidRPr="00B97C52">
        <w:rPr>
          <w:rFonts w:eastAsia="宋体"/>
          <w:b/>
          <w:bCs/>
          <w:lang w:eastAsia="zh-CN"/>
        </w:rPr>
        <w:t>学术要点</w:t>
      </w:r>
      <w:r w:rsidRPr="00B97C52">
        <w:rPr>
          <w:rFonts w:eastAsia="宋体"/>
          <w:b/>
          <w:bCs/>
          <w:lang w:eastAsia="zh-CN"/>
        </w:rPr>
        <w:t xml:space="preserve"> 4</w:t>
      </w:r>
      <w:r w:rsidRPr="00B97C52">
        <w:rPr>
          <w:rFonts w:eastAsia="宋体"/>
          <w:b/>
          <w:bCs/>
          <w:lang w:eastAsia="zh-CN"/>
        </w:rPr>
        <w:t>：异常收益的浓缩性（</w:t>
      </w:r>
      <w:r w:rsidRPr="00B97C52">
        <w:rPr>
          <w:rFonts w:eastAsia="宋体"/>
          <w:b/>
          <w:bCs/>
          <w:lang w:eastAsia="zh-CN"/>
        </w:rPr>
        <w:t>Concentration of Anomaly Returns</w:t>
      </w:r>
      <w:r w:rsidRPr="00B97C52">
        <w:rPr>
          <w:rFonts w:eastAsia="宋体"/>
          <w:b/>
          <w:bCs/>
          <w:lang w:eastAsia="zh-CN"/>
        </w:rPr>
        <w:t>）</w:t>
      </w:r>
      <w:r w:rsidRPr="00B97C52">
        <w:rPr>
          <w:rFonts w:eastAsia="宋体"/>
          <w:lang w:eastAsia="zh-CN"/>
        </w:rPr>
        <w:br/>
      </w:r>
      <w:r w:rsidRPr="00B97C52">
        <w:rPr>
          <w:rFonts w:eastAsia="宋体"/>
          <w:lang w:eastAsia="zh-CN"/>
        </w:rPr>
        <w:t>随着信息处理技术的进步，异常收益近年来更集中于信息发布后的短期内，且交易量同步显著增加。</w:t>
      </w:r>
    </w:p>
    <w:p w:rsidR="00B97C52" w:rsidRPr="00B97C52" w:rsidRDefault="00B97C52" w:rsidP="00B97C52">
      <w:pPr>
        <w:rPr>
          <w:rFonts w:eastAsia="宋体"/>
          <w:lang w:eastAsia="zh-CN"/>
        </w:rPr>
      </w:pPr>
      <w:r w:rsidRPr="00B97C52">
        <w:rPr>
          <w:rFonts w:eastAsia="宋体"/>
          <w:lang w:eastAsia="zh-CN"/>
        </w:rPr>
        <w:t xml:space="preserve">  </w:t>
      </w:r>
      <w:r w:rsidRPr="00B97C52">
        <w:rPr>
          <w:rFonts w:eastAsia="宋体"/>
          <w:b/>
          <w:bCs/>
          <w:lang w:eastAsia="zh-CN"/>
        </w:rPr>
        <w:t>学术要点</w:t>
      </w:r>
      <w:r w:rsidRPr="00B97C52">
        <w:rPr>
          <w:rFonts w:eastAsia="宋体"/>
          <w:b/>
          <w:bCs/>
          <w:lang w:eastAsia="zh-CN"/>
        </w:rPr>
        <w:t xml:space="preserve"> 5</w:t>
      </w:r>
      <w:r w:rsidRPr="00B97C52">
        <w:rPr>
          <w:rFonts w:eastAsia="宋体"/>
          <w:b/>
          <w:bCs/>
          <w:lang w:eastAsia="zh-CN"/>
        </w:rPr>
        <w:t>：</w:t>
      </w:r>
      <w:r w:rsidRPr="00B97C52">
        <w:rPr>
          <w:rFonts w:eastAsia="宋体"/>
          <w:b/>
          <w:bCs/>
          <w:lang w:eastAsia="zh-CN"/>
        </w:rPr>
        <w:t>10-K</w:t>
      </w:r>
      <w:r w:rsidRPr="00B97C52">
        <w:rPr>
          <w:rFonts w:eastAsia="宋体"/>
          <w:b/>
          <w:bCs/>
          <w:lang w:eastAsia="zh-CN"/>
        </w:rPr>
        <w:t>报表日期（</w:t>
      </w:r>
      <w:r w:rsidRPr="00B97C52">
        <w:rPr>
          <w:rFonts w:eastAsia="宋体"/>
          <w:b/>
          <w:bCs/>
          <w:lang w:eastAsia="zh-CN"/>
        </w:rPr>
        <w:t>10-K Filing Date</w:t>
      </w:r>
      <w:r w:rsidRPr="00B97C52">
        <w:rPr>
          <w:rFonts w:eastAsia="宋体"/>
          <w:b/>
          <w:bCs/>
          <w:lang w:eastAsia="zh-CN"/>
        </w:rPr>
        <w:t>）</w:t>
      </w:r>
      <w:r w:rsidRPr="00B97C52">
        <w:rPr>
          <w:rFonts w:eastAsia="宋体"/>
          <w:lang w:eastAsia="zh-CN"/>
        </w:rPr>
        <w:br/>
      </w:r>
      <w:r w:rsidRPr="00B97C52">
        <w:rPr>
          <w:rFonts w:eastAsia="宋体"/>
          <w:lang w:eastAsia="zh-CN"/>
        </w:rPr>
        <w:t>使用</w:t>
      </w:r>
      <w:r w:rsidRPr="00B97C52">
        <w:rPr>
          <w:rFonts w:eastAsia="宋体"/>
          <w:lang w:eastAsia="zh-CN"/>
        </w:rPr>
        <w:t>10-K</w:t>
      </w:r>
      <w:r w:rsidRPr="00B97C52">
        <w:rPr>
          <w:rFonts w:eastAsia="宋体"/>
          <w:lang w:eastAsia="zh-CN"/>
        </w:rPr>
        <w:t>报表日期作为投资组合更新点，可以有效避免使用滞后数据并保持收益预测的准确性。</w:t>
      </w:r>
    </w:p>
    <w:p w:rsidR="00B97C52" w:rsidRPr="00B97C52" w:rsidRDefault="00B97C52" w:rsidP="00F23641">
      <w:pPr>
        <w:rPr>
          <w:rFonts w:eastAsia="宋体"/>
          <w:lang w:eastAsia="zh-CN"/>
        </w:rPr>
      </w:pPr>
    </w:p>
    <w:sectPr w:rsidR="00B97C52" w:rsidRPr="00B97C5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E3F3F" w:rsidRDefault="00CE3F3F" w:rsidP="00F23641">
      <w:pPr>
        <w:spacing w:after="0" w:line="240" w:lineRule="auto"/>
      </w:pPr>
      <w:r>
        <w:separator/>
      </w:r>
    </w:p>
  </w:endnote>
  <w:endnote w:type="continuationSeparator" w:id="0">
    <w:p w:rsidR="00CE3F3F" w:rsidRDefault="00CE3F3F" w:rsidP="00F23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E3F3F" w:rsidRDefault="00CE3F3F" w:rsidP="00F23641">
      <w:pPr>
        <w:spacing w:after="0" w:line="240" w:lineRule="auto"/>
      </w:pPr>
      <w:r>
        <w:separator/>
      </w:r>
    </w:p>
  </w:footnote>
  <w:footnote w:type="continuationSeparator" w:id="0">
    <w:p w:rsidR="00CE3F3F" w:rsidRDefault="00CE3F3F" w:rsidP="00F23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6428857">
    <w:abstractNumId w:val="8"/>
  </w:num>
  <w:num w:numId="2" w16cid:durableId="2006930850">
    <w:abstractNumId w:val="6"/>
  </w:num>
  <w:num w:numId="3" w16cid:durableId="152651407">
    <w:abstractNumId w:val="5"/>
  </w:num>
  <w:num w:numId="4" w16cid:durableId="90396996">
    <w:abstractNumId w:val="4"/>
  </w:num>
  <w:num w:numId="5" w16cid:durableId="1696537190">
    <w:abstractNumId w:val="7"/>
  </w:num>
  <w:num w:numId="6" w16cid:durableId="831530629">
    <w:abstractNumId w:val="3"/>
  </w:num>
  <w:num w:numId="7" w16cid:durableId="2115125466">
    <w:abstractNumId w:val="2"/>
  </w:num>
  <w:num w:numId="8" w16cid:durableId="1898399458">
    <w:abstractNumId w:val="1"/>
  </w:num>
  <w:num w:numId="9" w16cid:durableId="110114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384"/>
    <w:rsid w:val="001F712C"/>
    <w:rsid w:val="0029639D"/>
    <w:rsid w:val="00326F90"/>
    <w:rsid w:val="00526411"/>
    <w:rsid w:val="00537A19"/>
    <w:rsid w:val="007D3116"/>
    <w:rsid w:val="00816C07"/>
    <w:rsid w:val="00914C8C"/>
    <w:rsid w:val="00920F64"/>
    <w:rsid w:val="009731DE"/>
    <w:rsid w:val="0099487E"/>
    <w:rsid w:val="009F1802"/>
    <w:rsid w:val="00A72EE9"/>
    <w:rsid w:val="00AA1D8D"/>
    <w:rsid w:val="00B47730"/>
    <w:rsid w:val="00B97C52"/>
    <w:rsid w:val="00CB0664"/>
    <w:rsid w:val="00CE3F3F"/>
    <w:rsid w:val="00F23641"/>
    <w:rsid w:val="00F32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13B207"/>
  <w14:defaultImageDpi w14:val="300"/>
  <w15:docId w15:val="{0FEC2779-0D77-4F2E-A594-C4EB5040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130000">
      <w:bodyDiv w:val="1"/>
      <w:marLeft w:val="0"/>
      <w:marRight w:val="0"/>
      <w:marTop w:val="0"/>
      <w:marBottom w:val="0"/>
      <w:divBdr>
        <w:top w:val="none" w:sz="0" w:space="0" w:color="auto"/>
        <w:left w:val="none" w:sz="0" w:space="0" w:color="auto"/>
        <w:bottom w:val="none" w:sz="0" w:space="0" w:color="auto"/>
        <w:right w:val="none" w:sz="0" w:space="0" w:color="auto"/>
      </w:divBdr>
    </w:div>
    <w:div w:id="653682124">
      <w:bodyDiv w:val="1"/>
      <w:marLeft w:val="0"/>
      <w:marRight w:val="0"/>
      <w:marTop w:val="0"/>
      <w:marBottom w:val="0"/>
      <w:divBdr>
        <w:top w:val="none" w:sz="0" w:space="0" w:color="auto"/>
        <w:left w:val="none" w:sz="0" w:space="0" w:color="auto"/>
        <w:bottom w:val="none" w:sz="0" w:space="0" w:color="auto"/>
        <w:right w:val="none" w:sz="0" w:space="0" w:color="auto"/>
      </w:divBdr>
    </w:div>
    <w:div w:id="1130322348">
      <w:bodyDiv w:val="1"/>
      <w:marLeft w:val="0"/>
      <w:marRight w:val="0"/>
      <w:marTop w:val="0"/>
      <w:marBottom w:val="0"/>
      <w:divBdr>
        <w:top w:val="none" w:sz="0" w:space="0" w:color="auto"/>
        <w:left w:val="none" w:sz="0" w:space="0" w:color="auto"/>
        <w:bottom w:val="none" w:sz="0" w:space="0" w:color="auto"/>
        <w:right w:val="none" w:sz="0" w:space="0" w:color="auto"/>
      </w:divBdr>
    </w:div>
    <w:div w:id="1596940248">
      <w:bodyDiv w:val="1"/>
      <w:marLeft w:val="0"/>
      <w:marRight w:val="0"/>
      <w:marTop w:val="0"/>
      <w:marBottom w:val="0"/>
      <w:divBdr>
        <w:top w:val="none" w:sz="0" w:space="0" w:color="auto"/>
        <w:left w:val="none" w:sz="0" w:space="0" w:color="auto"/>
        <w:bottom w:val="none" w:sz="0" w:space="0" w:color="auto"/>
        <w:right w:val="none" w:sz="0" w:space="0" w:color="auto"/>
      </w:divBdr>
    </w:div>
    <w:div w:id="1728803020">
      <w:bodyDiv w:val="1"/>
      <w:marLeft w:val="0"/>
      <w:marRight w:val="0"/>
      <w:marTop w:val="0"/>
      <w:marBottom w:val="0"/>
      <w:divBdr>
        <w:top w:val="none" w:sz="0" w:space="0" w:color="auto"/>
        <w:left w:val="none" w:sz="0" w:space="0" w:color="auto"/>
        <w:bottom w:val="none" w:sz="0" w:space="0" w:color="auto"/>
        <w:right w:val="none" w:sz="0" w:space="0" w:color="auto"/>
      </w:divBdr>
    </w:div>
    <w:div w:id="1948079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2024-11-21T13:10:00Z</dcterms:modified>
  <cp:category/>
</cp:coreProperties>
</file>