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F11F5" w:rsidRDefault="00000000">
      <w:r>
        <w:t>标题：</w:t>
      </w:r>
      <w:r>
        <w:t>Capital Commitment</w:t>
      </w:r>
    </w:p>
    <w:p w:rsidR="006F11F5" w:rsidRDefault="00000000">
      <w:r>
        <w:t>链接：</w:t>
      </w:r>
      <w:r>
        <w:t>https://onlinelibrary.wiley.com/doi/full/10.1111/jofi.13382</w:t>
      </w:r>
    </w:p>
    <w:p w:rsidR="006F11F5" w:rsidRDefault="00000000">
      <w:r>
        <w:t>作者及机构：</w:t>
      </w:r>
      <w:r>
        <w:t>ELISE GOURIER</w:t>
      </w:r>
    </w:p>
    <w:p w:rsidR="006F11F5" w:rsidRDefault="00000000">
      <w:r>
        <w:t>LUDOVIC PHALIPPOU</w:t>
      </w:r>
    </w:p>
    <w:p w:rsidR="006F11F5" w:rsidRDefault="00000000">
      <w:r>
        <w:t>MARK M. WESTERFIELD</w:t>
      </w:r>
    </w:p>
    <w:p w:rsidR="006F11F5" w:rsidRDefault="00000000">
      <w:pPr>
        <w:rPr>
          <w:rFonts w:eastAsia="宋体"/>
          <w:lang w:eastAsia="zh-CN"/>
        </w:rPr>
      </w:pPr>
      <w:r>
        <w:t>摘要：</w:t>
      </w:r>
      <w:r>
        <w:t xml:space="preserve">  Twelve trillion dollars are allocated to private market funds that require outside investors to commit to transferring capital on demand. We show within a novel dynamic portfolio allocation model that ex-ante commitment has large effects on investors' portfolios and welfare, and we quantify those effects. Investors are underallocated to private market funds and are willing to pay a larger premium to adjust the quantity committed than to eliminate other frictions, like timing uncertainty and limited tradability. Perhaps counterintuitively, commitment risk premiums increase with secondary market liquidity, and they do not disappear when investments are spread over many funds.</w:t>
      </w:r>
    </w:p>
    <w:p w:rsidR="00193F59" w:rsidRPr="00193F59" w:rsidRDefault="00193F59">
      <w:pPr>
        <w:rPr>
          <w:rFonts w:eastAsia="宋体" w:hint="eastAsia"/>
          <w:lang w:eastAsia="zh-CN"/>
        </w:rPr>
      </w:pPr>
      <w:r>
        <w:rPr>
          <w:rFonts w:eastAsia="宋体" w:hint="eastAsia"/>
          <w:lang w:eastAsia="zh-CN"/>
        </w:rPr>
        <w:t>图片</w:t>
      </w:r>
      <w:r>
        <w:rPr>
          <w:rFonts w:eastAsia="宋体" w:hint="eastAsia"/>
          <w:lang w:eastAsia="zh-CN"/>
        </w:rPr>
        <w:t>AI</w:t>
      </w:r>
      <w:r>
        <w:rPr>
          <w:rFonts w:eastAsia="宋体" w:hint="eastAsia"/>
          <w:lang w:eastAsia="zh-CN"/>
        </w:rPr>
        <w:t>描述：</w:t>
      </w:r>
      <w:r w:rsidRPr="00193F59">
        <w:rPr>
          <w:rFonts w:eastAsia="宋体"/>
          <w:lang w:eastAsia="zh-CN"/>
        </w:rPr>
        <w:t>图表描绘了一只基金生命周期的时间线，展示了投资者资本承诺和分配动态的关键阶段。</w:t>
      </w:r>
    </w:p>
    <w:p w:rsidR="00D43279" w:rsidRPr="00D43279" w:rsidRDefault="00D43279" w:rsidP="00D43279">
      <w:pPr>
        <w:rPr>
          <w:rFonts w:eastAsia="宋体"/>
          <w:lang w:eastAsia="zh-CN"/>
        </w:rPr>
      </w:pPr>
      <w:r w:rsidRPr="00D43279">
        <w:rPr>
          <w:rFonts w:eastAsia="宋体"/>
          <w:lang w:eastAsia="zh-CN"/>
        </w:rPr>
        <w:t>AI</w:t>
      </w:r>
      <w:r w:rsidRPr="00D43279">
        <w:rPr>
          <w:rFonts w:eastAsia="宋体" w:hint="eastAsia"/>
          <w:lang w:eastAsia="zh-CN"/>
        </w:rPr>
        <w:t>标题：</w:t>
      </w:r>
      <w:r w:rsidRPr="00D43279">
        <w:rPr>
          <w:rFonts w:eastAsia="宋体"/>
          <w:lang w:eastAsia="zh-CN"/>
        </w:rPr>
        <w:t>资本承诺：私人市场投资的隐藏成本与机遇</w:t>
      </w:r>
    </w:p>
    <w:p w:rsidR="00D43279" w:rsidRPr="00D43279" w:rsidRDefault="00D43279" w:rsidP="00D43279">
      <w:pPr>
        <w:rPr>
          <w:rFonts w:eastAsia="宋体"/>
          <w:lang w:eastAsia="zh-CN"/>
        </w:rPr>
      </w:pPr>
      <w:r w:rsidRPr="00D43279">
        <w:rPr>
          <w:rFonts w:eastAsia="宋体"/>
          <w:lang w:eastAsia="zh-CN"/>
        </w:rPr>
        <w:t>AI</w:t>
      </w:r>
      <w:r w:rsidRPr="00D43279">
        <w:rPr>
          <w:rFonts w:eastAsia="宋体" w:hint="eastAsia"/>
          <w:lang w:eastAsia="zh-CN"/>
        </w:rPr>
        <w:t>精炼：</w:t>
      </w:r>
      <w:r w:rsidRPr="00D43279">
        <w:rPr>
          <w:rFonts w:eastAsia="宋体"/>
          <w:lang w:eastAsia="zh-CN"/>
        </w:rPr>
        <w:t>本文研究了对私人市场基金进行前期资本承诺的影响。这些基金需要外部投资者承诺在需求时转移资本。通过一个创新的动态投资组合配置模型，研究表明，前期承诺对投资者的投资组合和福利有显著影响。结果显示，投资者对私人市场基金的配置不足，并愿意支付较大的溢价来调整已承诺的数量，而不是消除其他摩擦如时间不确定性和有限的可交易性。研究还发现，尽管有些许违反直觉，但承诺风险溢价会随着二级市场流动性的增加而提高，并且即使投资分布在多个基金上，这种溢价也不会消失</w:t>
      </w:r>
    </w:p>
    <w:p w:rsidR="00D43279" w:rsidRDefault="00D43279" w:rsidP="00D43279">
      <w:pPr>
        <w:rPr>
          <w:rFonts w:eastAsia="宋体"/>
          <w:lang w:eastAsia="zh-CN"/>
        </w:rPr>
      </w:pPr>
      <w:r w:rsidRPr="00D43279">
        <w:rPr>
          <w:rFonts w:eastAsia="宋体" w:hint="eastAsia"/>
          <w:lang w:eastAsia="zh-CN"/>
        </w:rPr>
        <w:t>关键字：</w:t>
      </w:r>
    </w:p>
    <w:p w:rsidR="00D43279" w:rsidRPr="00D43279" w:rsidRDefault="00D43279" w:rsidP="00D43279">
      <w:pPr>
        <w:rPr>
          <w:rFonts w:eastAsia="宋体"/>
          <w:lang w:eastAsia="zh-CN"/>
        </w:rPr>
      </w:pPr>
      <w:r w:rsidRPr="00D43279">
        <w:rPr>
          <w:rFonts w:eastAsia="宋体"/>
          <w:lang w:eastAsia="zh-CN"/>
        </w:rPr>
        <w:t>  Capital commitment</w:t>
      </w:r>
    </w:p>
    <w:p w:rsidR="00D43279" w:rsidRPr="00D43279" w:rsidRDefault="00D43279" w:rsidP="00D43279">
      <w:pPr>
        <w:rPr>
          <w:rFonts w:eastAsia="宋体"/>
          <w:lang w:eastAsia="zh-CN"/>
        </w:rPr>
      </w:pPr>
      <w:r w:rsidRPr="00D43279">
        <w:rPr>
          <w:rFonts w:eastAsia="宋体"/>
          <w:lang w:eastAsia="zh-CN"/>
        </w:rPr>
        <w:t>  Private market funds</w:t>
      </w:r>
    </w:p>
    <w:p w:rsidR="00D43279" w:rsidRPr="00D43279" w:rsidRDefault="00D43279" w:rsidP="00D43279">
      <w:pPr>
        <w:rPr>
          <w:rFonts w:eastAsia="宋体"/>
          <w:lang w:eastAsia="zh-CN"/>
        </w:rPr>
      </w:pPr>
      <w:r w:rsidRPr="00D43279">
        <w:rPr>
          <w:rFonts w:eastAsia="宋体"/>
          <w:lang w:eastAsia="zh-CN"/>
        </w:rPr>
        <w:t>  Dynamic portfolio allocation</w:t>
      </w:r>
    </w:p>
    <w:p w:rsidR="00D43279" w:rsidRPr="00D43279" w:rsidRDefault="00D43279" w:rsidP="00D43279">
      <w:pPr>
        <w:rPr>
          <w:rFonts w:eastAsia="宋体"/>
          <w:lang w:eastAsia="zh-CN"/>
        </w:rPr>
      </w:pPr>
      <w:r w:rsidRPr="00D43279">
        <w:rPr>
          <w:rFonts w:eastAsia="宋体"/>
          <w:lang w:eastAsia="zh-CN"/>
        </w:rPr>
        <w:t>  Risk premiums</w:t>
      </w:r>
    </w:p>
    <w:p w:rsidR="00D43279" w:rsidRPr="00D43279" w:rsidRDefault="00D43279" w:rsidP="00D43279">
      <w:pPr>
        <w:rPr>
          <w:rFonts w:eastAsia="宋体"/>
          <w:lang w:eastAsia="zh-CN"/>
        </w:rPr>
      </w:pPr>
      <w:r w:rsidRPr="00D43279">
        <w:rPr>
          <w:rFonts w:eastAsia="宋体"/>
          <w:lang w:eastAsia="zh-CN"/>
        </w:rPr>
        <w:t>  Secondary market liquidity</w:t>
      </w:r>
    </w:p>
    <w:p w:rsidR="00D43279" w:rsidRPr="00D43279" w:rsidRDefault="00D43279" w:rsidP="00D43279">
      <w:pPr>
        <w:rPr>
          <w:rFonts w:eastAsia="宋体"/>
          <w:lang w:eastAsia="zh-CN"/>
        </w:rPr>
      </w:pPr>
      <w:r w:rsidRPr="00D43279">
        <w:rPr>
          <w:rFonts w:eastAsia="宋体"/>
          <w:lang w:eastAsia="zh-CN"/>
        </w:rPr>
        <w:t>  Investment strategy</w:t>
      </w:r>
    </w:p>
    <w:p w:rsidR="00D43279" w:rsidRPr="00D43279" w:rsidRDefault="00D43279" w:rsidP="00D43279">
      <w:pPr>
        <w:rPr>
          <w:rFonts w:eastAsia="宋体"/>
          <w:lang w:eastAsia="zh-CN"/>
        </w:rPr>
      </w:pPr>
      <w:r w:rsidRPr="00D43279">
        <w:rPr>
          <w:rFonts w:eastAsia="宋体"/>
          <w:lang w:eastAsia="zh-CN"/>
        </w:rPr>
        <w:t>  Financial welfare</w:t>
      </w:r>
    </w:p>
    <w:p w:rsidR="00D43279" w:rsidRDefault="00D43279" w:rsidP="00D43279">
      <w:pPr>
        <w:rPr>
          <w:rFonts w:eastAsia="宋体"/>
          <w:lang w:eastAsia="zh-CN"/>
        </w:rPr>
      </w:pPr>
      <w:r w:rsidRPr="00D43279">
        <w:rPr>
          <w:rFonts w:eastAsia="宋体" w:hint="eastAsia"/>
          <w:lang w:eastAsia="zh-CN"/>
        </w:rPr>
        <w:lastRenderedPageBreak/>
        <w:t>学术要点：</w:t>
      </w:r>
    </w:p>
    <w:p w:rsidR="00EE0FE9" w:rsidRPr="00EE0FE9" w:rsidRDefault="00EE0FE9" w:rsidP="00EE0FE9">
      <w:pPr>
        <w:rPr>
          <w:rFonts w:eastAsia="宋体"/>
          <w:lang w:eastAsia="zh-CN"/>
        </w:rPr>
      </w:pPr>
      <w:r w:rsidRPr="00EE0FE9">
        <w:rPr>
          <w:rFonts w:eastAsia="宋体"/>
          <w:lang w:eastAsia="zh-CN"/>
        </w:rPr>
        <w:t xml:space="preserve">  </w:t>
      </w:r>
      <w:r w:rsidRPr="00EE0FE9">
        <w:rPr>
          <w:rFonts w:eastAsia="宋体"/>
          <w:b/>
          <w:bCs/>
          <w:lang w:eastAsia="zh-CN"/>
        </w:rPr>
        <w:t>学术要点</w:t>
      </w:r>
      <w:r w:rsidRPr="00EE0FE9">
        <w:rPr>
          <w:rFonts w:eastAsia="宋体"/>
          <w:b/>
          <w:bCs/>
          <w:lang w:eastAsia="zh-CN"/>
        </w:rPr>
        <w:t xml:space="preserve"> 1</w:t>
      </w:r>
      <w:r w:rsidRPr="00EE0FE9">
        <w:rPr>
          <w:rFonts w:eastAsia="宋体"/>
          <w:b/>
          <w:bCs/>
          <w:lang w:eastAsia="zh-CN"/>
        </w:rPr>
        <w:t>：资本承诺（</w:t>
      </w:r>
      <w:r w:rsidRPr="00EE0FE9">
        <w:rPr>
          <w:rFonts w:eastAsia="宋体"/>
          <w:b/>
          <w:bCs/>
          <w:lang w:eastAsia="zh-CN"/>
        </w:rPr>
        <w:t>Capital Commitment</w:t>
      </w:r>
      <w:r w:rsidRPr="00EE0FE9">
        <w:rPr>
          <w:rFonts w:eastAsia="宋体"/>
          <w:b/>
          <w:bCs/>
          <w:lang w:eastAsia="zh-CN"/>
        </w:rPr>
        <w:t>）</w:t>
      </w:r>
      <w:r w:rsidRPr="00EE0FE9">
        <w:rPr>
          <w:rFonts w:eastAsia="宋体"/>
          <w:lang w:eastAsia="zh-CN"/>
        </w:rPr>
        <w:br/>
      </w:r>
      <w:r w:rsidRPr="00EE0FE9">
        <w:rPr>
          <w:rFonts w:eastAsia="宋体"/>
          <w:lang w:eastAsia="zh-CN"/>
        </w:rPr>
        <w:t>投资者需要提前承诺资本，资本调用时间和数量的不确定性对投资组合分配和福利有重大影响。</w:t>
      </w:r>
    </w:p>
    <w:p w:rsidR="00EE0FE9" w:rsidRPr="00EE0FE9" w:rsidRDefault="00EE0FE9" w:rsidP="00EE0FE9">
      <w:pPr>
        <w:rPr>
          <w:rFonts w:eastAsia="宋体"/>
          <w:lang w:eastAsia="zh-CN"/>
        </w:rPr>
      </w:pPr>
      <w:r w:rsidRPr="00EE0FE9">
        <w:rPr>
          <w:rFonts w:eastAsia="宋体"/>
          <w:lang w:eastAsia="zh-CN"/>
        </w:rPr>
        <w:t xml:space="preserve">  </w:t>
      </w:r>
      <w:r w:rsidRPr="00EE0FE9">
        <w:rPr>
          <w:rFonts w:eastAsia="宋体"/>
          <w:b/>
          <w:bCs/>
          <w:lang w:eastAsia="zh-CN"/>
        </w:rPr>
        <w:t>学术要点</w:t>
      </w:r>
      <w:r w:rsidRPr="00EE0FE9">
        <w:rPr>
          <w:rFonts w:eastAsia="宋体"/>
          <w:b/>
          <w:bCs/>
          <w:lang w:eastAsia="zh-CN"/>
        </w:rPr>
        <w:t xml:space="preserve"> 2</w:t>
      </w:r>
      <w:r w:rsidRPr="00EE0FE9">
        <w:rPr>
          <w:rFonts w:eastAsia="宋体"/>
          <w:b/>
          <w:bCs/>
          <w:lang w:eastAsia="zh-CN"/>
        </w:rPr>
        <w:t>：承诺时效性风险（</w:t>
      </w:r>
      <w:r w:rsidRPr="00EE0FE9">
        <w:rPr>
          <w:rFonts w:eastAsia="宋体"/>
          <w:b/>
          <w:bCs/>
          <w:lang w:eastAsia="zh-CN"/>
        </w:rPr>
        <w:t>Commitment Timing Risk</w:t>
      </w:r>
      <w:r w:rsidRPr="00EE0FE9">
        <w:rPr>
          <w:rFonts w:eastAsia="宋体"/>
          <w:b/>
          <w:bCs/>
          <w:lang w:eastAsia="zh-CN"/>
        </w:rPr>
        <w:t>）</w:t>
      </w:r>
      <w:r w:rsidRPr="00EE0FE9">
        <w:rPr>
          <w:rFonts w:eastAsia="宋体"/>
          <w:lang w:eastAsia="zh-CN"/>
        </w:rPr>
        <w:br/>
      </w:r>
      <w:r w:rsidRPr="00EE0FE9">
        <w:rPr>
          <w:rFonts w:eastAsia="宋体"/>
          <w:lang w:eastAsia="zh-CN"/>
        </w:rPr>
        <w:t>随机的资本调用时间带来时效性风险，但这种风险对投资者的长期福利影响较小。</w:t>
      </w:r>
    </w:p>
    <w:p w:rsidR="00EE0FE9" w:rsidRPr="00EE0FE9" w:rsidRDefault="00EE0FE9" w:rsidP="00EE0FE9">
      <w:pPr>
        <w:rPr>
          <w:rFonts w:eastAsia="宋体"/>
          <w:lang w:eastAsia="zh-CN"/>
        </w:rPr>
      </w:pPr>
      <w:r w:rsidRPr="00EE0FE9">
        <w:rPr>
          <w:rFonts w:eastAsia="宋体"/>
          <w:lang w:eastAsia="zh-CN"/>
        </w:rPr>
        <w:t xml:space="preserve">  </w:t>
      </w:r>
      <w:r w:rsidRPr="00EE0FE9">
        <w:rPr>
          <w:rFonts w:eastAsia="宋体"/>
          <w:b/>
          <w:bCs/>
          <w:lang w:eastAsia="zh-CN"/>
        </w:rPr>
        <w:t>学术要点</w:t>
      </w:r>
      <w:r w:rsidRPr="00EE0FE9">
        <w:rPr>
          <w:rFonts w:eastAsia="宋体"/>
          <w:b/>
          <w:bCs/>
          <w:lang w:eastAsia="zh-CN"/>
        </w:rPr>
        <w:t xml:space="preserve"> 3</w:t>
      </w:r>
      <w:r w:rsidRPr="00EE0FE9">
        <w:rPr>
          <w:rFonts w:eastAsia="宋体"/>
          <w:b/>
          <w:bCs/>
          <w:lang w:eastAsia="zh-CN"/>
        </w:rPr>
        <w:t>：承诺数量风险（</w:t>
      </w:r>
      <w:r w:rsidRPr="00EE0FE9">
        <w:rPr>
          <w:rFonts w:eastAsia="宋体"/>
          <w:b/>
          <w:bCs/>
          <w:lang w:eastAsia="zh-CN"/>
        </w:rPr>
        <w:t>Commitment Quantity Risk</w:t>
      </w:r>
      <w:r w:rsidRPr="00EE0FE9">
        <w:rPr>
          <w:rFonts w:eastAsia="宋体"/>
          <w:b/>
          <w:bCs/>
          <w:lang w:eastAsia="zh-CN"/>
        </w:rPr>
        <w:t>）</w:t>
      </w:r>
      <w:r w:rsidRPr="00EE0FE9">
        <w:rPr>
          <w:rFonts w:eastAsia="宋体"/>
          <w:lang w:eastAsia="zh-CN"/>
        </w:rPr>
        <w:br/>
      </w:r>
      <w:r w:rsidRPr="00EE0FE9">
        <w:rPr>
          <w:rFonts w:eastAsia="宋体"/>
          <w:lang w:eastAsia="zh-CN"/>
        </w:rPr>
        <w:t>承诺资本与财富比例的不确定性对投资者福利产生重要影响，尤其是在资本调用时。</w:t>
      </w:r>
    </w:p>
    <w:p w:rsidR="00EE0FE9" w:rsidRPr="00EE0FE9" w:rsidRDefault="00EE0FE9" w:rsidP="00EE0FE9">
      <w:pPr>
        <w:rPr>
          <w:rFonts w:eastAsia="宋体"/>
          <w:lang w:eastAsia="zh-CN"/>
        </w:rPr>
      </w:pPr>
      <w:r w:rsidRPr="00EE0FE9">
        <w:rPr>
          <w:rFonts w:eastAsia="宋体"/>
          <w:lang w:eastAsia="zh-CN"/>
        </w:rPr>
        <w:t xml:space="preserve">  </w:t>
      </w:r>
      <w:r w:rsidRPr="00EE0FE9">
        <w:rPr>
          <w:rFonts w:eastAsia="宋体"/>
          <w:b/>
          <w:bCs/>
          <w:lang w:eastAsia="zh-CN"/>
        </w:rPr>
        <w:t>学术要点</w:t>
      </w:r>
      <w:r w:rsidRPr="00EE0FE9">
        <w:rPr>
          <w:rFonts w:eastAsia="宋体"/>
          <w:b/>
          <w:bCs/>
          <w:lang w:eastAsia="zh-CN"/>
        </w:rPr>
        <w:t xml:space="preserve"> 4</w:t>
      </w:r>
      <w:r w:rsidRPr="00EE0FE9">
        <w:rPr>
          <w:rFonts w:eastAsia="宋体"/>
          <w:b/>
          <w:bCs/>
          <w:lang w:eastAsia="zh-CN"/>
        </w:rPr>
        <w:t>：战略违约（</w:t>
      </w:r>
      <w:r w:rsidRPr="00EE0FE9">
        <w:rPr>
          <w:rFonts w:eastAsia="宋体"/>
          <w:b/>
          <w:bCs/>
          <w:lang w:eastAsia="zh-CN"/>
        </w:rPr>
        <w:t>Strategic Default</w:t>
      </w:r>
      <w:r w:rsidRPr="00EE0FE9">
        <w:rPr>
          <w:rFonts w:eastAsia="宋体"/>
          <w:b/>
          <w:bCs/>
          <w:lang w:eastAsia="zh-CN"/>
        </w:rPr>
        <w:t>）</w:t>
      </w:r>
      <w:r w:rsidRPr="00EE0FE9">
        <w:rPr>
          <w:rFonts w:eastAsia="宋体"/>
          <w:lang w:eastAsia="zh-CN"/>
        </w:rPr>
        <w:br/>
      </w:r>
      <w:r w:rsidRPr="00EE0FE9">
        <w:rPr>
          <w:rFonts w:eastAsia="宋体"/>
          <w:lang w:eastAsia="zh-CN"/>
        </w:rPr>
        <w:t>投资者可选择违约以避免资本调用，但这种选择会失去进入私募市场的机会。</w:t>
      </w:r>
    </w:p>
    <w:p w:rsidR="00EE0FE9" w:rsidRPr="00EE0FE9" w:rsidRDefault="00EE0FE9" w:rsidP="00EE0FE9">
      <w:pPr>
        <w:rPr>
          <w:rFonts w:eastAsia="宋体"/>
          <w:lang w:eastAsia="zh-CN"/>
        </w:rPr>
      </w:pPr>
      <w:r w:rsidRPr="00EE0FE9">
        <w:rPr>
          <w:rFonts w:eastAsia="宋体"/>
          <w:lang w:eastAsia="zh-CN"/>
        </w:rPr>
        <w:t xml:space="preserve">  </w:t>
      </w:r>
      <w:r w:rsidRPr="00EE0FE9">
        <w:rPr>
          <w:rFonts w:eastAsia="宋体"/>
          <w:b/>
          <w:bCs/>
          <w:lang w:eastAsia="zh-CN"/>
        </w:rPr>
        <w:t>学术要点</w:t>
      </w:r>
      <w:r w:rsidRPr="00EE0FE9">
        <w:rPr>
          <w:rFonts w:eastAsia="宋体"/>
          <w:b/>
          <w:bCs/>
          <w:lang w:eastAsia="zh-CN"/>
        </w:rPr>
        <w:t xml:space="preserve"> 5</w:t>
      </w:r>
      <w:r w:rsidRPr="00EE0FE9">
        <w:rPr>
          <w:rFonts w:eastAsia="宋体"/>
          <w:b/>
          <w:bCs/>
          <w:lang w:eastAsia="zh-CN"/>
        </w:rPr>
        <w:t>：基金多样化（</w:t>
      </w:r>
      <w:r w:rsidRPr="00EE0FE9">
        <w:rPr>
          <w:rFonts w:eastAsia="宋体"/>
          <w:b/>
          <w:bCs/>
          <w:lang w:eastAsia="zh-CN"/>
        </w:rPr>
        <w:t>Fund Diversification</w:t>
      </w:r>
      <w:r w:rsidRPr="00EE0FE9">
        <w:rPr>
          <w:rFonts w:eastAsia="宋体"/>
          <w:b/>
          <w:bCs/>
          <w:lang w:eastAsia="zh-CN"/>
        </w:rPr>
        <w:t>）</w:t>
      </w:r>
      <w:r w:rsidRPr="00EE0FE9">
        <w:rPr>
          <w:rFonts w:eastAsia="宋体"/>
          <w:lang w:eastAsia="zh-CN"/>
        </w:rPr>
        <w:br/>
      </w:r>
      <w:r w:rsidRPr="00EE0FE9">
        <w:rPr>
          <w:rFonts w:eastAsia="宋体"/>
          <w:lang w:eastAsia="zh-CN"/>
        </w:rPr>
        <w:t>通过增加多个基金，投资者能有效分散风险，但无法完全消除承诺数量风险。</w:t>
      </w:r>
    </w:p>
    <w:p w:rsidR="00EE0FE9" w:rsidRPr="00EE0FE9" w:rsidRDefault="00EE0FE9" w:rsidP="00D43279">
      <w:pPr>
        <w:rPr>
          <w:rFonts w:eastAsia="宋体"/>
          <w:lang w:eastAsia="zh-CN"/>
        </w:rPr>
      </w:pPr>
    </w:p>
    <w:sectPr w:rsidR="00EE0FE9" w:rsidRPr="00EE0FE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40998038">
    <w:abstractNumId w:val="8"/>
  </w:num>
  <w:num w:numId="2" w16cid:durableId="2117481409">
    <w:abstractNumId w:val="6"/>
  </w:num>
  <w:num w:numId="3" w16cid:durableId="1866939689">
    <w:abstractNumId w:val="5"/>
  </w:num>
  <w:num w:numId="4" w16cid:durableId="1723748370">
    <w:abstractNumId w:val="4"/>
  </w:num>
  <w:num w:numId="5" w16cid:durableId="1889368972">
    <w:abstractNumId w:val="7"/>
  </w:num>
  <w:num w:numId="6" w16cid:durableId="1149788362">
    <w:abstractNumId w:val="3"/>
  </w:num>
  <w:num w:numId="7" w16cid:durableId="1978292731">
    <w:abstractNumId w:val="2"/>
  </w:num>
  <w:num w:numId="8" w16cid:durableId="1898544103">
    <w:abstractNumId w:val="1"/>
  </w:num>
  <w:num w:numId="9" w16cid:durableId="158545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F59"/>
    <w:rsid w:val="0029639D"/>
    <w:rsid w:val="00326F90"/>
    <w:rsid w:val="00662642"/>
    <w:rsid w:val="006F11F5"/>
    <w:rsid w:val="008934FC"/>
    <w:rsid w:val="009F71ED"/>
    <w:rsid w:val="00AA1D8D"/>
    <w:rsid w:val="00B47730"/>
    <w:rsid w:val="00CB0664"/>
    <w:rsid w:val="00D43279"/>
    <w:rsid w:val="00EE0F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52E60D"/>
  <w14:defaultImageDpi w14:val="300"/>
  <w15:docId w15:val="{D26AEF88-F13A-4B66-AFE6-EDFEE3CA0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1116230">
      <w:bodyDiv w:val="1"/>
      <w:marLeft w:val="0"/>
      <w:marRight w:val="0"/>
      <w:marTop w:val="0"/>
      <w:marBottom w:val="0"/>
      <w:divBdr>
        <w:top w:val="none" w:sz="0" w:space="0" w:color="auto"/>
        <w:left w:val="none" w:sz="0" w:space="0" w:color="auto"/>
        <w:bottom w:val="none" w:sz="0" w:space="0" w:color="auto"/>
        <w:right w:val="none" w:sz="0" w:space="0" w:color="auto"/>
      </w:divBdr>
    </w:div>
    <w:div w:id="317539128">
      <w:bodyDiv w:val="1"/>
      <w:marLeft w:val="0"/>
      <w:marRight w:val="0"/>
      <w:marTop w:val="0"/>
      <w:marBottom w:val="0"/>
      <w:divBdr>
        <w:top w:val="none" w:sz="0" w:space="0" w:color="auto"/>
        <w:left w:val="none" w:sz="0" w:space="0" w:color="auto"/>
        <w:bottom w:val="none" w:sz="0" w:space="0" w:color="auto"/>
        <w:right w:val="none" w:sz="0" w:space="0" w:color="auto"/>
      </w:divBdr>
    </w:div>
    <w:div w:id="890768725">
      <w:bodyDiv w:val="1"/>
      <w:marLeft w:val="0"/>
      <w:marRight w:val="0"/>
      <w:marTop w:val="0"/>
      <w:marBottom w:val="0"/>
      <w:divBdr>
        <w:top w:val="none" w:sz="0" w:space="0" w:color="auto"/>
        <w:left w:val="none" w:sz="0" w:space="0" w:color="auto"/>
        <w:bottom w:val="none" w:sz="0" w:space="0" w:color="auto"/>
        <w:right w:val="none" w:sz="0" w:space="0" w:color="auto"/>
      </w:divBdr>
    </w:div>
    <w:div w:id="19339702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252</Words>
  <Characters>1439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巧云 雷</cp:lastModifiedBy>
  <cp:revision>5</cp:revision>
  <dcterms:created xsi:type="dcterms:W3CDTF">2013-12-23T23:15:00Z</dcterms:created>
  <dcterms:modified xsi:type="dcterms:W3CDTF">2024-11-20T13:32:00Z</dcterms:modified>
  <cp:category/>
</cp:coreProperties>
</file>