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1281B" w:rsidRDefault="00000000">
      <w:r>
        <w:t>标题：</w:t>
      </w:r>
      <w:r>
        <w:t>Firm Performance Pay as Insurance against Promotion Risk</w:t>
      </w:r>
    </w:p>
    <w:p w:rsidR="0021281B" w:rsidRDefault="00000000">
      <w:r>
        <w:t>链接：</w:t>
      </w:r>
      <w:r>
        <w:t>https://onlinelibrary.wiley.com/doi/full/10.1111/jofi.13379</w:t>
      </w:r>
    </w:p>
    <w:p w:rsidR="0021281B" w:rsidRDefault="00000000">
      <w:r>
        <w:t>作者及机构：</w:t>
      </w:r>
      <w:r>
        <w:t>ALVIN CHEN</w:t>
      </w:r>
    </w:p>
    <w:p w:rsidR="0021281B" w:rsidRDefault="00000000">
      <w:pPr>
        <w:rPr>
          <w:rFonts w:eastAsia="宋体"/>
          <w:lang w:eastAsia="zh-CN"/>
        </w:rPr>
      </w:pPr>
      <w:r>
        <w:t>摘要：</w:t>
      </w:r>
      <w:r>
        <w:t xml:space="preserve">  The prevalence of pay based on risky firm outcomes for nonexecutive workers presents a puzzling departure from conventional contract theory, which predicts insurance provision by the firm. When workers at the same firm compete against each other for promotions, the optimal contract features pay based on firm outcomes as insurance against promotion risk. The model's predictions are consistent with many observed phenomena, such as performance-based vesting and overvaluation of equity pay by nonexecutive workers. It also generates novel predictions linking a firm's hierarchy to its workers' pay structure.</w:t>
      </w:r>
    </w:p>
    <w:p w:rsidR="00C34996" w:rsidRPr="00C34996" w:rsidRDefault="00C34996">
      <w:pPr>
        <w:rPr>
          <w:rFonts w:eastAsia="宋体" w:hint="eastAsia"/>
          <w:lang w:eastAsia="zh-CN"/>
        </w:rPr>
      </w:pPr>
      <w:r>
        <w:rPr>
          <w:rFonts w:eastAsia="宋体" w:hint="eastAsia"/>
          <w:lang w:eastAsia="zh-CN"/>
        </w:rPr>
        <w:t>图片</w:t>
      </w:r>
      <w:r>
        <w:rPr>
          <w:rFonts w:eastAsia="宋体" w:hint="eastAsia"/>
          <w:lang w:eastAsia="zh-CN"/>
        </w:rPr>
        <w:t>AI</w:t>
      </w:r>
      <w:r>
        <w:rPr>
          <w:rFonts w:eastAsia="宋体" w:hint="eastAsia"/>
          <w:lang w:eastAsia="zh-CN"/>
        </w:rPr>
        <w:t>描述：</w:t>
      </w:r>
      <w:r w:rsidRPr="00C34996">
        <w:rPr>
          <w:rFonts w:eastAsia="宋体"/>
          <w:lang w:eastAsia="zh-CN"/>
        </w:rPr>
        <w:t>图表展示了企业绩效薪酬敏感性与高低层任务比例的关系，并标示出关系变化的临界点</w:t>
      </w:r>
      <w:r w:rsidRPr="00C34996">
        <w:rPr>
          <w:rFonts w:eastAsia="宋体"/>
          <w:lang w:eastAsia="zh-CN"/>
        </w:rPr>
        <w:t>θ</w:t>
      </w:r>
      <w:r>
        <w:rPr>
          <w:rFonts w:eastAsia="宋体" w:hint="eastAsia"/>
          <w:lang w:eastAsia="zh-CN"/>
        </w:rPr>
        <w:t>_</w:t>
      </w:r>
      <w:r w:rsidRPr="00C34996">
        <w:rPr>
          <w:rFonts w:eastAsia="宋体"/>
          <w:lang w:eastAsia="zh-CN"/>
        </w:rPr>
        <w:t>L​</w:t>
      </w:r>
      <w:r w:rsidRPr="00C34996">
        <w:rPr>
          <w:rFonts w:eastAsia="宋体"/>
          <w:lang w:eastAsia="zh-CN"/>
        </w:rPr>
        <w:t>。</w:t>
      </w:r>
    </w:p>
    <w:p w:rsidR="00FF5497" w:rsidRPr="00FF5497" w:rsidRDefault="00FF5497" w:rsidP="00FF5497">
      <w:pPr>
        <w:rPr>
          <w:rFonts w:eastAsia="宋体"/>
          <w:lang w:eastAsia="zh-CN"/>
        </w:rPr>
      </w:pPr>
      <w:r w:rsidRPr="00FF5497">
        <w:rPr>
          <w:rFonts w:eastAsia="宋体"/>
          <w:lang w:eastAsia="zh-CN"/>
        </w:rPr>
        <w:t>AI</w:t>
      </w:r>
      <w:r w:rsidRPr="00FF5497">
        <w:rPr>
          <w:rFonts w:eastAsia="宋体" w:hint="eastAsia"/>
          <w:lang w:eastAsia="zh-CN"/>
        </w:rPr>
        <w:t>标题：</w:t>
      </w:r>
      <w:r w:rsidRPr="00FF5497">
        <w:rPr>
          <w:rFonts w:eastAsia="宋体"/>
          <w:lang w:eastAsia="zh-CN"/>
        </w:rPr>
        <w:t>晋升竞争下的薪酬设计：如何通过公司绩效支付为员工提供保险</w:t>
      </w:r>
    </w:p>
    <w:p w:rsidR="00FF5497" w:rsidRPr="00FF5497" w:rsidRDefault="00FF5497" w:rsidP="00FF5497">
      <w:pPr>
        <w:rPr>
          <w:rFonts w:eastAsia="宋体"/>
          <w:lang w:eastAsia="zh-CN"/>
        </w:rPr>
      </w:pPr>
      <w:r w:rsidRPr="00FF5497">
        <w:rPr>
          <w:rFonts w:eastAsia="宋体"/>
          <w:lang w:eastAsia="zh-CN"/>
        </w:rPr>
        <w:t>AI</w:t>
      </w:r>
      <w:r w:rsidRPr="00FF5497">
        <w:rPr>
          <w:rFonts w:eastAsia="宋体" w:hint="eastAsia"/>
          <w:lang w:eastAsia="zh-CN"/>
        </w:rPr>
        <w:t>精炼：</w:t>
      </w:r>
      <w:r w:rsidRPr="00FF5497">
        <w:rPr>
          <w:rFonts w:eastAsia="宋体"/>
          <w:lang w:eastAsia="zh-CN"/>
        </w:rPr>
        <w:t>本文研究了非执行级别员工基于公司绩效的薪酬结构，特别是在晋升竞争环境下，如何作为晋升风险的一种保险。传统合同理论预测公司应为风险规避的员工提供保险，然而现实中，非执行级别员工的薪酬常常与公司的风险性业绩挂钩，这在理论上是一个谜团。本文提出，在晋升竞争激烈的环境中，基于公司业绩的薪酬实际上是一种对晋升风险的保险。这种做法与许多普遍现象如绩效相关的股权薪酬和非执行级员工对股权支付的过高评价相符，并产生了一些新的预测，如公司的层级结构与员工薪酬结构的联系。</w:t>
      </w:r>
    </w:p>
    <w:p w:rsidR="00FF5497" w:rsidRPr="00FF5497" w:rsidRDefault="00FF5497" w:rsidP="00FF5497">
      <w:pPr>
        <w:rPr>
          <w:rFonts w:eastAsia="宋体"/>
          <w:lang w:eastAsia="zh-CN"/>
        </w:rPr>
      </w:pPr>
      <w:r w:rsidRPr="00FF5497">
        <w:rPr>
          <w:rFonts w:eastAsia="宋体" w:hint="eastAsia"/>
          <w:lang w:eastAsia="zh-CN"/>
        </w:rPr>
        <w:t>关键字：</w:t>
      </w:r>
      <w:r w:rsidRPr="00FF5497">
        <w:rPr>
          <w:rFonts w:eastAsia="宋体"/>
          <w:lang w:eastAsia="zh-CN"/>
        </w:rPr>
        <w:t>  Performance-based pay</w:t>
      </w:r>
    </w:p>
    <w:p w:rsidR="00FF5497" w:rsidRPr="00FF5497" w:rsidRDefault="00FF5497" w:rsidP="00FF5497">
      <w:pPr>
        <w:rPr>
          <w:rFonts w:eastAsia="宋体"/>
          <w:lang w:eastAsia="zh-CN"/>
        </w:rPr>
      </w:pPr>
      <w:r w:rsidRPr="00FF5497">
        <w:rPr>
          <w:rFonts w:eastAsia="宋体"/>
          <w:lang w:eastAsia="zh-CN"/>
        </w:rPr>
        <w:t>  Promotion risk</w:t>
      </w:r>
    </w:p>
    <w:p w:rsidR="00FF5497" w:rsidRPr="00FF5497" w:rsidRDefault="00FF5497" w:rsidP="00FF5497">
      <w:pPr>
        <w:rPr>
          <w:rFonts w:eastAsia="宋体"/>
          <w:lang w:eastAsia="zh-CN"/>
        </w:rPr>
      </w:pPr>
      <w:r w:rsidRPr="00FF5497">
        <w:rPr>
          <w:rFonts w:eastAsia="宋体"/>
          <w:lang w:eastAsia="zh-CN"/>
        </w:rPr>
        <w:t>  Non-executive compensation</w:t>
      </w:r>
    </w:p>
    <w:p w:rsidR="00FF5497" w:rsidRPr="00FF5497" w:rsidRDefault="00FF5497" w:rsidP="00FF5497">
      <w:pPr>
        <w:rPr>
          <w:rFonts w:eastAsia="宋体"/>
          <w:lang w:eastAsia="zh-CN"/>
        </w:rPr>
      </w:pPr>
      <w:r w:rsidRPr="00FF5497">
        <w:rPr>
          <w:rFonts w:eastAsia="宋体"/>
          <w:lang w:eastAsia="zh-CN"/>
        </w:rPr>
        <w:t>  Insurance against promotion risk</w:t>
      </w:r>
    </w:p>
    <w:p w:rsidR="00FF5497" w:rsidRPr="00FF5497" w:rsidRDefault="00FF5497" w:rsidP="00FF5497">
      <w:pPr>
        <w:rPr>
          <w:rFonts w:eastAsia="宋体"/>
          <w:lang w:eastAsia="zh-CN"/>
        </w:rPr>
      </w:pPr>
      <w:r w:rsidRPr="00FF5497">
        <w:rPr>
          <w:rFonts w:eastAsia="宋体"/>
          <w:lang w:eastAsia="zh-CN"/>
        </w:rPr>
        <w:t>  Firm hierarchy</w:t>
      </w:r>
    </w:p>
    <w:p w:rsidR="00FF5497" w:rsidRPr="00FF5497" w:rsidRDefault="00FF5497" w:rsidP="00FF5497">
      <w:pPr>
        <w:rPr>
          <w:rFonts w:eastAsia="宋体"/>
          <w:lang w:eastAsia="zh-CN"/>
        </w:rPr>
      </w:pPr>
      <w:r w:rsidRPr="00FF5497">
        <w:rPr>
          <w:rFonts w:eastAsia="宋体"/>
          <w:lang w:eastAsia="zh-CN"/>
        </w:rPr>
        <w:t>  Employee incentives</w:t>
      </w:r>
    </w:p>
    <w:p w:rsidR="00FF5497" w:rsidRPr="00FF5497" w:rsidRDefault="00FF5497" w:rsidP="00FF5497">
      <w:pPr>
        <w:rPr>
          <w:rFonts w:eastAsia="宋体"/>
          <w:lang w:eastAsia="zh-CN"/>
        </w:rPr>
      </w:pPr>
      <w:r w:rsidRPr="00FF5497">
        <w:rPr>
          <w:rFonts w:eastAsia="宋体"/>
          <w:lang w:eastAsia="zh-CN"/>
        </w:rPr>
        <w:t>  Organizational economics</w:t>
      </w:r>
    </w:p>
    <w:p w:rsidR="00FF5497" w:rsidRPr="00FF5497" w:rsidRDefault="00FF5497" w:rsidP="00FF5497">
      <w:pPr>
        <w:rPr>
          <w:rFonts w:eastAsia="宋体"/>
          <w:lang w:eastAsia="zh-CN"/>
        </w:rPr>
      </w:pPr>
      <w:r w:rsidRPr="00FF5497">
        <w:rPr>
          <w:rFonts w:eastAsia="宋体"/>
          <w:lang w:eastAsia="zh-CN"/>
        </w:rPr>
        <w:t>  Contract theory</w:t>
      </w:r>
    </w:p>
    <w:p w:rsidR="00FF5497" w:rsidRDefault="00FF5497" w:rsidP="00FF5497">
      <w:pPr>
        <w:rPr>
          <w:rFonts w:eastAsia="宋体"/>
          <w:lang w:eastAsia="zh-CN"/>
        </w:rPr>
      </w:pPr>
      <w:r w:rsidRPr="00FF5497">
        <w:rPr>
          <w:rFonts w:eastAsia="宋体" w:hint="eastAsia"/>
          <w:lang w:eastAsia="zh-CN"/>
        </w:rPr>
        <w:t>学术要点：</w:t>
      </w:r>
    </w:p>
    <w:p w:rsidR="00144B41" w:rsidRPr="00144B41" w:rsidRDefault="00144B41" w:rsidP="00144B41">
      <w:pPr>
        <w:rPr>
          <w:rFonts w:eastAsia="宋体"/>
          <w:lang w:eastAsia="zh-CN"/>
        </w:rPr>
      </w:pPr>
      <w:r w:rsidRPr="00144B41">
        <w:rPr>
          <w:rFonts w:eastAsia="宋体"/>
          <w:lang w:eastAsia="zh-CN"/>
        </w:rPr>
        <w:lastRenderedPageBreak/>
        <w:t xml:space="preserve">  </w:t>
      </w:r>
      <w:r w:rsidRPr="00144B41">
        <w:rPr>
          <w:rFonts w:eastAsia="宋体"/>
          <w:b/>
          <w:bCs/>
          <w:lang w:eastAsia="zh-CN"/>
        </w:rPr>
        <w:t>学术要点</w:t>
      </w:r>
      <w:r w:rsidRPr="00144B41">
        <w:rPr>
          <w:rFonts w:eastAsia="宋体"/>
          <w:b/>
          <w:bCs/>
          <w:lang w:eastAsia="zh-CN"/>
        </w:rPr>
        <w:t xml:space="preserve"> 1</w:t>
      </w:r>
      <w:r w:rsidRPr="00144B41">
        <w:rPr>
          <w:rFonts w:eastAsia="宋体"/>
          <w:b/>
          <w:bCs/>
          <w:lang w:eastAsia="zh-CN"/>
        </w:rPr>
        <w:t>：绩效支付的保险功能（</w:t>
      </w:r>
      <w:r w:rsidRPr="00144B41">
        <w:rPr>
          <w:rFonts w:eastAsia="宋体"/>
          <w:b/>
          <w:bCs/>
          <w:lang w:eastAsia="zh-CN"/>
        </w:rPr>
        <w:t>Insurance Role of Performance Pay</w:t>
      </w:r>
      <w:r w:rsidRPr="00144B41">
        <w:rPr>
          <w:rFonts w:eastAsia="宋体"/>
          <w:b/>
          <w:bCs/>
          <w:lang w:eastAsia="zh-CN"/>
        </w:rPr>
        <w:t>）</w:t>
      </w:r>
      <w:r w:rsidRPr="00144B41">
        <w:rPr>
          <w:rFonts w:eastAsia="宋体"/>
          <w:lang w:eastAsia="zh-CN"/>
        </w:rPr>
        <w:br/>
      </w:r>
      <w:r w:rsidRPr="00144B41">
        <w:rPr>
          <w:rFonts w:eastAsia="宋体"/>
          <w:lang w:eastAsia="zh-CN"/>
        </w:rPr>
        <w:t>企业通过基于绩效的薪酬支付为员工提供收入保险，缓解晋升失败导致的收入波动。</w:t>
      </w:r>
    </w:p>
    <w:p w:rsidR="00144B41" w:rsidRPr="00144B41" w:rsidRDefault="00144B41" w:rsidP="00144B41">
      <w:pPr>
        <w:rPr>
          <w:rFonts w:eastAsia="宋体"/>
          <w:lang w:eastAsia="zh-CN"/>
        </w:rPr>
      </w:pPr>
      <w:r w:rsidRPr="00144B41">
        <w:rPr>
          <w:rFonts w:eastAsia="宋体"/>
          <w:lang w:eastAsia="zh-CN"/>
        </w:rPr>
        <w:t xml:space="preserve">  </w:t>
      </w:r>
      <w:r w:rsidRPr="00144B41">
        <w:rPr>
          <w:rFonts w:eastAsia="宋体"/>
          <w:b/>
          <w:bCs/>
          <w:lang w:eastAsia="zh-CN"/>
        </w:rPr>
        <w:t>学术要点</w:t>
      </w:r>
      <w:r w:rsidRPr="00144B41">
        <w:rPr>
          <w:rFonts w:eastAsia="宋体"/>
          <w:b/>
          <w:bCs/>
          <w:lang w:eastAsia="zh-CN"/>
        </w:rPr>
        <w:t xml:space="preserve"> 2</w:t>
      </w:r>
      <w:r w:rsidRPr="00144B41">
        <w:rPr>
          <w:rFonts w:eastAsia="宋体"/>
          <w:b/>
          <w:bCs/>
          <w:lang w:eastAsia="zh-CN"/>
        </w:rPr>
        <w:t>：组织摩擦与晋升机会（</w:t>
      </w:r>
      <w:r w:rsidRPr="00144B41">
        <w:rPr>
          <w:rFonts w:eastAsia="宋体"/>
          <w:b/>
          <w:bCs/>
          <w:lang w:eastAsia="zh-CN"/>
        </w:rPr>
        <w:t>Organizational Frictions and Promotion Opportunities</w:t>
      </w:r>
      <w:r w:rsidRPr="00144B41">
        <w:rPr>
          <w:rFonts w:eastAsia="宋体"/>
          <w:b/>
          <w:bCs/>
          <w:lang w:eastAsia="zh-CN"/>
        </w:rPr>
        <w:t>）</w:t>
      </w:r>
      <w:r w:rsidRPr="00144B41">
        <w:rPr>
          <w:rFonts w:eastAsia="宋体"/>
          <w:lang w:eastAsia="zh-CN"/>
        </w:rPr>
        <w:br/>
      </w:r>
      <w:r w:rsidRPr="00144B41">
        <w:rPr>
          <w:rFonts w:eastAsia="宋体"/>
          <w:lang w:eastAsia="zh-CN"/>
        </w:rPr>
        <w:t>企业因管理能力、质量信号和规模报酬递减等组织摩擦限制，难以扩展晋升机会，进一步加剧晋升风险。</w:t>
      </w:r>
    </w:p>
    <w:p w:rsidR="00144B41" w:rsidRPr="00144B41" w:rsidRDefault="00144B41" w:rsidP="00144B41">
      <w:pPr>
        <w:rPr>
          <w:rFonts w:eastAsia="宋体"/>
          <w:lang w:eastAsia="zh-CN"/>
        </w:rPr>
      </w:pPr>
      <w:r w:rsidRPr="00144B41">
        <w:rPr>
          <w:rFonts w:eastAsia="宋体"/>
          <w:lang w:eastAsia="zh-CN"/>
        </w:rPr>
        <w:t xml:space="preserve">  </w:t>
      </w:r>
      <w:r w:rsidRPr="00144B41">
        <w:rPr>
          <w:rFonts w:eastAsia="宋体"/>
          <w:b/>
          <w:bCs/>
          <w:lang w:eastAsia="zh-CN"/>
        </w:rPr>
        <w:t>学术要点</w:t>
      </w:r>
      <w:r w:rsidRPr="00144B41">
        <w:rPr>
          <w:rFonts w:eastAsia="宋体"/>
          <w:b/>
          <w:bCs/>
          <w:lang w:eastAsia="zh-CN"/>
        </w:rPr>
        <w:t xml:space="preserve"> 3</w:t>
      </w:r>
      <w:r w:rsidRPr="00144B41">
        <w:rPr>
          <w:rFonts w:eastAsia="宋体"/>
          <w:b/>
          <w:bCs/>
          <w:lang w:eastAsia="zh-CN"/>
        </w:rPr>
        <w:t>：长期合同与短期合同的对比（</w:t>
      </w:r>
      <w:r w:rsidRPr="00144B41">
        <w:rPr>
          <w:rFonts w:eastAsia="宋体"/>
          <w:b/>
          <w:bCs/>
          <w:lang w:eastAsia="zh-CN"/>
        </w:rPr>
        <w:t>Long-Term vs Short-Term Contracts</w:t>
      </w:r>
      <w:r w:rsidRPr="00144B41">
        <w:rPr>
          <w:rFonts w:eastAsia="宋体"/>
          <w:b/>
          <w:bCs/>
          <w:lang w:eastAsia="zh-CN"/>
        </w:rPr>
        <w:t>）</w:t>
      </w:r>
      <w:r w:rsidRPr="00144B41">
        <w:rPr>
          <w:rFonts w:eastAsia="宋体"/>
          <w:lang w:eastAsia="zh-CN"/>
        </w:rPr>
        <w:br/>
      </w:r>
      <w:r w:rsidRPr="00144B41">
        <w:rPr>
          <w:rFonts w:eastAsia="宋体"/>
          <w:lang w:eastAsia="zh-CN"/>
        </w:rPr>
        <w:t>短期合同通过绩效支付间接应对晋升风险，而长期合同则可直接为未晋升员工提供经济补偿。</w:t>
      </w:r>
    </w:p>
    <w:p w:rsidR="00144B41" w:rsidRPr="00144B41" w:rsidRDefault="00144B41" w:rsidP="00144B41">
      <w:pPr>
        <w:rPr>
          <w:rFonts w:eastAsia="宋体"/>
          <w:lang w:eastAsia="zh-CN"/>
        </w:rPr>
      </w:pPr>
      <w:r w:rsidRPr="00144B41">
        <w:rPr>
          <w:rFonts w:eastAsia="宋体"/>
          <w:lang w:eastAsia="zh-CN"/>
        </w:rPr>
        <w:t xml:space="preserve">  </w:t>
      </w:r>
      <w:r w:rsidRPr="00144B41">
        <w:rPr>
          <w:rFonts w:eastAsia="宋体"/>
          <w:b/>
          <w:bCs/>
          <w:lang w:eastAsia="zh-CN"/>
        </w:rPr>
        <w:t>学术要点</w:t>
      </w:r>
      <w:r w:rsidRPr="00144B41">
        <w:rPr>
          <w:rFonts w:eastAsia="宋体"/>
          <w:b/>
          <w:bCs/>
          <w:lang w:eastAsia="zh-CN"/>
        </w:rPr>
        <w:t xml:space="preserve"> 4</w:t>
      </w:r>
      <w:r w:rsidRPr="00144B41">
        <w:rPr>
          <w:rFonts w:eastAsia="宋体"/>
          <w:b/>
          <w:bCs/>
          <w:lang w:eastAsia="zh-CN"/>
        </w:rPr>
        <w:t>：非执行员工的股票期权偏好（</w:t>
      </w:r>
      <w:r w:rsidRPr="00144B41">
        <w:rPr>
          <w:rFonts w:eastAsia="宋体"/>
          <w:b/>
          <w:bCs/>
          <w:lang w:eastAsia="zh-CN"/>
        </w:rPr>
        <w:t>Nonexecutive Worker Stock Option Preference</w:t>
      </w:r>
      <w:r w:rsidRPr="00144B41">
        <w:rPr>
          <w:rFonts w:eastAsia="宋体"/>
          <w:b/>
          <w:bCs/>
          <w:lang w:eastAsia="zh-CN"/>
        </w:rPr>
        <w:t>）</w:t>
      </w:r>
      <w:r w:rsidRPr="00144B41">
        <w:rPr>
          <w:rFonts w:eastAsia="宋体"/>
          <w:lang w:eastAsia="zh-CN"/>
        </w:rPr>
        <w:br/>
      </w:r>
      <w:r w:rsidRPr="00144B41">
        <w:rPr>
          <w:rFonts w:eastAsia="宋体"/>
          <w:lang w:eastAsia="zh-CN"/>
        </w:rPr>
        <w:t>面临晋升风险的员工倾向于高估股权薪酬的保险功能，导致其偏好此类薪酬形式。</w:t>
      </w:r>
    </w:p>
    <w:p w:rsidR="00144B41" w:rsidRPr="00144B41" w:rsidRDefault="00144B41" w:rsidP="00144B41">
      <w:pPr>
        <w:rPr>
          <w:rFonts w:eastAsia="宋体"/>
          <w:lang w:eastAsia="zh-CN"/>
        </w:rPr>
      </w:pPr>
      <w:r w:rsidRPr="00144B41">
        <w:rPr>
          <w:rFonts w:eastAsia="宋体"/>
          <w:lang w:eastAsia="zh-CN"/>
        </w:rPr>
        <w:t xml:space="preserve">  </w:t>
      </w:r>
      <w:r w:rsidRPr="00144B41">
        <w:rPr>
          <w:rFonts w:eastAsia="宋体"/>
          <w:b/>
          <w:bCs/>
          <w:lang w:eastAsia="zh-CN"/>
        </w:rPr>
        <w:t>学术要点</w:t>
      </w:r>
      <w:r w:rsidRPr="00144B41">
        <w:rPr>
          <w:rFonts w:eastAsia="宋体"/>
          <w:b/>
          <w:bCs/>
          <w:lang w:eastAsia="zh-CN"/>
        </w:rPr>
        <w:t xml:space="preserve"> 5</w:t>
      </w:r>
      <w:r w:rsidRPr="00144B41">
        <w:rPr>
          <w:rFonts w:eastAsia="宋体"/>
          <w:b/>
          <w:bCs/>
          <w:lang w:eastAsia="zh-CN"/>
        </w:rPr>
        <w:t>：晋升风险与消费平滑（</w:t>
      </w:r>
      <w:r w:rsidRPr="00144B41">
        <w:rPr>
          <w:rFonts w:eastAsia="宋体"/>
          <w:b/>
          <w:bCs/>
          <w:lang w:eastAsia="zh-CN"/>
        </w:rPr>
        <w:t>Promotion Risk and Consumption Smoothing</w:t>
      </w:r>
      <w:r w:rsidRPr="00144B41">
        <w:rPr>
          <w:rFonts w:eastAsia="宋体"/>
          <w:b/>
          <w:bCs/>
          <w:lang w:eastAsia="zh-CN"/>
        </w:rPr>
        <w:t>）</w:t>
      </w:r>
      <w:r w:rsidRPr="00144B41">
        <w:rPr>
          <w:rFonts w:eastAsia="宋体"/>
          <w:lang w:eastAsia="zh-CN"/>
        </w:rPr>
        <w:br/>
      </w:r>
      <w:r w:rsidRPr="00144B41">
        <w:rPr>
          <w:rFonts w:eastAsia="宋体"/>
          <w:lang w:eastAsia="zh-CN"/>
        </w:rPr>
        <w:t>晋升风险提高员工当前收入的边际效用，促使其更青睐短期内能提供收入稳定性的薪酬安排。</w:t>
      </w:r>
    </w:p>
    <w:p w:rsidR="00144B41" w:rsidRPr="00144B41" w:rsidRDefault="00144B41" w:rsidP="00FF5497">
      <w:pPr>
        <w:rPr>
          <w:rFonts w:eastAsia="宋体"/>
          <w:lang w:eastAsia="zh-CN"/>
        </w:rPr>
      </w:pPr>
    </w:p>
    <w:sectPr w:rsidR="00144B41" w:rsidRPr="00144B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8728268">
    <w:abstractNumId w:val="8"/>
  </w:num>
  <w:num w:numId="2" w16cid:durableId="2083135262">
    <w:abstractNumId w:val="6"/>
  </w:num>
  <w:num w:numId="3" w16cid:durableId="1624582310">
    <w:abstractNumId w:val="5"/>
  </w:num>
  <w:num w:numId="4" w16cid:durableId="242107324">
    <w:abstractNumId w:val="4"/>
  </w:num>
  <w:num w:numId="5" w16cid:durableId="2098475301">
    <w:abstractNumId w:val="7"/>
  </w:num>
  <w:num w:numId="6" w16cid:durableId="1733699309">
    <w:abstractNumId w:val="3"/>
  </w:num>
  <w:num w:numId="7" w16cid:durableId="1134442327">
    <w:abstractNumId w:val="2"/>
  </w:num>
  <w:num w:numId="8" w16cid:durableId="1584603791">
    <w:abstractNumId w:val="1"/>
  </w:num>
  <w:num w:numId="9" w16cid:durableId="1862744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B41"/>
    <w:rsid w:val="0015074B"/>
    <w:rsid w:val="0021281B"/>
    <w:rsid w:val="0029639D"/>
    <w:rsid w:val="00326F90"/>
    <w:rsid w:val="0051708E"/>
    <w:rsid w:val="006C1BA2"/>
    <w:rsid w:val="00995721"/>
    <w:rsid w:val="00AA1D8D"/>
    <w:rsid w:val="00B47730"/>
    <w:rsid w:val="00BB0C5C"/>
    <w:rsid w:val="00C34996"/>
    <w:rsid w:val="00CB0664"/>
    <w:rsid w:val="00FC693F"/>
    <w:rsid w:val="00FF54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7280E"/>
  <w14:defaultImageDpi w14:val="300"/>
  <w15:docId w15:val="{80DA2E5D-1A24-461A-BE5B-59DBD668B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321490">
      <w:bodyDiv w:val="1"/>
      <w:marLeft w:val="0"/>
      <w:marRight w:val="0"/>
      <w:marTop w:val="0"/>
      <w:marBottom w:val="0"/>
      <w:divBdr>
        <w:top w:val="none" w:sz="0" w:space="0" w:color="auto"/>
        <w:left w:val="none" w:sz="0" w:space="0" w:color="auto"/>
        <w:bottom w:val="none" w:sz="0" w:space="0" w:color="auto"/>
        <w:right w:val="none" w:sz="0" w:space="0" w:color="auto"/>
      </w:divBdr>
    </w:div>
    <w:div w:id="458449725">
      <w:bodyDiv w:val="1"/>
      <w:marLeft w:val="0"/>
      <w:marRight w:val="0"/>
      <w:marTop w:val="0"/>
      <w:marBottom w:val="0"/>
      <w:divBdr>
        <w:top w:val="none" w:sz="0" w:space="0" w:color="auto"/>
        <w:left w:val="none" w:sz="0" w:space="0" w:color="auto"/>
        <w:bottom w:val="none" w:sz="0" w:space="0" w:color="auto"/>
        <w:right w:val="none" w:sz="0" w:space="0" w:color="auto"/>
      </w:divBdr>
    </w:div>
    <w:div w:id="1708602559">
      <w:bodyDiv w:val="1"/>
      <w:marLeft w:val="0"/>
      <w:marRight w:val="0"/>
      <w:marTop w:val="0"/>
      <w:marBottom w:val="0"/>
      <w:divBdr>
        <w:top w:val="none" w:sz="0" w:space="0" w:color="auto"/>
        <w:left w:val="none" w:sz="0" w:space="0" w:color="auto"/>
        <w:bottom w:val="none" w:sz="0" w:space="0" w:color="auto"/>
        <w:right w:val="none" w:sz="0" w:space="0" w:color="auto"/>
      </w:divBdr>
    </w:div>
    <w:div w:id="1868790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5</cp:revision>
  <dcterms:created xsi:type="dcterms:W3CDTF">2013-12-23T23:15:00Z</dcterms:created>
  <dcterms:modified xsi:type="dcterms:W3CDTF">2024-11-20T13:35:00Z</dcterms:modified>
  <cp:category/>
</cp:coreProperties>
</file>