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3092C" w:rsidRDefault="00000000">
      <w:r>
        <w:t>标题：</w:t>
      </w:r>
      <w:r>
        <w:t>The Mortgage-Cash Premium Puzzle</w:t>
      </w:r>
    </w:p>
    <w:p w:rsidR="0003092C" w:rsidRDefault="00000000">
      <w:r>
        <w:t>链接：</w:t>
      </w:r>
      <w:r>
        <w:t>https://onlinelibrary.wiley.com/doi/full/10.1111/jofi.13373</w:t>
      </w:r>
    </w:p>
    <w:p w:rsidR="0003092C" w:rsidRDefault="00000000">
      <w:r>
        <w:t>作者及机构：</w:t>
      </w:r>
      <w:r>
        <w:t>MICHAEL REHER</w:t>
      </w:r>
    </w:p>
    <w:p w:rsidR="0003092C" w:rsidRDefault="00000000">
      <w:r>
        <w:t>ROSSEN VALKANOV</w:t>
      </w:r>
    </w:p>
    <w:p w:rsidR="0003092C" w:rsidRDefault="00000000">
      <w:pPr>
        <w:rPr>
          <w:rFonts w:eastAsia="宋体"/>
          <w:lang w:eastAsia="zh-CN"/>
        </w:rPr>
      </w:pPr>
      <w:r>
        <w:t>摘要：</w:t>
      </w:r>
      <w:r>
        <w:t xml:space="preserve">  All-cash homebuyers account for one-third of U.S. home purchases between 1980 and 2017. We use multiple data sets and research designs to robustly estimate that mortgaged buyers pay an 11% premium over all-cash buyers to compensate home sellers for mortgage transaction frictions. A dynamic, representative-seller model implies only a 3% premium, which would suggest an 8% puzzle. Accounting for heterogeneity in selling conditions explains half of this difference, but a puzzle holds in conditions with high transaction risk. An experimental survey of U.S. homeowners replicates these patterns and suggests that belief distortions can explain the puzzle in these high-risk states.</w:t>
      </w:r>
    </w:p>
    <w:p w:rsidR="00BA682F" w:rsidRPr="00BA682F" w:rsidRDefault="00BA682F">
      <w:pPr>
        <w:rPr>
          <w:rFonts w:eastAsia="宋体"/>
          <w:lang w:eastAsia="zh-CN"/>
        </w:rPr>
      </w:pPr>
      <w:r>
        <w:rPr>
          <w:rFonts w:eastAsia="宋体" w:hint="eastAsia"/>
          <w:lang w:eastAsia="zh-CN"/>
        </w:rPr>
        <w:t>图片</w:t>
      </w:r>
      <w:r>
        <w:rPr>
          <w:rFonts w:eastAsia="宋体" w:hint="eastAsia"/>
          <w:lang w:eastAsia="zh-CN"/>
        </w:rPr>
        <w:t>AI</w:t>
      </w:r>
      <w:r>
        <w:rPr>
          <w:rFonts w:eastAsia="宋体" w:hint="eastAsia"/>
          <w:lang w:eastAsia="zh-CN"/>
        </w:rPr>
        <w:t>总结：</w:t>
      </w:r>
      <w:r w:rsidRPr="00BA682F">
        <w:rPr>
          <w:rFonts w:eastAsia="宋体"/>
          <w:lang w:eastAsia="zh-CN"/>
        </w:rPr>
        <w:t>图表总结了理论中的抵押贷款</w:t>
      </w:r>
      <w:r w:rsidRPr="00BA682F">
        <w:rPr>
          <w:rFonts w:eastAsia="宋体"/>
          <w:lang w:eastAsia="zh-CN"/>
        </w:rPr>
        <w:t>-</w:t>
      </w:r>
      <w:r w:rsidRPr="00BA682F">
        <w:rPr>
          <w:rFonts w:eastAsia="宋体"/>
          <w:lang w:eastAsia="zh-CN"/>
        </w:rPr>
        <w:t>现金溢价计算，展示了不同参数和风险厌恶程度对溢价的影响及其对经验值的解释。</w:t>
      </w:r>
    </w:p>
    <w:p w:rsidR="0099756A" w:rsidRPr="0099756A" w:rsidRDefault="0099756A" w:rsidP="0099756A">
      <w:pPr>
        <w:rPr>
          <w:rFonts w:eastAsia="宋体"/>
          <w:lang w:eastAsia="zh-CN"/>
        </w:rPr>
      </w:pPr>
      <w:r w:rsidRPr="0099756A">
        <w:rPr>
          <w:rFonts w:eastAsia="宋体"/>
          <w:lang w:eastAsia="zh-CN"/>
        </w:rPr>
        <w:t>AI</w:t>
      </w:r>
      <w:r w:rsidRPr="0099756A">
        <w:rPr>
          <w:rFonts w:eastAsia="宋体" w:hint="eastAsia"/>
          <w:lang w:eastAsia="zh-CN"/>
        </w:rPr>
        <w:t>标题：</w:t>
      </w:r>
      <w:r w:rsidR="00D36EBF" w:rsidRPr="00D36EBF">
        <w:rPr>
          <w:rFonts w:eastAsia="宋体"/>
          <w:lang w:eastAsia="zh-CN"/>
        </w:rPr>
        <w:t>房地产市场的隐性成本：抵押贷款与全现金购房价格差异解析</w:t>
      </w:r>
    </w:p>
    <w:p w:rsidR="0099756A" w:rsidRPr="0099756A" w:rsidRDefault="0099756A" w:rsidP="0099756A">
      <w:pPr>
        <w:rPr>
          <w:rFonts w:eastAsia="宋体"/>
          <w:lang w:eastAsia="zh-CN"/>
        </w:rPr>
      </w:pPr>
      <w:r w:rsidRPr="0099756A">
        <w:rPr>
          <w:rFonts w:eastAsia="宋体"/>
          <w:lang w:eastAsia="zh-CN"/>
        </w:rPr>
        <w:t>AI</w:t>
      </w:r>
      <w:r w:rsidRPr="0099756A">
        <w:rPr>
          <w:rFonts w:eastAsia="宋体" w:hint="eastAsia"/>
          <w:lang w:eastAsia="zh-CN"/>
        </w:rPr>
        <w:t>精炼：</w:t>
      </w:r>
      <w:r w:rsidR="00D36EBF" w:rsidRPr="00D36EBF">
        <w:rPr>
          <w:rFonts w:eastAsia="宋体"/>
          <w:lang w:eastAsia="zh-CN"/>
        </w:rPr>
        <w:t>这篇论文研究的领域是房地产经济学，主要探讨了抵押贷款和全现金购房者之间的价格差异。以往的研究主要关注市场上的价格波动和买家偏好，而较少涉及融资方式如何影响房屋销售价格。本文通过动态模型和实证分析，发现抵押贷款购房者相对于全现金购房者平均支付了</w:t>
      </w:r>
      <w:r w:rsidR="00D36EBF" w:rsidRPr="00D36EBF">
        <w:rPr>
          <w:rFonts w:eastAsia="宋体"/>
          <w:lang w:eastAsia="zh-CN"/>
        </w:rPr>
        <w:t>11%</w:t>
      </w:r>
      <w:r w:rsidR="00D36EBF" w:rsidRPr="00D36EBF">
        <w:rPr>
          <w:rFonts w:eastAsia="宋体"/>
          <w:lang w:eastAsia="zh-CN"/>
        </w:rPr>
        <w:t>的价格溢价，这一溢价被认为是为了补偿卖家在交易过程中面临的风险和延迟。文章进一步探讨了卖家信念偏差如何在高风险交易状态下放大这一溢价，提供了政策制定者减少这种溢价的可能策略。</w:t>
      </w:r>
    </w:p>
    <w:p w:rsidR="00D36EBF" w:rsidRPr="00D36EBF" w:rsidRDefault="0099756A" w:rsidP="00D36EBF">
      <w:pPr>
        <w:rPr>
          <w:rFonts w:eastAsia="宋体"/>
          <w:lang w:eastAsia="zh-CN"/>
        </w:rPr>
      </w:pPr>
      <w:r w:rsidRPr="0099756A">
        <w:rPr>
          <w:rFonts w:eastAsia="宋体" w:hint="eastAsia"/>
          <w:lang w:eastAsia="zh-CN"/>
        </w:rPr>
        <w:t>关键字：</w:t>
      </w:r>
      <w:r w:rsidR="00D36EBF" w:rsidRPr="00D36EBF">
        <w:rPr>
          <w:rFonts w:eastAsia="宋体"/>
          <w:lang w:eastAsia="zh-CN"/>
        </w:rPr>
        <w:t>Real Estate Economics</w:t>
      </w:r>
    </w:p>
    <w:p w:rsidR="00D36EBF" w:rsidRPr="00D36EBF" w:rsidRDefault="00D36EBF" w:rsidP="00D36EBF">
      <w:pPr>
        <w:rPr>
          <w:rFonts w:eastAsia="宋体"/>
          <w:lang w:eastAsia="zh-CN"/>
        </w:rPr>
      </w:pPr>
      <w:r w:rsidRPr="00D36EBF">
        <w:rPr>
          <w:rFonts w:eastAsia="宋体"/>
          <w:lang w:eastAsia="zh-CN"/>
        </w:rPr>
        <w:t>Mortgage-Cash Premium</w:t>
      </w:r>
    </w:p>
    <w:p w:rsidR="00D36EBF" w:rsidRPr="00D36EBF" w:rsidRDefault="00D36EBF" w:rsidP="00D36EBF">
      <w:pPr>
        <w:rPr>
          <w:rFonts w:eastAsia="宋体"/>
          <w:lang w:eastAsia="zh-CN"/>
        </w:rPr>
      </w:pPr>
      <w:r w:rsidRPr="00D36EBF">
        <w:rPr>
          <w:rFonts w:eastAsia="宋体"/>
          <w:lang w:eastAsia="zh-CN"/>
        </w:rPr>
        <w:t>Dynamic Modeling</w:t>
      </w:r>
    </w:p>
    <w:p w:rsidR="00D36EBF" w:rsidRPr="00D36EBF" w:rsidRDefault="00D36EBF" w:rsidP="00D36EBF">
      <w:pPr>
        <w:rPr>
          <w:rFonts w:eastAsia="宋体"/>
          <w:lang w:eastAsia="zh-CN"/>
        </w:rPr>
      </w:pPr>
      <w:r w:rsidRPr="00D36EBF">
        <w:rPr>
          <w:rFonts w:eastAsia="宋体"/>
          <w:lang w:eastAsia="zh-CN"/>
        </w:rPr>
        <w:t>Empirical Analysis</w:t>
      </w:r>
    </w:p>
    <w:p w:rsidR="00D36EBF" w:rsidRPr="00D36EBF" w:rsidRDefault="00D36EBF" w:rsidP="00D36EBF">
      <w:pPr>
        <w:rPr>
          <w:rFonts w:eastAsia="宋体"/>
          <w:lang w:eastAsia="zh-CN"/>
        </w:rPr>
      </w:pPr>
      <w:r w:rsidRPr="00D36EBF">
        <w:rPr>
          <w:rFonts w:eastAsia="宋体"/>
          <w:lang w:eastAsia="zh-CN"/>
        </w:rPr>
        <w:t>Risk Compensation</w:t>
      </w:r>
    </w:p>
    <w:p w:rsidR="00D36EBF" w:rsidRPr="00D36EBF" w:rsidRDefault="00D36EBF" w:rsidP="00D36EBF">
      <w:pPr>
        <w:rPr>
          <w:rFonts w:eastAsia="宋体"/>
          <w:lang w:eastAsia="zh-CN"/>
        </w:rPr>
      </w:pPr>
      <w:r w:rsidRPr="00D36EBF">
        <w:rPr>
          <w:rFonts w:eastAsia="宋体"/>
          <w:lang w:eastAsia="zh-CN"/>
        </w:rPr>
        <w:t>Belief Distortions</w:t>
      </w:r>
    </w:p>
    <w:p w:rsidR="0099756A" w:rsidRPr="0099756A" w:rsidRDefault="00D36EBF" w:rsidP="00D36EBF">
      <w:pPr>
        <w:rPr>
          <w:rFonts w:eastAsia="宋体"/>
          <w:lang w:eastAsia="zh-CN"/>
        </w:rPr>
      </w:pPr>
      <w:r w:rsidRPr="00D36EBF">
        <w:rPr>
          <w:rFonts w:eastAsia="宋体"/>
          <w:lang w:eastAsia="zh-CN"/>
        </w:rPr>
        <w:t>Policy Implications</w:t>
      </w:r>
    </w:p>
    <w:p w:rsidR="0099756A" w:rsidRDefault="0099756A" w:rsidP="0099756A">
      <w:pPr>
        <w:rPr>
          <w:rFonts w:eastAsia="宋体"/>
          <w:lang w:eastAsia="zh-CN"/>
        </w:rPr>
      </w:pPr>
      <w:r w:rsidRPr="0099756A">
        <w:rPr>
          <w:rFonts w:eastAsia="宋体" w:hint="eastAsia"/>
          <w:lang w:eastAsia="zh-CN"/>
        </w:rPr>
        <w:t>学术要点：</w:t>
      </w:r>
    </w:p>
    <w:p w:rsidR="0099756A" w:rsidRPr="0099756A" w:rsidRDefault="0099756A" w:rsidP="0099756A">
      <w:pPr>
        <w:rPr>
          <w:rFonts w:eastAsia="宋体"/>
          <w:lang w:eastAsia="zh-CN"/>
        </w:rPr>
      </w:pPr>
      <w:r w:rsidRPr="0099756A">
        <w:rPr>
          <w:rFonts w:eastAsia="宋体"/>
          <w:lang w:eastAsia="zh-CN"/>
        </w:rPr>
        <w:lastRenderedPageBreak/>
        <w:t xml:space="preserve">  </w:t>
      </w:r>
      <w:r w:rsidRPr="0099756A">
        <w:rPr>
          <w:rFonts w:eastAsia="宋体"/>
          <w:b/>
          <w:bCs/>
          <w:lang w:eastAsia="zh-CN"/>
        </w:rPr>
        <w:t>学术要点</w:t>
      </w:r>
      <w:r w:rsidRPr="0099756A">
        <w:rPr>
          <w:rFonts w:eastAsia="宋体"/>
          <w:b/>
          <w:bCs/>
          <w:lang w:eastAsia="zh-CN"/>
        </w:rPr>
        <w:t xml:space="preserve"> 1</w:t>
      </w:r>
      <w:r w:rsidRPr="0099756A">
        <w:rPr>
          <w:rFonts w:eastAsia="宋体"/>
          <w:b/>
          <w:bCs/>
          <w:lang w:eastAsia="zh-CN"/>
        </w:rPr>
        <w:t>：抵押</w:t>
      </w:r>
      <w:r w:rsidRPr="0099756A">
        <w:rPr>
          <w:rFonts w:eastAsia="宋体"/>
          <w:b/>
          <w:bCs/>
          <w:lang w:eastAsia="zh-CN"/>
        </w:rPr>
        <w:t>-</w:t>
      </w:r>
      <w:r w:rsidRPr="0099756A">
        <w:rPr>
          <w:rFonts w:eastAsia="宋体"/>
          <w:b/>
          <w:bCs/>
          <w:lang w:eastAsia="zh-CN"/>
        </w:rPr>
        <w:t>现金溢价现象（</w:t>
      </w:r>
      <w:r w:rsidRPr="0099756A">
        <w:rPr>
          <w:rFonts w:eastAsia="宋体"/>
          <w:b/>
          <w:bCs/>
          <w:lang w:eastAsia="zh-CN"/>
        </w:rPr>
        <w:t>Mortgage-Cash Premium Phenomenon</w:t>
      </w:r>
      <w:r w:rsidRPr="0099756A">
        <w:rPr>
          <w:rFonts w:eastAsia="宋体"/>
          <w:b/>
          <w:bCs/>
          <w:lang w:eastAsia="zh-CN"/>
        </w:rPr>
        <w:t>）</w:t>
      </w:r>
      <w:r w:rsidRPr="0099756A">
        <w:rPr>
          <w:rFonts w:eastAsia="宋体"/>
          <w:lang w:eastAsia="zh-CN"/>
        </w:rPr>
        <w:br/>
      </w:r>
      <w:r w:rsidRPr="0099756A">
        <w:rPr>
          <w:rFonts w:eastAsia="宋体"/>
          <w:lang w:eastAsia="zh-CN"/>
        </w:rPr>
        <w:t>抵押贷款买家支付的价格溢价平均为</w:t>
      </w:r>
      <w:r w:rsidRPr="0099756A">
        <w:rPr>
          <w:rFonts w:eastAsia="宋体"/>
          <w:lang w:eastAsia="zh-CN"/>
        </w:rPr>
        <w:t>11%</w:t>
      </w:r>
      <w:r w:rsidRPr="0099756A">
        <w:rPr>
          <w:rFonts w:eastAsia="宋体"/>
          <w:lang w:eastAsia="zh-CN"/>
        </w:rPr>
        <w:t>，远高于理论模型预测的</w:t>
      </w:r>
      <w:r w:rsidRPr="0099756A">
        <w:rPr>
          <w:rFonts w:eastAsia="宋体"/>
          <w:lang w:eastAsia="zh-CN"/>
        </w:rPr>
        <w:t>3%</w:t>
      </w:r>
      <w:r w:rsidRPr="0099756A">
        <w:rPr>
          <w:rFonts w:eastAsia="宋体"/>
          <w:lang w:eastAsia="zh-CN"/>
        </w:rPr>
        <w:t>，体现出房产交易的高摩擦成本。</w:t>
      </w:r>
    </w:p>
    <w:p w:rsidR="0099756A" w:rsidRPr="0099756A" w:rsidRDefault="0099756A" w:rsidP="0099756A">
      <w:pPr>
        <w:rPr>
          <w:rFonts w:eastAsia="宋体"/>
          <w:lang w:eastAsia="zh-CN"/>
        </w:rPr>
      </w:pPr>
      <w:r w:rsidRPr="0099756A">
        <w:rPr>
          <w:rFonts w:eastAsia="宋体"/>
          <w:lang w:eastAsia="zh-CN"/>
        </w:rPr>
        <w:t xml:space="preserve">  </w:t>
      </w:r>
      <w:r w:rsidRPr="0099756A">
        <w:rPr>
          <w:rFonts w:eastAsia="宋体"/>
          <w:b/>
          <w:bCs/>
          <w:lang w:eastAsia="zh-CN"/>
        </w:rPr>
        <w:t>学术要点</w:t>
      </w:r>
      <w:r w:rsidRPr="0099756A">
        <w:rPr>
          <w:rFonts w:eastAsia="宋体"/>
          <w:b/>
          <w:bCs/>
          <w:lang w:eastAsia="zh-CN"/>
        </w:rPr>
        <w:t xml:space="preserve"> 2</w:t>
      </w:r>
      <w:r w:rsidRPr="0099756A">
        <w:rPr>
          <w:rFonts w:eastAsia="宋体"/>
          <w:b/>
          <w:bCs/>
          <w:lang w:eastAsia="zh-CN"/>
        </w:rPr>
        <w:t>：高交易风险下的溢价偏差（</w:t>
      </w:r>
      <w:r w:rsidRPr="0099756A">
        <w:rPr>
          <w:rFonts w:eastAsia="宋体"/>
          <w:b/>
          <w:bCs/>
          <w:lang w:eastAsia="zh-CN"/>
        </w:rPr>
        <w:t>Premium Distortion Under High Transaction Risk</w:t>
      </w:r>
      <w:r w:rsidRPr="0099756A">
        <w:rPr>
          <w:rFonts w:eastAsia="宋体"/>
          <w:b/>
          <w:bCs/>
          <w:lang w:eastAsia="zh-CN"/>
        </w:rPr>
        <w:t>）</w:t>
      </w:r>
      <w:r w:rsidRPr="0099756A">
        <w:rPr>
          <w:rFonts w:eastAsia="宋体"/>
          <w:lang w:eastAsia="zh-CN"/>
        </w:rPr>
        <w:br/>
      </w:r>
      <w:r w:rsidRPr="0099756A">
        <w:rPr>
          <w:rFonts w:eastAsia="宋体"/>
          <w:lang w:eastAsia="zh-CN"/>
        </w:rPr>
        <w:t>在高交易风险环境中，卖家要求更高的溢价以应对失败风险，实证溢价显著高于理论模型的预测。</w:t>
      </w:r>
    </w:p>
    <w:p w:rsidR="0099756A" w:rsidRPr="0099756A" w:rsidRDefault="0099756A" w:rsidP="0099756A">
      <w:pPr>
        <w:rPr>
          <w:rFonts w:eastAsia="宋体"/>
          <w:lang w:eastAsia="zh-CN"/>
        </w:rPr>
      </w:pPr>
      <w:r w:rsidRPr="0099756A">
        <w:rPr>
          <w:rFonts w:eastAsia="宋体"/>
          <w:lang w:eastAsia="zh-CN"/>
        </w:rPr>
        <w:t xml:space="preserve">  </w:t>
      </w:r>
      <w:r w:rsidRPr="0099756A">
        <w:rPr>
          <w:rFonts w:eastAsia="宋体"/>
          <w:b/>
          <w:bCs/>
          <w:lang w:eastAsia="zh-CN"/>
        </w:rPr>
        <w:t>学术要点</w:t>
      </w:r>
      <w:r w:rsidRPr="0099756A">
        <w:rPr>
          <w:rFonts w:eastAsia="宋体"/>
          <w:b/>
          <w:bCs/>
          <w:lang w:eastAsia="zh-CN"/>
        </w:rPr>
        <w:t xml:space="preserve"> 3</w:t>
      </w:r>
      <w:r w:rsidRPr="0099756A">
        <w:rPr>
          <w:rFonts w:eastAsia="宋体"/>
          <w:b/>
          <w:bCs/>
          <w:lang w:eastAsia="zh-CN"/>
        </w:rPr>
        <w:t>：卖家风险承受能力的异质性（</w:t>
      </w:r>
      <w:r w:rsidRPr="0099756A">
        <w:rPr>
          <w:rFonts w:eastAsia="宋体"/>
          <w:b/>
          <w:bCs/>
          <w:lang w:eastAsia="zh-CN"/>
        </w:rPr>
        <w:t>Heterogeneity in Seller Risk-Bearing Capacity</w:t>
      </w:r>
      <w:r w:rsidRPr="0099756A">
        <w:rPr>
          <w:rFonts w:eastAsia="宋体"/>
          <w:b/>
          <w:bCs/>
          <w:lang w:eastAsia="zh-CN"/>
        </w:rPr>
        <w:t>）</w:t>
      </w:r>
      <w:r w:rsidRPr="0099756A">
        <w:rPr>
          <w:rFonts w:eastAsia="宋体"/>
          <w:lang w:eastAsia="zh-CN"/>
        </w:rPr>
        <w:br/>
      </w:r>
      <w:r w:rsidRPr="0099756A">
        <w:rPr>
          <w:rFonts w:eastAsia="宋体"/>
          <w:lang w:eastAsia="zh-CN"/>
        </w:rPr>
        <w:t>卖家净财富越低，其对交易失败的风险厌恶越强，导致溢价要求随风险程度显著增加。</w:t>
      </w:r>
    </w:p>
    <w:p w:rsidR="0099756A" w:rsidRPr="0099756A" w:rsidRDefault="0099756A" w:rsidP="0099756A">
      <w:pPr>
        <w:rPr>
          <w:rFonts w:eastAsia="宋体"/>
          <w:lang w:eastAsia="zh-CN"/>
        </w:rPr>
      </w:pPr>
      <w:r w:rsidRPr="0099756A">
        <w:rPr>
          <w:rFonts w:eastAsia="宋体"/>
          <w:lang w:eastAsia="zh-CN"/>
        </w:rPr>
        <w:t xml:space="preserve">  </w:t>
      </w:r>
      <w:r w:rsidRPr="0099756A">
        <w:rPr>
          <w:rFonts w:eastAsia="宋体"/>
          <w:b/>
          <w:bCs/>
          <w:lang w:eastAsia="zh-CN"/>
        </w:rPr>
        <w:t>学术要点</w:t>
      </w:r>
      <w:r w:rsidRPr="0099756A">
        <w:rPr>
          <w:rFonts w:eastAsia="宋体"/>
          <w:b/>
          <w:bCs/>
          <w:lang w:eastAsia="zh-CN"/>
        </w:rPr>
        <w:t xml:space="preserve"> 4</w:t>
      </w:r>
      <w:r w:rsidRPr="0099756A">
        <w:rPr>
          <w:rFonts w:eastAsia="宋体"/>
          <w:b/>
          <w:bCs/>
          <w:lang w:eastAsia="zh-CN"/>
        </w:rPr>
        <w:t>：信念偏差的放大效应（</w:t>
      </w:r>
      <w:r w:rsidRPr="0099756A">
        <w:rPr>
          <w:rFonts w:eastAsia="宋体"/>
          <w:b/>
          <w:bCs/>
          <w:lang w:eastAsia="zh-CN"/>
        </w:rPr>
        <w:t>Amplification Effect of Belief Distortions</w:t>
      </w:r>
      <w:r w:rsidRPr="0099756A">
        <w:rPr>
          <w:rFonts w:eastAsia="宋体"/>
          <w:b/>
          <w:bCs/>
          <w:lang w:eastAsia="zh-CN"/>
        </w:rPr>
        <w:t>）</w:t>
      </w:r>
      <w:r w:rsidRPr="0099756A">
        <w:rPr>
          <w:rFonts w:eastAsia="宋体"/>
          <w:lang w:eastAsia="zh-CN"/>
        </w:rPr>
        <w:br/>
      </w:r>
      <w:r w:rsidRPr="0099756A">
        <w:rPr>
          <w:rFonts w:eastAsia="宋体"/>
          <w:lang w:eastAsia="zh-CN"/>
        </w:rPr>
        <w:t>卖家因对抵押贷款交易失败的模糊性厌恶而要求更高溢价，这一效应通过实验数据得以验证。</w:t>
      </w:r>
    </w:p>
    <w:p w:rsidR="0099756A" w:rsidRPr="0099756A" w:rsidRDefault="0099756A" w:rsidP="0099756A">
      <w:pPr>
        <w:rPr>
          <w:rFonts w:eastAsia="宋体"/>
          <w:lang w:eastAsia="zh-CN"/>
        </w:rPr>
      </w:pPr>
      <w:r w:rsidRPr="0099756A">
        <w:rPr>
          <w:rFonts w:eastAsia="宋体"/>
          <w:lang w:eastAsia="zh-CN"/>
        </w:rPr>
        <w:t xml:space="preserve">  </w:t>
      </w:r>
      <w:r w:rsidRPr="0099756A">
        <w:rPr>
          <w:rFonts w:eastAsia="宋体"/>
          <w:b/>
          <w:bCs/>
          <w:lang w:eastAsia="zh-CN"/>
        </w:rPr>
        <w:t>学术要点</w:t>
      </w:r>
      <w:r w:rsidRPr="0099756A">
        <w:rPr>
          <w:rFonts w:eastAsia="宋体"/>
          <w:b/>
          <w:bCs/>
          <w:lang w:eastAsia="zh-CN"/>
        </w:rPr>
        <w:t xml:space="preserve"> 5</w:t>
      </w:r>
      <w:r w:rsidRPr="0099756A">
        <w:rPr>
          <w:rFonts w:eastAsia="宋体"/>
          <w:b/>
          <w:bCs/>
          <w:lang w:eastAsia="zh-CN"/>
        </w:rPr>
        <w:t>：政策干预的潜在效果（</w:t>
      </w:r>
      <w:r w:rsidRPr="0099756A">
        <w:rPr>
          <w:rFonts w:eastAsia="宋体"/>
          <w:b/>
          <w:bCs/>
          <w:lang w:eastAsia="zh-CN"/>
        </w:rPr>
        <w:t>Potential Effects of Policy Interventions</w:t>
      </w:r>
      <w:r w:rsidRPr="0099756A">
        <w:rPr>
          <w:rFonts w:eastAsia="宋体"/>
          <w:b/>
          <w:bCs/>
          <w:lang w:eastAsia="zh-CN"/>
        </w:rPr>
        <w:t>）</w:t>
      </w:r>
      <w:r w:rsidRPr="0099756A">
        <w:rPr>
          <w:rFonts w:eastAsia="宋体"/>
          <w:lang w:eastAsia="zh-CN"/>
        </w:rPr>
        <w:br/>
      </w:r>
      <w:r w:rsidRPr="0099756A">
        <w:rPr>
          <w:rFonts w:eastAsia="宋体"/>
          <w:lang w:eastAsia="zh-CN"/>
        </w:rPr>
        <w:t>减少抵押交易摩擦，如降低审批延迟或交易失败率，可显著降低溢价，从而更高效地促进房屋所有权。</w:t>
      </w:r>
    </w:p>
    <w:p w:rsidR="0099756A" w:rsidRPr="0099756A" w:rsidRDefault="0099756A" w:rsidP="0099756A">
      <w:pPr>
        <w:rPr>
          <w:rFonts w:eastAsia="宋体"/>
          <w:lang w:eastAsia="zh-CN"/>
        </w:rPr>
      </w:pPr>
    </w:p>
    <w:sectPr w:rsidR="0099756A" w:rsidRPr="009975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39024076">
    <w:abstractNumId w:val="8"/>
  </w:num>
  <w:num w:numId="2" w16cid:durableId="1213812778">
    <w:abstractNumId w:val="6"/>
  </w:num>
  <w:num w:numId="3" w16cid:durableId="1492793674">
    <w:abstractNumId w:val="5"/>
  </w:num>
  <w:num w:numId="4" w16cid:durableId="971520703">
    <w:abstractNumId w:val="4"/>
  </w:num>
  <w:num w:numId="5" w16cid:durableId="1854224625">
    <w:abstractNumId w:val="7"/>
  </w:num>
  <w:num w:numId="6" w16cid:durableId="1676224347">
    <w:abstractNumId w:val="3"/>
  </w:num>
  <w:num w:numId="7" w16cid:durableId="366759458">
    <w:abstractNumId w:val="2"/>
  </w:num>
  <w:num w:numId="8" w16cid:durableId="1138961046">
    <w:abstractNumId w:val="1"/>
  </w:num>
  <w:num w:numId="9" w16cid:durableId="201601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92C"/>
    <w:rsid w:val="00034616"/>
    <w:rsid w:val="0006063C"/>
    <w:rsid w:val="0015074B"/>
    <w:rsid w:val="0029639D"/>
    <w:rsid w:val="00326F90"/>
    <w:rsid w:val="0089642B"/>
    <w:rsid w:val="0099756A"/>
    <w:rsid w:val="00AA1D8D"/>
    <w:rsid w:val="00B47730"/>
    <w:rsid w:val="00BA682F"/>
    <w:rsid w:val="00CB0664"/>
    <w:rsid w:val="00CE5974"/>
    <w:rsid w:val="00D36EBF"/>
    <w:rsid w:val="00FC693F"/>
    <w:rsid w:val="00FF3F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67ABB0"/>
  <w14:defaultImageDpi w14:val="300"/>
  <w15:docId w15:val="{7F763E1C-81E1-4671-9847-B3A1D75C5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049517">
      <w:bodyDiv w:val="1"/>
      <w:marLeft w:val="0"/>
      <w:marRight w:val="0"/>
      <w:marTop w:val="0"/>
      <w:marBottom w:val="0"/>
      <w:divBdr>
        <w:top w:val="none" w:sz="0" w:space="0" w:color="auto"/>
        <w:left w:val="none" w:sz="0" w:space="0" w:color="auto"/>
        <w:bottom w:val="none" w:sz="0" w:space="0" w:color="auto"/>
        <w:right w:val="none" w:sz="0" w:space="0" w:color="auto"/>
      </w:divBdr>
    </w:div>
    <w:div w:id="948053057">
      <w:bodyDiv w:val="1"/>
      <w:marLeft w:val="0"/>
      <w:marRight w:val="0"/>
      <w:marTop w:val="0"/>
      <w:marBottom w:val="0"/>
      <w:divBdr>
        <w:top w:val="none" w:sz="0" w:space="0" w:color="auto"/>
        <w:left w:val="none" w:sz="0" w:space="0" w:color="auto"/>
        <w:bottom w:val="none" w:sz="0" w:space="0" w:color="auto"/>
        <w:right w:val="none" w:sz="0" w:space="0" w:color="auto"/>
      </w:divBdr>
    </w:div>
    <w:div w:id="20977473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271</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5</cp:revision>
  <dcterms:created xsi:type="dcterms:W3CDTF">2013-12-23T23:15:00Z</dcterms:created>
  <dcterms:modified xsi:type="dcterms:W3CDTF">2024-11-20T13:52:00Z</dcterms:modified>
  <cp:category/>
</cp:coreProperties>
</file>