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A58A8" w:rsidRDefault="00000000">
      <w:r>
        <w:t>标题：</w:t>
      </w:r>
      <w:r>
        <w:t>The SOE Premium and Government Support in China's Credit Market</w:t>
      </w:r>
    </w:p>
    <w:p w:rsidR="005A58A8" w:rsidRDefault="00000000">
      <w:r>
        <w:t>链接：</w:t>
      </w:r>
      <w:r>
        <w:t>https://onlinelibrary.wiley.com/doi/full/10.1111/jofi.13380</w:t>
      </w:r>
    </w:p>
    <w:p w:rsidR="005A58A8" w:rsidRDefault="00000000">
      <w:r>
        <w:t>作者及机构：</w:t>
      </w:r>
      <w:r>
        <w:t>ZHE GENG</w:t>
      </w:r>
    </w:p>
    <w:p w:rsidR="005A58A8" w:rsidRDefault="00000000">
      <w:r>
        <w:t>JUN PAN</w:t>
      </w:r>
    </w:p>
    <w:p w:rsidR="005A58A8" w:rsidRDefault="00000000">
      <w:pPr>
        <w:rPr>
          <w:rFonts w:eastAsia="宋体"/>
          <w:lang w:eastAsia="zh-CN"/>
        </w:rPr>
      </w:pPr>
      <w:r>
        <w:t>摘要</w:t>
      </w:r>
      <w:proofErr w:type="gramStart"/>
      <w:r>
        <w:t>：</w:t>
      </w:r>
      <w:r>
        <w:t xml:space="preserve">  Studying</w:t>
      </w:r>
      <w:proofErr w:type="gramEnd"/>
      <w:r>
        <w:t xml:space="preserve"> China's credit market using a structural default model that integrates credit risk, liquidity, and bailout, we document improved price discovery and a deepening divide between state-owned enterprises (SOEs) and non-SOEs. Amidst liquidity deterioration, the presence of government bailout helps alleviate the heightened liquidity-driven default, making SOE bonds more valuable and widening the SOE premium. Meanwhile, the increased importance of government support makes SOEs more sensitive to bailout, while the heightened default risk increases non-SOEs' sensitivity to credit quality. Examining the real impact, we find severe performance deteriorations of non-SOEs relative to SOEs, reversing the long-standing trend of non-SOEs outperforming SOEs.</w:t>
      </w:r>
    </w:p>
    <w:p w:rsidR="007B36F7" w:rsidRPr="007B36F7" w:rsidRDefault="007B36F7">
      <w:pPr>
        <w:rPr>
          <w:rFonts w:eastAsia="宋体" w:hint="eastAsia"/>
          <w:lang w:eastAsia="zh-CN"/>
        </w:rPr>
      </w:pPr>
      <w:r>
        <w:rPr>
          <w:rFonts w:eastAsia="宋体" w:hint="eastAsia"/>
          <w:lang w:eastAsia="zh-CN"/>
        </w:rPr>
        <w:t>图片</w:t>
      </w:r>
      <w:r>
        <w:rPr>
          <w:rFonts w:eastAsia="宋体" w:hint="eastAsia"/>
          <w:lang w:eastAsia="zh-CN"/>
        </w:rPr>
        <w:t>AI</w:t>
      </w:r>
      <w:r>
        <w:rPr>
          <w:rFonts w:eastAsia="宋体" w:hint="eastAsia"/>
          <w:lang w:eastAsia="zh-CN"/>
        </w:rPr>
        <w:t>总结：</w:t>
      </w:r>
      <w:r w:rsidRPr="007B36F7">
        <w:rPr>
          <w:rFonts w:eastAsia="宋体"/>
          <w:lang w:eastAsia="zh-CN"/>
        </w:rPr>
        <w:t>图表展示了国有企业（</w:t>
      </w:r>
      <w:r w:rsidRPr="007B36F7">
        <w:rPr>
          <w:rFonts w:eastAsia="宋体"/>
          <w:lang w:eastAsia="zh-CN"/>
        </w:rPr>
        <w:t>SOE</w:t>
      </w:r>
      <w:r w:rsidRPr="007B36F7">
        <w:rPr>
          <w:rFonts w:eastAsia="宋体"/>
          <w:lang w:eastAsia="zh-CN"/>
        </w:rPr>
        <w:t>）与非国有企业（非</w:t>
      </w:r>
      <w:r w:rsidRPr="007B36F7">
        <w:rPr>
          <w:rFonts w:eastAsia="宋体"/>
          <w:lang w:eastAsia="zh-CN"/>
        </w:rPr>
        <w:t>SOE</w:t>
      </w:r>
      <w:r w:rsidRPr="007B36F7">
        <w:rPr>
          <w:rFonts w:eastAsia="宋体"/>
          <w:lang w:eastAsia="zh-CN"/>
        </w:rPr>
        <w:t>）在信用利差上的差异，并分析了救助概率和流动性冲击对</w:t>
      </w:r>
      <w:r w:rsidRPr="007B36F7">
        <w:rPr>
          <w:rFonts w:eastAsia="宋体"/>
          <w:lang w:eastAsia="zh-CN"/>
        </w:rPr>
        <w:t>SOE</w:t>
      </w:r>
      <w:r w:rsidRPr="007B36F7">
        <w:rPr>
          <w:rFonts w:eastAsia="宋体"/>
          <w:lang w:eastAsia="zh-CN"/>
        </w:rPr>
        <w:t>溢价的影响。</w:t>
      </w:r>
    </w:p>
    <w:p w:rsidR="00C2572C" w:rsidRPr="00C2572C" w:rsidRDefault="00C2572C" w:rsidP="00C2572C">
      <w:pPr>
        <w:rPr>
          <w:rFonts w:eastAsia="宋体"/>
          <w:lang w:eastAsia="zh-CN"/>
        </w:rPr>
      </w:pPr>
      <w:r w:rsidRPr="00C2572C">
        <w:rPr>
          <w:rFonts w:eastAsia="宋体"/>
          <w:lang w:eastAsia="zh-CN"/>
        </w:rPr>
        <w:t>AI</w:t>
      </w:r>
      <w:r w:rsidRPr="00C2572C">
        <w:rPr>
          <w:rFonts w:eastAsia="宋体" w:hint="eastAsia"/>
          <w:lang w:eastAsia="zh-CN"/>
        </w:rPr>
        <w:t>标题：</w:t>
      </w:r>
      <w:r w:rsidR="00E3082B" w:rsidRPr="00E3082B">
        <w:rPr>
          <w:rFonts w:eastAsia="宋体"/>
          <w:lang w:eastAsia="zh-CN"/>
        </w:rPr>
        <w:t>政府之手：如何影响中国信用市场中的企业债券差异</w:t>
      </w:r>
    </w:p>
    <w:p w:rsidR="00C2572C" w:rsidRPr="00C2572C" w:rsidRDefault="00C2572C" w:rsidP="00C2572C">
      <w:pPr>
        <w:rPr>
          <w:rFonts w:eastAsia="宋体"/>
          <w:lang w:eastAsia="zh-CN"/>
        </w:rPr>
      </w:pPr>
      <w:r w:rsidRPr="00C2572C">
        <w:rPr>
          <w:rFonts w:eastAsia="宋体"/>
          <w:lang w:eastAsia="zh-CN"/>
        </w:rPr>
        <w:t>AI</w:t>
      </w:r>
      <w:r w:rsidRPr="00C2572C">
        <w:rPr>
          <w:rFonts w:eastAsia="宋体" w:hint="eastAsia"/>
          <w:lang w:eastAsia="zh-CN"/>
        </w:rPr>
        <w:t>精炼：</w:t>
      </w:r>
      <w:r w:rsidR="00E3082B" w:rsidRPr="00E3082B">
        <w:rPr>
          <w:rFonts w:eastAsia="宋体"/>
          <w:lang w:eastAsia="zh-CN"/>
        </w:rPr>
        <w:t>这篇论文研究的领域是中国信用市场及政府在其中的角色，主要探讨国有企业（</w:t>
      </w:r>
      <w:r w:rsidR="00E3082B" w:rsidRPr="00E3082B">
        <w:rPr>
          <w:rFonts w:eastAsia="宋体"/>
          <w:lang w:eastAsia="zh-CN"/>
        </w:rPr>
        <w:t>SOEs</w:t>
      </w:r>
      <w:r w:rsidR="00E3082B" w:rsidRPr="00E3082B">
        <w:rPr>
          <w:rFonts w:eastAsia="宋体"/>
          <w:lang w:eastAsia="zh-CN"/>
        </w:rPr>
        <w:t>）与非国有企业（</w:t>
      </w:r>
      <w:r w:rsidR="00E3082B" w:rsidRPr="00E3082B">
        <w:rPr>
          <w:rFonts w:eastAsia="宋体"/>
          <w:lang w:eastAsia="zh-CN"/>
        </w:rPr>
        <w:t>non-SOEs</w:t>
      </w:r>
      <w:r w:rsidR="00E3082B" w:rsidRPr="00E3082B">
        <w:rPr>
          <w:rFonts w:eastAsia="宋体"/>
          <w:lang w:eastAsia="zh-CN"/>
        </w:rPr>
        <w:t>）之间的信用差异。研究发现，由于政府的救助政策，国有企业在信用市场上的债券比非国有企业的更有价值，从而导致了国有企业与非国有企业之间的信用利差扩大。这篇论文通过构建一个结构化违约模型，集成了信用风险、流动性及救助三个因素，分析了这种信用利差是如何随着市场流动性恶化和政府救助的预期而扩大的。此外，论文还测试了信用定价模型，并利用模型中的违约度量（</w:t>
      </w:r>
      <w:r w:rsidR="00E3082B" w:rsidRPr="00E3082B">
        <w:rPr>
          <w:rFonts w:eastAsia="宋体"/>
          <w:lang w:eastAsia="zh-CN"/>
        </w:rPr>
        <w:t>DM</w:t>
      </w:r>
      <w:r w:rsidR="00E3082B" w:rsidRPr="00E3082B">
        <w:rPr>
          <w:rFonts w:eastAsia="宋体"/>
          <w:lang w:eastAsia="zh-CN"/>
        </w:rPr>
        <w:t>）研究价格发现的有效性，证实政府支持的增加在流动性危机中扮演了关键角色，加深了国有与非国有企业的分化。</w:t>
      </w:r>
    </w:p>
    <w:p w:rsidR="00E3082B" w:rsidRPr="00E3082B" w:rsidRDefault="00C2572C" w:rsidP="00E3082B">
      <w:pPr>
        <w:rPr>
          <w:rFonts w:eastAsia="宋体"/>
          <w:lang w:eastAsia="zh-CN"/>
        </w:rPr>
      </w:pPr>
      <w:r w:rsidRPr="00C2572C">
        <w:rPr>
          <w:rFonts w:eastAsia="宋体" w:hint="eastAsia"/>
          <w:lang w:eastAsia="zh-CN"/>
        </w:rPr>
        <w:t>关键字：</w:t>
      </w:r>
      <w:proofErr w:type="gramStart"/>
      <w:r w:rsidR="00E3082B" w:rsidRPr="00E3082B">
        <w:rPr>
          <w:rFonts w:eastAsia="宋体"/>
          <w:lang w:eastAsia="zh-CN"/>
        </w:rPr>
        <w:t>  China's</w:t>
      </w:r>
      <w:proofErr w:type="gramEnd"/>
      <w:r w:rsidR="00E3082B" w:rsidRPr="00E3082B">
        <w:rPr>
          <w:rFonts w:eastAsia="宋体"/>
          <w:lang w:eastAsia="zh-CN"/>
        </w:rPr>
        <w:t xml:space="preserve"> Credit Market</w:t>
      </w:r>
    </w:p>
    <w:p w:rsidR="00E3082B" w:rsidRPr="00E3082B" w:rsidRDefault="00E3082B" w:rsidP="00E3082B">
      <w:pPr>
        <w:rPr>
          <w:rFonts w:eastAsia="宋体"/>
          <w:lang w:eastAsia="zh-CN"/>
        </w:rPr>
      </w:pPr>
      <w:proofErr w:type="gramStart"/>
      <w:r w:rsidRPr="00E3082B">
        <w:rPr>
          <w:rFonts w:eastAsia="宋体"/>
          <w:lang w:eastAsia="zh-CN"/>
        </w:rPr>
        <w:t>  SOE</w:t>
      </w:r>
      <w:proofErr w:type="gramEnd"/>
      <w:r w:rsidRPr="00E3082B">
        <w:rPr>
          <w:rFonts w:eastAsia="宋体"/>
          <w:lang w:eastAsia="zh-CN"/>
        </w:rPr>
        <w:t xml:space="preserve"> Premium</w:t>
      </w:r>
    </w:p>
    <w:p w:rsidR="00E3082B" w:rsidRPr="00E3082B" w:rsidRDefault="00E3082B" w:rsidP="00E3082B">
      <w:pPr>
        <w:rPr>
          <w:rFonts w:eastAsia="宋体"/>
          <w:lang w:eastAsia="zh-CN"/>
        </w:rPr>
      </w:pPr>
      <w:proofErr w:type="gramStart"/>
      <w:r w:rsidRPr="00E3082B">
        <w:rPr>
          <w:rFonts w:eastAsia="宋体"/>
          <w:lang w:eastAsia="zh-CN"/>
        </w:rPr>
        <w:t>  Government</w:t>
      </w:r>
      <w:proofErr w:type="gramEnd"/>
      <w:r w:rsidRPr="00E3082B">
        <w:rPr>
          <w:rFonts w:eastAsia="宋体"/>
          <w:lang w:eastAsia="zh-CN"/>
        </w:rPr>
        <w:t xml:space="preserve"> Bailout</w:t>
      </w:r>
    </w:p>
    <w:p w:rsidR="00E3082B" w:rsidRPr="00E3082B" w:rsidRDefault="00E3082B" w:rsidP="00E3082B">
      <w:pPr>
        <w:rPr>
          <w:rFonts w:eastAsia="宋体"/>
          <w:lang w:eastAsia="zh-CN"/>
        </w:rPr>
      </w:pPr>
      <w:proofErr w:type="gramStart"/>
      <w:r w:rsidRPr="00E3082B">
        <w:rPr>
          <w:rFonts w:eastAsia="宋体"/>
          <w:lang w:eastAsia="zh-CN"/>
        </w:rPr>
        <w:t>  Structural</w:t>
      </w:r>
      <w:proofErr w:type="gramEnd"/>
      <w:r w:rsidRPr="00E3082B">
        <w:rPr>
          <w:rFonts w:eastAsia="宋体"/>
          <w:lang w:eastAsia="zh-CN"/>
        </w:rPr>
        <w:t xml:space="preserve"> Default Model</w:t>
      </w:r>
    </w:p>
    <w:p w:rsidR="00E3082B" w:rsidRPr="00E3082B" w:rsidRDefault="00E3082B" w:rsidP="00E3082B">
      <w:pPr>
        <w:rPr>
          <w:rFonts w:eastAsia="宋体"/>
          <w:lang w:eastAsia="zh-CN"/>
        </w:rPr>
      </w:pPr>
      <w:proofErr w:type="gramStart"/>
      <w:r w:rsidRPr="00E3082B">
        <w:rPr>
          <w:rFonts w:eastAsia="宋体"/>
          <w:lang w:eastAsia="zh-CN"/>
        </w:rPr>
        <w:t>  Liquidity</w:t>
      </w:r>
      <w:proofErr w:type="gramEnd"/>
      <w:r w:rsidRPr="00E3082B">
        <w:rPr>
          <w:rFonts w:eastAsia="宋体"/>
          <w:lang w:eastAsia="zh-CN"/>
        </w:rPr>
        <w:t xml:space="preserve"> Crisis</w:t>
      </w:r>
    </w:p>
    <w:p w:rsidR="00E3082B" w:rsidRPr="00E3082B" w:rsidRDefault="00E3082B" w:rsidP="00E3082B">
      <w:pPr>
        <w:rPr>
          <w:rFonts w:eastAsia="宋体"/>
          <w:lang w:eastAsia="zh-CN"/>
        </w:rPr>
      </w:pPr>
      <w:proofErr w:type="gramStart"/>
      <w:r w:rsidRPr="00E3082B">
        <w:rPr>
          <w:rFonts w:eastAsia="宋体"/>
          <w:lang w:eastAsia="zh-CN"/>
        </w:rPr>
        <w:t>  Credit</w:t>
      </w:r>
      <w:proofErr w:type="gramEnd"/>
      <w:r w:rsidRPr="00E3082B">
        <w:rPr>
          <w:rFonts w:eastAsia="宋体"/>
          <w:lang w:eastAsia="zh-CN"/>
        </w:rPr>
        <w:t xml:space="preserve"> Pricing</w:t>
      </w:r>
    </w:p>
    <w:p w:rsidR="00E3082B" w:rsidRPr="00E3082B" w:rsidRDefault="00E3082B" w:rsidP="00E3082B">
      <w:pPr>
        <w:rPr>
          <w:rFonts w:eastAsia="宋体"/>
          <w:lang w:eastAsia="zh-CN"/>
        </w:rPr>
      </w:pPr>
      <w:proofErr w:type="gramStart"/>
      <w:r w:rsidRPr="00E3082B">
        <w:rPr>
          <w:rFonts w:eastAsia="宋体"/>
          <w:lang w:eastAsia="zh-CN"/>
        </w:rPr>
        <w:t>  Price</w:t>
      </w:r>
      <w:proofErr w:type="gramEnd"/>
      <w:r w:rsidRPr="00E3082B">
        <w:rPr>
          <w:rFonts w:eastAsia="宋体"/>
          <w:lang w:eastAsia="zh-CN"/>
        </w:rPr>
        <w:t xml:space="preserve"> Discovery</w:t>
      </w:r>
    </w:p>
    <w:p w:rsidR="00C2572C" w:rsidRPr="00C2572C" w:rsidRDefault="00E3082B" w:rsidP="00E3082B">
      <w:pPr>
        <w:rPr>
          <w:rFonts w:eastAsia="宋体"/>
          <w:lang w:eastAsia="zh-CN"/>
        </w:rPr>
      </w:pPr>
      <w:proofErr w:type="gramStart"/>
      <w:r w:rsidRPr="00E3082B">
        <w:rPr>
          <w:rFonts w:eastAsia="宋体"/>
          <w:lang w:eastAsia="zh-CN"/>
        </w:rPr>
        <w:lastRenderedPageBreak/>
        <w:t>  Bond</w:t>
      </w:r>
      <w:proofErr w:type="gramEnd"/>
      <w:r w:rsidRPr="00E3082B">
        <w:rPr>
          <w:rFonts w:eastAsia="宋体"/>
          <w:lang w:eastAsia="zh-CN"/>
        </w:rPr>
        <w:t xml:space="preserve"> Market Dynamics</w:t>
      </w:r>
    </w:p>
    <w:p w:rsidR="00C2572C" w:rsidRDefault="00C2572C" w:rsidP="00C2572C">
      <w:pPr>
        <w:rPr>
          <w:rFonts w:eastAsia="宋体"/>
          <w:lang w:eastAsia="zh-CN"/>
        </w:rPr>
      </w:pPr>
      <w:r w:rsidRPr="00C2572C">
        <w:rPr>
          <w:rFonts w:eastAsia="宋体" w:hint="eastAsia"/>
          <w:lang w:eastAsia="zh-CN"/>
        </w:rPr>
        <w:t>学术要点：</w:t>
      </w:r>
    </w:p>
    <w:p w:rsidR="00C2572C" w:rsidRPr="00C2572C" w:rsidRDefault="00C2572C" w:rsidP="00C2572C">
      <w:pPr>
        <w:rPr>
          <w:rFonts w:eastAsia="宋体"/>
          <w:lang w:eastAsia="zh-CN"/>
        </w:rPr>
      </w:pPr>
      <w:r w:rsidRPr="00C2572C">
        <w:rPr>
          <w:rFonts w:eastAsia="宋体"/>
          <w:lang w:eastAsia="zh-CN"/>
        </w:rPr>
        <w:t xml:space="preserve">  </w:t>
      </w:r>
      <w:r w:rsidRPr="00C2572C">
        <w:rPr>
          <w:rFonts w:eastAsia="宋体"/>
          <w:b/>
          <w:bCs/>
          <w:lang w:eastAsia="zh-CN"/>
        </w:rPr>
        <w:t>学术要点</w:t>
      </w:r>
      <w:r w:rsidRPr="00C2572C">
        <w:rPr>
          <w:rFonts w:eastAsia="宋体"/>
          <w:b/>
          <w:bCs/>
          <w:lang w:eastAsia="zh-CN"/>
        </w:rPr>
        <w:t xml:space="preserve"> 1</w:t>
      </w:r>
      <w:r w:rsidRPr="00C2572C">
        <w:rPr>
          <w:rFonts w:eastAsia="宋体"/>
          <w:b/>
          <w:bCs/>
          <w:lang w:eastAsia="zh-CN"/>
        </w:rPr>
        <w:t>：</w:t>
      </w:r>
      <w:r w:rsidRPr="00C2572C">
        <w:rPr>
          <w:rFonts w:eastAsia="宋体"/>
          <w:b/>
          <w:bCs/>
          <w:lang w:eastAsia="zh-CN"/>
        </w:rPr>
        <w:t>SOE</w:t>
      </w:r>
      <w:r w:rsidRPr="00C2572C">
        <w:rPr>
          <w:rFonts w:eastAsia="宋体"/>
          <w:b/>
          <w:bCs/>
          <w:lang w:eastAsia="zh-CN"/>
        </w:rPr>
        <w:t>溢价（</w:t>
      </w:r>
      <w:r w:rsidRPr="00C2572C">
        <w:rPr>
          <w:rFonts w:eastAsia="宋体"/>
          <w:b/>
          <w:bCs/>
          <w:lang w:eastAsia="zh-CN"/>
        </w:rPr>
        <w:t>SOE Premium</w:t>
      </w:r>
      <w:r w:rsidRPr="00C2572C">
        <w:rPr>
          <w:rFonts w:eastAsia="宋体"/>
          <w:b/>
          <w:bCs/>
          <w:lang w:eastAsia="zh-CN"/>
        </w:rPr>
        <w:t>）</w:t>
      </w:r>
      <w:r w:rsidRPr="00C2572C">
        <w:rPr>
          <w:rFonts w:eastAsia="宋体"/>
          <w:lang w:eastAsia="zh-CN"/>
        </w:rPr>
        <w:br/>
      </w:r>
      <w:r w:rsidRPr="00C2572C">
        <w:rPr>
          <w:rFonts w:eastAsia="宋体"/>
          <w:lang w:eastAsia="zh-CN"/>
        </w:rPr>
        <w:t>在流动性恶化的条件下，政府支持使</w:t>
      </w:r>
      <w:r w:rsidRPr="00C2572C">
        <w:rPr>
          <w:rFonts w:eastAsia="宋体"/>
          <w:lang w:eastAsia="zh-CN"/>
        </w:rPr>
        <w:t>SOE</w:t>
      </w:r>
      <w:r w:rsidRPr="00C2572C">
        <w:rPr>
          <w:rFonts w:eastAsia="宋体"/>
          <w:lang w:eastAsia="zh-CN"/>
        </w:rPr>
        <w:t>债券更具价值，导致</w:t>
      </w:r>
      <w:r w:rsidRPr="00C2572C">
        <w:rPr>
          <w:rFonts w:eastAsia="宋体"/>
          <w:lang w:eastAsia="zh-CN"/>
        </w:rPr>
        <w:t>SOE</w:t>
      </w:r>
      <w:r w:rsidRPr="00C2572C">
        <w:rPr>
          <w:rFonts w:eastAsia="宋体"/>
          <w:lang w:eastAsia="zh-CN"/>
        </w:rPr>
        <w:t>与非</w:t>
      </w:r>
      <w:r w:rsidRPr="00C2572C">
        <w:rPr>
          <w:rFonts w:eastAsia="宋体"/>
          <w:lang w:eastAsia="zh-CN"/>
        </w:rPr>
        <w:t>SOE</w:t>
      </w:r>
      <w:r w:rsidRPr="00C2572C">
        <w:rPr>
          <w:rFonts w:eastAsia="宋体"/>
          <w:lang w:eastAsia="zh-CN"/>
        </w:rPr>
        <w:t>的信用差距从</w:t>
      </w:r>
      <w:r w:rsidRPr="00C2572C">
        <w:rPr>
          <w:rFonts w:eastAsia="宋体"/>
          <w:lang w:eastAsia="zh-CN"/>
        </w:rPr>
        <w:t>2018</w:t>
      </w:r>
      <w:r w:rsidRPr="00C2572C">
        <w:rPr>
          <w:rFonts w:eastAsia="宋体"/>
          <w:lang w:eastAsia="zh-CN"/>
        </w:rPr>
        <w:t>年后显著扩大。</w:t>
      </w:r>
    </w:p>
    <w:p w:rsidR="00C2572C" w:rsidRPr="00C2572C" w:rsidRDefault="00C2572C" w:rsidP="00C2572C">
      <w:pPr>
        <w:rPr>
          <w:rFonts w:eastAsia="宋体"/>
          <w:lang w:eastAsia="zh-CN"/>
        </w:rPr>
      </w:pPr>
      <w:r w:rsidRPr="00C2572C">
        <w:rPr>
          <w:rFonts w:eastAsia="宋体"/>
          <w:lang w:eastAsia="zh-CN"/>
        </w:rPr>
        <w:t xml:space="preserve">  </w:t>
      </w:r>
      <w:r w:rsidRPr="00C2572C">
        <w:rPr>
          <w:rFonts w:eastAsia="宋体"/>
          <w:b/>
          <w:bCs/>
          <w:lang w:eastAsia="zh-CN"/>
        </w:rPr>
        <w:t>学术要点</w:t>
      </w:r>
      <w:r w:rsidRPr="00C2572C">
        <w:rPr>
          <w:rFonts w:eastAsia="宋体"/>
          <w:b/>
          <w:bCs/>
          <w:lang w:eastAsia="zh-CN"/>
        </w:rPr>
        <w:t xml:space="preserve"> 2</w:t>
      </w:r>
      <w:r w:rsidRPr="00C2572C">
        <w:rPr>
          <w:rFonts w:eastAsia="宋体"/>
          <w:b/>
          <w:bCs/>
          <w:lang w:eastAsia="zh-CN"/>
        </w:rPr>
        <w:t>：政府救助与流动性风险的相互作用（</w:t>
      </w:r>
      <w:r w:rsidRPr="00C2572C">
        <w:rPr>
          <w:rFonts w:eastAsia="宋体"/>
          <w:b/>
          <w:bCs/>
          <w:lang w:eastAsia="zh-CN"/>
        </w:rPr>
        <w:t>Interaction of Bailout and Liquidity Risk</w:t>
      </w:r>
      <w:r w:rsidRPr="00C2572C">
        <w:rPr>
          <w:rFonts w:eastAsia="宋体"/>
          <w:b/>
          <w:bCs/>
          <w:lang w:eastAsia="zh-CN"/>
        </w:rPr>
        <w:t>）</w:t>
      </w:r>
      <w:r w:rsidRPr="00C2572C">
        <w:rPr>
          <w:rFonts w:eastAsia="宋体"/>
          <w:lang w:eastAsia="zh-CN"/>
        </w:rPr>
        <w:br/>
      </w:r>
      <w:r w:rsidRPr="00C2572C">
        <w:rPr>
          <w:rFonts w:eastAsia="宋体"/>
          <w:lang w:eastAsia="zh-CN"/>
        </w:rPr>
        <w:t>政府救助通过降低</w:t>
      </w:r>
      <w:r w:rsidRPr="00C2572C">
        <w:rPr>
          <w:rFonts w:eastAsia="宋体"/>
          <w:lang w:eastAsia="zh-CN"/>
        </w:rPr>
        <w:t>SOE</w:t>
      </w:r>
      <w:r w:rsidRPr="00C2572C">
        <w:rPr>
          <w:rFonts w:eastAsia="宋体"/>
          <w:lang w:eastAsia="zh-CN"/>
        </w:rPr>
        <w:t>的违约边界，减轻了流动性驱动的违约风险，而非</w:t>
      </w:r>
      <w:r w:rsidRPr="00C2572C">
        <w:rPr>
          <w:rFonts w:eastAsia="宋体"/>
          <w:lang w:eastAsia="zh-CN"/>
        </w:rPr>
        <w:t>SOE</w:t>
      </w:r>
      <w:r w:rsidRPr="00C2572C">
        <w:rPr>
          <w:rFonts w:eastAsia="宋体"/>
          <w:lang w:eastAsia="zh-CN"/>
        </w:rPr>
        <w:t>因缺乏支持在危机中表现更脆弱。</w:t>
      </w:r>
    </w:p>
    <w:p w:rsidR="00C2572C" w:rsidRPr="00C2572C" w:rsidRDefault="00C2572C" w:rsidP="00C2572C">
      <w:pPr>
        <w:rPr>
          <w:rFonts w:eastAsia="宋体"/>
          <w:lang w:eastAsia="zh-CN"/>
        </w:rPr>
      </w:pPr>
      <w:r w:rsidRPr="00C2572C">
        <w:rPr>
          <w:rFonts w:eastAsia="宋体"/>
          <w:lang w:eastAsia="zh-CN"/>
        </w:rPr>
        <w:t xml:space="preserve">  </w:t>
      </w:r>
      <w:r w:rsidRPr="00C2572C">
        <w:rPr>
          <w:rFonts w:eastAsia="宋体"/>
          <w:b/>
          <w:bCs/>
          <w:lang w:eastAsia="zh-CN"/>
        </w:rPr>
        <w:t>学术要点</w:t>
      </w:r>
      <w:r w:rsidRPr="00C2572C">
        <w:rPr>
          <w:rFonts w:eastAsia="宋体"/>
          <w:b/>
          <w:bCs/>
          <w:lang w:eastAsia="zh-CN"/>
        </w:rPr>
        <w:t xml:space="preserve"> 3</w:t>
      </w:r>
      <w:r w:rsidRPr="00C2572C">
        <w:rPr>
          <w:rFonts w:eastAsia="宋体"/>
          <w:b/>
          <w:bCs/>
          <w:lang w:eastAsia="zh-CN"/>
        </w:rPr>
        <w:t>：</w:t>
      </w:r>
      <w:r w:rsidRPr="00C2572C">
        <w:rPr>
          <w:rFonts w:eastAsia="宋体"/>
          <w:b/>
          <w:bCs/>
          <w:lang w:eastAsia="zh-CN"/>
        </w:rPr>
        <w:t>2018</w:t>
      </w:r>
      <w:r w:rsidRPr="00C2572C">
        <w:rPr>
          <w:rFonts w:eastAsia="宋体"/>
          <w:b/>
          <w:bCs/>
          <w:lang w:eastAsia="zh-CN"/>
        </w:rPr>
        <w:t>年新</w:t>
      </w:r>
      <w:proofErr w:type="gramStart"/>
      <w:r w:rsidRPr="00C2572C">
        <w:rPr>
          <w:rFonts w:eastAsia="宋体"/>
          <w:b/>
          <w:bCs/>
          <w:lang w:eastAsia="zh-CN"/>
        </w:rPr>
        <w:t>规</w:t>
      </w:r>
      <w:proofErr w:type="gramEnd"/>
      <w:r w:rsidRPr="00C2572C">
        <w:rPr>
          <w:rFonts w:eastAsia="宋体"/>
          <w:b/>
          <w:bCs/>
          <w:lang w:eastAsia="zh-CN"/>
        </w:rPr>
        <w:t>的影响（</w:t>
      </w:r>
      <w:r w:rsidRPr="00C2572C">
        <w:rPr>
          <w:rFonts w:eastAsia="宋体"/>
          <w:b/>
          <w:bCs/>
          <w:lang w:eastAsia="zh-CN"/>
        </w:rPr>
        <w:t>Impact of 2018 New Regulations</w:t>
      </w:r>
      <w:r w:rsidRPr="00C2572C">
        <w:rPr>
          <w:rFonts w:eastAsia="宋体"/>
          <w:b/>
          <w:bCs/>
          <w:lang w:eastAsia="zh-CN"/>
        </w:rPr>
        <w:t>）</w:t>
      </w:r>
      <w:r w:rsidRPr="00C2572C">
        <w:rPr>
          <w:rFonts w:eastAsia="宋体"/>
          <w:lang w:eastAsia="zh-CN"/>
        </w:rPr>
        <w:br/>
      </w:r>
      <w:r w:rsidRPr="00C2572C">
        <w:rPr>
          <w:rFonts w:eastAsia="宋体"/>
          <w:lang w:eastAsia="zh-CN"/>
        </w:rPr>
        <w:t>资产管理行业的新</w:t>
      </w:r>
      <w:proofErr w:type="gramStart"/>
      <w:r w:rsidRPr="00C2572C">
        <w:rPr>
          <w:rFonts w:eastAsia="宋体"/>
          <w:lang w:eastAsia="zh-CN"/>
        </w:rPr>
        <w:t>规</w:t>
      </w:r>
      <w:proofErr w:type="gramEnd"/>
      <w:r w:rsidRPr="00C2572C">
        <w:rPr>
          <w:rFonts w:eastAsia="宋体"/>
          <w:lang w:eastAsia="zh-CN"/>
        </w:rPr>
        <w:t>导致非</w:t>
      </w:r>
      <w:r w:rsidRPr="00C2572C">
        <w:rPr>
          <w:rFonts w:eastAsia="宋体"/>
          <w:lang w:eastAsia="zh-CN"/>
        </w:rPr>
        <w:t>SOE</w:t>
      </w:r>
      <w:r w:rsidRPr="00C2572C">
        <w:rPr>
          <w:rFonts w:eastAsia="宋体"/>
          <w:lang w:eastAsia="zh-CN"/>
        </w:rPr>
        <w:t>融资和再融资受阻，从而加剧了信用市场的分化和流动性危机。</w:t>
      </w:r>
    </w:p>
    <w:p w:rsidR="00C2572C" w:rsidRPr="00C2572C" w:rsidRDefault="00C2572C" w:rsidP="00C2572C">
      <w:pPr>
        <w:rPr>
          <w:rFonts w:eastAsia="宋体"/>
          <w:lang w:eastAsia="zh-CN"/>
        </w:rPr>
      </w:pPr>
      <w:r w:rsidRPr="00C2572C">
        <w:rPr>
          <w:rFonts w:eastAsia="宋体"/>
          <w:lang w:eastAsia="zh-CN"/>
        </w:rPr>
        <w:t xml:space="preserve">  </w:t>
      </w:r>
      <w:r w:rsidRPr="00C2572C">
        <w:rPr>
          <w:rFonts w:eastAsia="宋体"/>
          <w:b/>
          <w:bCs/>
          <w:lang w:eastAsia="zh-CN"/>
        </w:rPr>
        <w:t>学术要点</w:t>
      </w:r>
      <w:r w:rsidRPr="00C2572C">
        <w:rPr>
          <w:rFonts w:eastAsia="宋体"/>
          <w:b/>
          <w:bCs/>
          <w:lang w:eastAsia="zh-CN"/>
        </w:rPr>
        <w:t xml:space="preserve"> 4</w:t>
      </w:r>
      <w:r w:rsidRPr="00C2572C">
        <w:rPr>
          <w:rFonts w:eastAsia="宋体"/>
          <w:b/>
          <w:bCs/>
          <w:lang w:eastAsia="zh-CN"/>
        </w:rPr>
        <w:t>：统一违约度量（</w:t>
      </w:r>
      <w:r w:rsidRPr="00C2572C">
        <w:rPr>
          <w:rFonts w:eastAsia="宋体"/>
          <w:b/>
          <w:bCs/>
          <w:lang w:eastAsia="zh-CN"/>
        </w:rPr>
        <w:t>Unified Default Measure, DM</w:t>
      </w:r>
      <w:r w:rsidRPr="00C2572C">
        <w:rPr>
          <w:rFonts w:eastAsia="宋体"/>
          <w:b/>
          <w:bCs/>
          <w:lang w:eastAsia="zh-CN"/>
        </w:rPr>
        <w:t>）</w:t>
      </w:r>
      <w:r w:rsidRPr="00C2572C">
        <w:rPr>
          <w:rFonts w:eastAsia="宋体"/>
          <w:lang w:eastAsia="zh-CN"/>
        </w:rPr>
        <w:br/>
      </w:r>
      <w:r w:rsidRPr="00C2572C">
        <w:rPr>
          <w:rFonts w:eastAsia="宋体"/>
          <w:lang w:eastAsia="zh-CN"/>
        </w:rPr>
        <w:t>结合信用质量、流动性和政府支持三要素的新度量模型，解释了</w:t>
      </w:r>
      <w:r w:rsidRPr="00C2572C">
        <w:rPr>
          <w:rFonts w:eastAsia="宋体"/>
          <w:lang w:eastAsia="zh-CN"/>
        </w:rPr>
        <w:t>SOE</w:t>
      </w:r>
      <w:r w:rsidRPr="00C2572C">
        <w:rPr>
          <w:rFonts w:eastAsia="宋体"/>
          <w:lang w:eastAsia="zh-CN"/>
        </w:rPr>
        <w:t>和非</w:t>
      </w:r>
      <w:r w:rsidRPr="00C2572C">
        <w:rPr>
          <w:rFonts w:eastAsia="宋体"/>
          <w:lang w:eastAsia="zh-CN"/>
        </w:rPr>
        <w:t>SOE</w:t>
      </w:r>
      <w:r w:rsidRPr="00C2572C">
        <w:rPr>
          <w:rFonts w:eastAsia="宋体"/>
          <w:lang w:eastAsia="zh-CN"/>
        </w:rPr>
        <w:t>之间的风险分化。</w:t>
      </w:r>
    </w:p>
    <w:p w:rsidR="00C2572C" w:rsidRPr="00C2572C" w:rsidRDefault="00C2572C" w:rsidP="00C2572C">
      <w:pPr>
        <w:rPr>
          <w:rFonts w:eastAsia="宋体"/>
          <w:lang w:eastAsia="zh-CN"/>
        </w:rPr>
      </w:pPr>
      <w:r w:rsidRPr="00C2572C">
        <w:rPr>
          <w:rFonts w:eastAsia="宋体"/>
          <w:lang w:eastAsia="zh-CN"/>
        </w:rPr>
        <w:t xml:space="preserve">  </w:t>
      </w:r>
      <w:r w:rsidRPr="00C2572C">
        <w:rPr>
          <w:rFonts w:eastAsia="宋体"/>
          <w:b/>
          <w:bCs/>
          <w:lang w:eastAsia="zh-CN"/>
        </w:rPr>
        <w:t>学术要点</w:t>
      </w:r>
      <w:r w:rsidRPr="00C2572C">
        <w:rPr>
          <w:rFonts w:eastAsia="宋体"/>
          <w:b/>
          <w:bCs/>
          <w:lang w:eastAsia="zh-CN"/>
        </w:rPr>
        <w:t xml:space="preserve"> 5</w:t>
      </w:r>
      <w:r w:rsidRPr="00C2572C">
        <w:rPr>
          <w:rFonts w:eastAsia="宋体"/>
          <w:b/>
          <w:bCs/>
          <w:lang w:eastAsia="zh-CN"/>
        </w:rPr>
        <w:t>：非</w:t>
      </w:r>
      <w:r w:rsidRPr="00C2572C">
        <w:rPr>
          <w:rFonts w:eastAsia="宋体"/>
          <w:b/>
          <w:bCs/>
          <w:lang w:eastAsia="zh-CN"/>
        </w:rPr>
        <w:t>SOE</w:t>
      </w:r>
      <w:r w:rsidRPr="00C2572C">
        <w:rPr>
          <w:rFonts w:eastAsia="宋体"/>
          <w:b/>
          <w:bCs/>
          <w:lang w:eastAsia="zh-CN"/>
        </w:rPr>
        <w:t>的绩效恶化（</w:t>
      </w:r>
      <w:r w:rsidRPr="00C2572C">
        <w:rPr>
          <w:rFonts w:eastAsia="宋体"/>
          <w:b/>
          <w:bCs/>
          <w:lang w:eastAsia="zh-CN"/>
        </w:rPr>
        <w:t>Performance Deterioration of Non-SOEs</w:t>
      </w:r>
      <w:r w:rsidRPr="00C2572C">
        <w:rPr>
          <w:rFonts w:eastAsia="宋体"/>
          <w:b/>
          <w:bCs/>
          <w:lang w:eastAsia="zh-CN"/>
        </w:rPr>
        <w:t>）</w:t>
      </w:r>
      <w:r w:rsidRPr="00C2572C">
        <w:rPr>
          <w:rFonts w:eastAsia="宋体"/>
          <w:lang w:eastAsia="zh-CN"/>
        </w:rPr>
        <w:br/>
      </w:r>
      <w:r w:rsidRPr="00C2572C">
        <w:rPr>
          <w:rFonts w:eastAsia="宋体"/>
          <w:lang w:eastAsia="zh-CN"/>
        </w:rPr>
        <w:t>非</w:t>
      </w:r>
      <w:r w:rsidRPr="00C2572C">
        <w:rPr>
          <w:rFonts w:eastAsia="宋体"/>
          <w:lang w:eastAsia="zh-CN"/>
        </w:rPr>
        <w:t>SOE</w:t>
      </w:r>
      <w:r w:rsidRPr="00C2572C">
        <w:rPr>
          <w:rFonts w:eastAsia="宋体"/>
          <w:lang w:eastAsia="zh-CN"/>
        </w:rPr>
        <w:t>在</w:t>
      </w:r>
      <w:r w:rsidRPr="00C2572C">
        <w:rPr>
          <w:rFonts w:eastAsia="宋体"/>
          <w:lang w:eastAsia="zh-CN"/>
        </w:rPr>
        <w:t>2018</w:t>
      </w:r>
      <w:r w:rsidRPr="00C2572C">
        <w:rPr>
          <w:rFonts w:eastAsia="宋体"/>
          <w:lang w:eastAsia="zh-CN"/>
        </w:rPr>
        <w:t>年后受融资困境影响，其资产回报率显著下降，而</w:t>
      </w:r>
      <w:r w:rsidRPr="00C2572C">
        <w:rPr>
          <w:rFonts w:eastAsia="宋体"/>
          <w:lang w:eastAsia="zh-CN"/>
        </w:rPr>
        <w:t>SOE</w:t>
      </w:r>
      <w:r w:rsidRPr="00C2572C">
        <w:rPr>
          <w:rFonts w:eastAsia="宋体"/>
          <w:lang w:eastAsia="zh-CN"/>
        </w:rPr>
        <w:t>的表现则受益于持续的政府支持。</w:t>
      </w:r>
    </w:p>
    <w:p w:rsidR="00C2572C" w:rsidRPr="00C2572C" w:rsidRDefault="00C2572C" w:rsidP="00C2572C">
      <w:pPr>
        <w:rPr>
          <w:rFonts w:eastAsia="宋体"/>
          <w:lang w:eastAsia="zh-CN"/>
        </w:rPr>
      </w:pPr>
    </w:p>
    <w:sectPr w:rsidR="00C2572C" w:rsidRPr="00C257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3926779">
    <w:abstractNumId w:val="8"/>
  </w:num>
  <w:num w:numId="2" w16cid:durableId="172038450">
    <w:abstractNumId w:val="6"/>
  </w:num>
  <w:num w:numId="3" w16cid:durableId="2138789240">
    <w:abstractNumId w:val="5"/>
  </w:num>
  <w:num w:numId="4" w16cid:durableId="928779724">
    <w:abstractNumId w:val="4"/>
  </w:num>
  <w:num w:numId="5" w16cid:durableId="340353484">
    <w:abstractNumId w:val="7"/>
  </w:num>
  <w:num w:numId="6" w16cid:durableId="1780175407">
    <w:abstractNumId w:val="3"/>
  </w:num>
  <w:num w:numId="7" w16cid:durableId="739138470">
    <w:abstractNumId w:val="2"/>
  </w:num>
  <w:num w:numId="8" w16cid:durableId="986860599">
    <w:abstractNumId w:val="1"/>
  </w:num>
  <w:num w:numId="9" w16cid:durableId="654185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666"/>
    <w:rsid w:val="00517EE2"/>
    <w:rsid w:val="005A58A8"/>
    <w:rsid w:val="00745516"/>
    <w:rsid w:val="007B36F7"/>
    <w:rsid w:val="00AA1D8D"/>
    <w:rsid w:val="00B47730"/>
    <w:rsid w:val="00C2572C"/>
    <w:rsid w:val="00CB0664"/>
    <w:rsid w:val="00E308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3E946"/>
  <w14:defaultImageDpi w14:val="300"/>
  <w15:docId w15:val="{8AF8D069-55E3-4BA3-9A32-A866A2ACB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7B36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338080">
      <w:bodyDiv w:val="1"/>
      <w:marLeft w:val="0"/>
      <w:marRight w:val="0"/>
      <w:marTop w:val="0"/>
      <w:marBottom w:val="0"/>
      <w:divBdr>
        <w:top w:val="none" w:sz="0" w:space="0" w:color="auto"/>
        <w:left w:val="none" w:sz="0" w:space="0" w:color="auto"/>
        <w:bottom w:val="none" w:sz="0" w:space="0" w:color="auto"/>
        <w:right w:val="none" w:sz="0" w:space="0" w:color="auto"/>
      </w:divBdr>
    </w:div>
    <w:div w:id="136922924">
      <w:bodyDiv w:val="1"/>
      <w:marLeft w:val="0"/>
      <w:marRight w:val="0"/>
      <w:marTop w:val="0"/>
      <w:marBottom w:val="0"/>
      <w:divBdr>
        <w:top w:val="none" w:sz="0" w:space="0" w:color="auto"/>
        <w:left w:val="none" w:sz="0" w:space="0" w:color="auto"/>
        <w:bottom w:val="none" w:sz="0" w:space="0" w:color="auto"/>
        <w:right w:val="none" w:sz="0" w:space="0" w:color="auto"/>
      </w:divBdr>
    </w:div>
    <w:div w:id="820998266">
      <w:bodyDiv w:val="1"/>
      <w:marLeft w:val="0"/>
      <w:marRight w:val="0"/>
      <w:marTop w:val="0"/>
      <w:marBottom w:val="0"/>
      <w:divBdr>
        <w:top w:val="none" w:sz="0" w:space="0" w:color="auto"/>
        <w:left w:val="none" w:sz="0" w:space="0" w:color="auto"/>
        <w:bottom w:val="none" w:sz="0" w:space="0" w:color="auto"/>
        <w:right w:val="none" w:sz="0" w:space="0" w:color="auto"/>
      </w:divBdr>
    </w:div>
    <w:div w:id="1148790591">
      <w:bodyDiv w:val="1"/>
      <w:marLeft w:val="0"/>
      <w:marRight w:val="0"/>
      <w:marTop w:val="0"/>
      <w:marBottom w:val="0"/>
      <w:divBdr>
        <w:top w:val="none" w:sz="0" w:space="0" w:color="auto"/>
        <w:left w:val="none" w:sz="0" w:space="0" w:color="auto"/>
        <w:bottom w:val="none" w:sz="0" w:space="0" w:color="auto"/>
        <w:right w:val="none" w:sz="0" w:space="0" w:color="auto"/>
      </w:divBdr>
      <w:divsChild>
        <w:div w:id="1735270801">
          <w:marLeft w:val="0"/>
          <w:marRight w:val="0"/>
          <w:marTop w:val="0"/>
          <w:marBottom w:val="0"/>
          <w:divBdr>
            <w:top w:val="none" w:sz="0" w:space="0" w:color="auto"/>
            <w:left w:val="none" w:sz="0" w:space="0" w:color="auto"/>
            <w:bottom w:val="none" w:sz="0" w:space="0" w:color="auto"/>
            <w:right w:val="none" w:sz="0" w:space="0" w:color="auto"/>
          </w:divBdr>
          <w:divsChild>
            <w:div w:id="700589862">
              <w:marLeft w:val="0"/>
              <w:marRight w:val="0"/>
              <w:marTop w:val="0"/>
              <w:marBottom w:val="0"/>
              <w:divBdr>
                <w:top w:val="none" w:sz="0" w:space="0" w:color="auto"/>
                <w:left w:val="none" w:sz="0" w:space="0" w:color="auto"/>
                <w:bottom w:val="none" w:sz="0" w:space="0" w:color="auto"/>
                <w:right w:val="none" w:sz="0" w:space="0" w:color="auto"/>
              </w:divBdr>
              <w:divsChild>
                <w:div w:id="1021082560">
                  <w:marLeft w:val="0"/>
                  <w:marRight w:val="0"/>
                  <w:marTop w:val="0"/>
                  <w:marBottom w:val="0"/>
                  <w:divBdr>
                    <w:top w:val="none" w:sz="0" w:space="0" w:color="auto"/>
                    <w:left w:val="none" w:sz="0" w:space="0" w:color="auto"/>
                    <w:bottom w:val="none" w:sz="0" w:space="0" w:color="auto"/>
                    <w:right w:val="none" w:sz="0" w:space="0" w:color="auto"/>
                  </w:divBdr>
                  <w:divsChild>
                    <w:div w:id="1030883700">
                      <w:marLeft w:val="0"/>
                      <w:marRight w:val="0"/>
                      <w:marTop w:val="0"/>
                      <w:marBottom w:val="0"/>
                      <w:divBdr>
                        <w:top w:val="none" w:sz="0" w:space="0" w:color="auto"/>
                        <w:left w:val="none" w:sz="0" w:space="0" w:color="auto"/>
                        <w:bottom w:val="none" w:sz="0" w:space="0" w:color="auto"/>
                        <w:right w:val="none" w:sz="0" w:space="0" w:color="auto"/>
                      </w:divBdr>
                      <w:divsChild>
                        <w:div w:id="63112601">
                          <w:marLeft w:val="0"/>
                          <w:marRight w:val="0"/>
                          <w:marTop w:val="0"/>
                          <w:marBottom w:val="0"/>
                          <w:divBdr>
                            <w:top w:val="none" w:sz="0" w:space="0" w:color="auto"/>
                            <w:left w:val="none" w:sz="0" w:space="0" w:color="auto"/>
                            <w:bottom w:val="none" w:sz="0" w:space="0" w:color="auto"/>
                            <w:right w:val="none" w:sz="0" w:space="0" w:color="auto"/>
                          </w:divBdr>
                          <w:divsChild>
                            <w:div w:id="132959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565132">
      <w:bodyDiv w:val="1"/>
      <w:marLeft w:val="0"/>
      <w:marRight w:val="0"/>
      <w:marTop w:val="0"/>
      <w:marBottom w:val="0"/>
      <w:divBdr>
        <w:top w:val="none" w:sz="0" w:space="0" w:color="auto"/>
        <w:left w:val="none" w:sz="0" w:space="0" w:color="auto"/>
        <w:bottom w:val="none" w:sz="0" w:space="0" w:color="auto"/>
        <w:right w:val="none" w:sz="0" w:space="0" w:color="auto"/>
      </w:divBdr>
      <w:divsChild>
        <w:div w:id="617687206">
          <w:marLeft w:val="0"/>
          <w:marRight w:val="0"/>
          <w:marTop w:val="0"/>
          <w:marBottom w:val="0"/>
          <w:divBdr>
            <w:top w:val="none" w:sz="0" w:space="0" w:color="auto"/>
            <w:left w:val="none" w:sz="0" w:space="0" w:color="auto"/>
            <w:bottom w:val="none" w:sz="0" w:space="0" w:color="auto"/>
            <w:right w:val="none" w:sz="0" w:space="0" w:color="auto"/>
          </w:divBdr>
          <w:divsChild>
            <w:div w:id="73943626">
              <w:marLeft w:val="0"/>
              <w:marRight w:val="0"/>
              <w:marTop w:val="0"/>
              <w:marBottom w:val="0"/>
              <w:divBdr>
                <w:top w:val="none" w:sz="0" w:space="0" w:color="auto"/>
                <w:left w:val="none" w:sz="0" w:space="0" w:color="auto"/>
                <w:bottom w:val="none" w:sz="0" w:space="0" w:color="auto"/>
                <w:right w:val="none" w:sz="0" w:space="0" w:color="auto"/>
              </w:divBdr>
              <w:divsChild>
                <w:div w:id="1588079038">
                  <w:marLeft w:val="0"/>
                  <w:marRight w:val="0"/>
                  <w:marTop w:val="0"/>
                  <w:marBottom w:val="0"/>
                  <w:divBdr>
                    <w:top w:val="none" w:sz="0" w:space="0" w:color="auto"/>
                    <w:left w:val="none" w:sz="0" w:space="0" w:color="auto"/>
                    <w:bottom w:val="none" w:sz="0" w:space="0" w:color="auto"/>
                    <w:right w:val="none" w:sz="0" w:space="0" w:color="auto"/>
                  </w:divBdr>
                  <w:divsChild>
                    <w:div w:id="1117405187">
                      <w:marLeft w:val="0"/>
                      <w:marRight w:val="0"/>
                      <w:marTop w:val="0"/>
                      <w:marBottom w:val="0"/>
                      <w:divBdr>
                        <w:top w:val="none" w:sz="0" w:space="0" w:color="auto"/>
                        <w:left w:val="none" w:sz="0" w:space="0" w:color="auto"/>
                        <w:bottom w:val="none" w:sz="0" w:space="0" w:color="auto"/>
                        <w:right w:val="none" w:sz="0" w:space="0" w:color="auto"/>
                      </w:divBdr>
                      <w:divsChild>
                        <w:div w:id="133452430">
                          <w:marLeft w:val="0"/>
                          <w:marRight w:val="0"/>
                          <w:marTop w:val="0"/>
                          <w:marBottom w:val="0"/>
                          <w:divBdr>
                            <w:top w:val="none" w:sz="0" w:space="0" w:color="auto"/>
                            <w:left w:val="none" w:sz="0" w:space="0" w:color="auto"/>
                            <w:bottom w:val="none" w:sz="0" w:space="0" w:color="auto"/>
                            <w:right w:val="none" w:sz="0" w:space="0" w:color="auto"/>
                          </w:divBdr>
                          <w:divsChild>
                            <w:div w:id="210491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2704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4</cp:revision>
  <dcterms:created xsi:type="dcterms:W3CDTF">2013-12-23T23:15:00Z</dcterms:created>
  <dcterms:modified xsi:type="dcterms:W3CDTF">2024-11-20T13:55:00Z</dcterms:modified>
  <cp:category/>
</cp:coreProperties>
</file>