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30BA1" w:rsidRDefault="00000000">
      <w:r>
        <w:t>标题：</w:t>
      </w:r>
      <w:r>
        <w:t>Unobserved Performance of Hedge Funds</w:t>
      </w:r>
    </w:p>
    <w:p w:rsidR="00830BA1" w:rsidRDefault="00000000">
      <w:r>
        <w:t>链接：</w:t>
      </w:r>
      <w:r>
        <w:t>https://onlinelibrary.wiley.com/doi/full/10.1111/jofi.13368</w:t>
      </w:r>
    </w:p>
    <w:p w:rsidR="00830BA1" w:rsidRDefault="00000000">
      <w:r>
        <w:t>作者及机构：</w:t>
      </w:r>
      <w:r>
        <w:t>VIKAS AGARWAL</w:t>
      </w:r>
    </w:p>
    <w:p w:rsidR="00830BA1" w:rsidRDefault="00000000">
      <w:r>
        <w:t>STEFAN RUENZI</w:t>
      </w:r>
    </w:p>
    <w:p w:rsidR="00830BA1" w:rsidRDefault="00000000">
      <w:r>
        <w:t>FLORIAN WEIGERT</w:t>
      </w:r>
    </w:p>
    <w:p w:rsidR="00830BA1" w:rsidRDefault="00000000">
      <w:pPr>
        <w:rPr>
          <w:rFonts w:eastAsia="宋体"/>
          <w:lang w:eastAsia="zh-CN"/>
        </w:rPr>
      </w:pPr>
      <w:r>
        <w:t>摘要：</w:t>
      </w:r>
      <w:r>
        <w:t xml:space="preserve">  We investigate hedge fund firms’ unobserved performance (UP), measured as the risk-adjusted return difference between a firm's reported gross return and its portfolio return inferred from its disclosed long-equity holdings. Firms with high UP outperform those with low UP by 6.36% per annum on a risk-adjusted basis. UP is negatively associated with a firm's trading costs and positively associated with intraquarter trading in equity positions, derivatives usage, short selling, and confidential holdings. We show that limited investor attention can delay investors’ response to UP and lead to longer lived predictability of fund firm performance.</w:t>
      </w:r>
    </w:p>
    <w:p w:rsidR="00D75812" w:rsidRPr="00D75812" w:rsidRDefault="00D75812">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D75812">
        <w:rPr>
          <w:rFonts w:eastAsia="宋体"/>
          <w:lang w:eastAsia="zh-CN"/>
        </w:rPr>
        <w:t>图表展示了基金公司总回报、权益投资组合回报以及未观察到的回报成分的时间演变，分析了其在对冲基金绩效中的作用。</w:t>
      </w:r>
    </w:p>
    <w:p w:rsidR="003F7D30" w:rsidRPr="003F7D30" w:rsidRDefault="003F7D30" w:rsidP="003F7D30">
      <w:pPr>
        <w:rPr>
          <w:rFonts w:eastAsia="宋体"/>
          <w:lang w:eastAsia="zh-CN"/>
        </w:rPr>
      </w:pPr>
      <w:r w:rsidRPr="003F7D30">
        <w:rPr>
          <w:rFonts w:eastAsia="宋体"/>
          <w:lang w:eastAsia="zh-CN"/>
        </w:rPr>
        <w:t>AI</w:t>
      </w:r>
      <w:r w:rsidRPr="003F7D30">
        <w:rPr>
          <w:rFonts w:eastAsia="宋体" w:hint="eastAsia"/>
          <w:lang w:eastAsia="zh-CN"/>
        </w:rPr>
        <w:t>标题：</w:t>
      </w:r>
      <w:r w:rsidR="00EB7DAD" w:rsidRPr="00EB7DAD">
        <w:rPr>
          <w:rFonts w:eastAsia="宋体"/>
          <w:lang w:eastAsia="zh-CN"/>
        </w:rPr>
        <w:t>未观测绩效：开启对冲基金隐藏价值的钥匙</w:t>
      </w:r>
    </w:p>
    <w:p w:rsidR="003F7D30" w:rsidRPr="003F7D30" w:rsidRDefault="003F7D30" w:rsidP="003F7D30">
      <w:pPr>
        <w:rPr>
          <w:rFonts w:eastAsia="宋体"/>
          <w:lang w:eastAsia="zh-CN"/>
        </w:rPr>
      </w:pPr>
      <w:r w:rsidRPr="003F7D30">
        <w:rPr>
          <w:rFonts w:eastAsia="宋体"/>
          <w:lang w:eastAsia="zh-CN"/>
        </w:rPr>
        <w:t>AI</w:t>
      </w:r>
      <w:r w:rsidRPr="003F7D30">
        <w:rPr>
          <w:rFonts w:eastAsia="宋体" w:hint="eastAsia"/>
          <w:lang w:eastAsia="zh-CN"/>
        </w:rPr>
        <w:t>精炼：</w:t>
      </w:r>
      <w:r w:rsidR="00EB7DAD" w:rsidRPr="00EB7DAD">
        <w:rPr>
          <w:rFonts w:eastAsia="宋体"/>
          <w:lang w:eastAsia="zh-CN"/>
        </w:rPr>
        <w:t>本文研究对冲基金的未观测绩效（</w:t>
      </w:r>
      <w:r w:rsidR="00EB7DAD" w:rsidRPr="00EB7DAD">
        <w:rPr>
          <w:rFonts w:eastAsia="宋体"/>
          <w:lang w:eastAsia="zh-CN"/>
        </w:rPr>
        <w:t>UP</w:t>
      </w:r>
      <w:r w:rsidR="00EB7DAD" w:rsidRPr="00EB7DAD">
        <w:rPr>
          <w:rFonts w:eastAsia="宋体"/>
          <w:lang w:eastAsia="zh-CN"/>
        </w:rPr>
        <w:t>），定义为对冲基金公司报告的总回报与其公开披露的长期股权持仓推断出的投资组合回报之间的风险调整后的差异。研究表明，高</w:t>
      </w:r>
      <w:r w:rsidR="00EB7DAD" w:rsidRPr="00EB7DAD">
        <w:rPr>
          <w:rFonts w:eastAsia="宋体"/>
          <w:lang w:eastAsia="zh-CN"/>
        </w:rPr>
        <w:t>UP</w:t>
      </w:r>
      <w:r w:rsidR="00EB7DAD" w:rsidRPr="00EB7DAD">
        <w:rPr>
          <w:rFonts w:eastAsia="宋体"/>
          <w:lang w:eastAsia="zh-CN"/>
        </w:rPr>
        <w:t>的公司在风险调整后的基础上比低</w:t>
      </w:r>
      <w:r w:rsidR="00EB7DAD" w:rsidRPr="00EB7DAD">
        <w:rPr>
          <w:rFonts w:eastAsia="宋体"/>
          <w:lang w:eastAsia="zh-CN"/>
        </w:rPr>
        <w:t>UP</w:t>
      </w:r>
      <w:r w:rsidR="00EB7DAD" w:rsidRPr="00EB7DAD">
        <w:rPr>
          <w:rFonts w:eastAsia="宋体"/>
          <w:lang w:eastAsia="zh-CN"/>
        </w:rPr>
        <w:t>的公司年均多出</w:t>
      </w:r>
      <w:r w:rsidR="00EB7DAD" w:rsidRPr="00EB7DAD">
        <w:rPr>
          <w:rFonts w:eastAsia="宋体"/>
          <w:lang w:eastAsia="zh-CN"/>
        </w:rPr>
        <w:t>6.36%</w:t>
      </w:r>
      <w:r w:rsidR="00EB7DAD" w:rsidRPr="00EB7DAD">
        <w:rPr>
          <w:rFonts w:eastAsia="宋体"/>
          <w:lang w:eastAsia="zh-CN"/>
        </w:rPr>
        <w:t>的回报。之前的研究主要通过回报基础和持股基础的方法分析对冲基金绩效，本文则结合这两种方法，通过分析对冲基金的未观测行为（如季度内交易、使用衍生品、卖空及保密持仓等）来探究其绩效，发现</w:t>
      </w:r>
      <w:r w:rsidR="00EB7DAD" w:rsidRPr="00EB7DAD">
        <w:rPr>
          <w:rFonts w:eastAsia="宋体"/>
          <w:lang w:eastAsia="zh-CN"/>
        </w:rPr>
        <w:t>UP</w:t>
      </w:r>
      <w:r w:rsidR="00EB7DAD" w:rsidRPr="00EB7DAD">
        <w:rPr>
          <w:rFonts w:eastAsia="宋体"/>
          <w:lang w:eastAsia="zh-CN"/>
        </w:rPr>
        <w:t>能够显著预测对冲基金公司的未来表现，且对投资者反应迟缓的现象也有所揭示，表明在信息披露受限和策略复杂性的情况下，投资者对基金经理技能的认知存在延迟。</w:t>
      </w:r>
    </w:p>
    <w:p w:rsidR="00EB7DAD" w:rsidRPr="00EB7DAD" w:rsidRDefault="003F7D30" w:rsidP="00EB7DAD">
      <w:pPr>
        <w:rPr>
          <w:rFonts w:eastAsia="宋体"/>
          <w:lang w:eastAsia="zh-CN"/>
        </w:rPr>
      </w:pPr>
      <w:r w:rsidRPr="003F7D30">
        <w:rPr>
          <w:rFonts w:eastAsia="宋体" w:hint="eastAsia"/>
          <w:lang w:eastAsia="zh-CN"/>
        </w:rPr>
        <w:t>关键字：</w:t>
      </w:r>
      <w:r w:rsidR="00EB7DAD" w:rsidRPr="00EB7DAD">
        <w:rPr>
          <w:rFonts w:eastAsia="宋体"/>
          <w:lang w:eastAsia="zh-CN"/>
        </w:rPr>
        <w:t>  Hedge Fund Performance</w:t>
      </w:r>
    </w:p>
    <w:p w:rsidR="00EB7DAD" w:rsidRPr="00EB7DAD" w:rsidRDefault="00EB7DAD" w:rsidP="00EB7DAD">
      <w:pPr>
        <w:rPr>
          <w:rFonts w:eastAsia="宋体"/>
          <w:lang w:eastAsia="zh-CN"/>
        </w:rPr>
      </w:pPr>
      <w:r w:rsidRPr="00EB7DAD">
        <w:rPr>
          <w:rFonts w:eastAsia="宋体"/>
          <w:lang w:eastAsia="zh-CN"/>
        </w:rPr>
        <w:t>  Unobserved Performance (UP)</w:t>
      </w:r>
    </w:p>
    <w:p w:rsidR="00EB7DAD" w:rsidRPr="00EB7DAD" w:rsidRDefault="00EB7DAD" w:rsidP="00EB7DAD">
      <w:pPr>
        <w:rPr>
          <w:rFonts w:eastAsia="宋体"/>
          <w:lang w:eastAsia="zh-CN"/>
        </w:rPr>
      </w:pPr>
      <w:r w:rsidRPr="00EB7DAD">
        <w:rPr>
          <w:rFonts w:eastAsia="宋体"/>
          <w:lang w:eastAsia="zh-CN"/>
        </w:rPr>
        <w:t>  Risk-adjusted Returns</w:t>
      </w:r>
    </w:p>
    <w:p w:rsidR="00EB7DAD" w:rsidRPr="00EB7DAD" w:rsidRDefault="00EB7DAD" w:rsidP="00EB7DAD">
      <w:pPr>
        <w:rPr>
          <w:rFonts w:eastAsia="宋体"/>
          <w:lang w:eastAsia="zh-CN"/>
        </w:rPr>
      </w:pPr>
      <w:r w:rsidRPr="00EB7DAD">
        <w:rPr>
          <w:rFonts w:eastAsia="宋体"/>
          <w:lang w:eastAsia="zh-CN"/>
        </w:rPr>
        <w:t>  Derivatives Use</w:t>
      </w:r>
    </w:p>
    <w:p w:rsidR="00EB7DAD" w:rsidRPr="00EB7DAD" w:rsidRDefault="00EB7DAD" w:rsidP="00EB7DAD">
      <w:pPr>
        <w:rPr>
          <w:rFonts w:eastAsia="宋体"/>
          <w:lang w:eastAsia="zh-CN"/>
        </w:rPr>
      </w:pPr>
      <w:r w:rsidRPr="00EB7DAD">
        <w:rPr>
          <w:rFonts w:eastAsia="宋体"/>
          <w:lang w:eastAsia="zh-CN"/>
        </w:rPr>
        <w:t>  Short Selling</w:t>
      </w:r>
    </w:p>
    <w:p w:rsidR="00EB7DAD" w:rsidRPr="00EB7DAD" w:rsidRDefault="00EB7DAD" w:rsidP="00EB7DAD">
      <w:pPr>
        <w:rPr>
          <w:rFonts w:eastAsia="宋体"/>
          <w:lang w:eastAsia="zh-CN"/>
        </w:rPr>
      </w:pPr>
      <w:r w:rsidRPr="00EB7DAD">
        <w:rPr>
          <w:rFonts w:eastAsia="宋体"/>
          <w:lang w:eastAsia="zh-CN"/>
        </w:rPr>
        <w:t>  Confidential Holdings</w:t>
      </w:r>
    </w:p>
    <w:p w:rsidR="003F7D30" w:rsidRPr="003F7D30" w:rsidRDefault="00EB7DAD" w:rsidP="00EB7DAD">
      <w:pPr>
        <w:rPr>
          <w:rFonts w:eastAsia="宋体"/>
          <w:lang w:eastAsia="zh-CN"/>
        </w:rPr>
      </w:pPr>
      <w:r w:rsidRPr="00EB7DAD">
        <w:rPr>
          <w:rFonts w:eastAsia="宋体"/>
          <w:lang w:eastAsia="zh-CN"/>
        </w:rPr>
        <w:t>  Investor Attention</w:t>
      </w:r>
    </w:p>
    <w:p w:rsidR="003F7D30" w:rsidRDefault="003F7D30" w:rsidP="003F7D30">
      <w:pPr>
        <w:rPr>
          <w:rFonts w:eastAsia="宋体"/>
          <w:lang w:eastAsia="zh-CN"/>
        </w:rPr>
      </w:pPr>
      <w:r w:rsidRPr="003F7D30">
        <w:rPr>
          <w:rFonts w:eastAsia="宋体" w:hint="eastAsia"/>
          <w:lang w:eastAsia="zh-CN"/>
        </w:rPr>
        <w:lastRenderedPageBreak/>
        <w:t>学术要点：</w:t>
      </w:r>
    </w:p>
    <w:p w:rsidR="00D451BE" w:rsidRPr="00D451BE" w:rsidRDefault="00D451BE" w:rsidP="00D451BE">
      <w:pPr>
        <w:rPr>
          <w:rFonts w:eastAsia="宋体"/>
          <w:lang w:eastAsia="zh-CN"/>
        </w:rPr>
      </w:pPr>
      <w:r w:rsidRPr="00D451BE">
        <w:rPr>
          <w:rFonts w:eastAsia="宋体"/>
          <w:lang w:eastAsia="zh-CN"/>
        </w:rPr>
        <w:t xml:space="preserve">  </w:t>
      </w:r>
      <w:r w:rsidRPr="00D451BE">
        <w:rPr>
          <w:rFonts w:eastAsia="宋体"/>
          <w:b/>
          <w:bCs/>
          <w:lang w:eastAsia="zh-CN"/>
        </w:rPr>
        <w:t>学术要点</w:t>
      </w:r>
      <w:r w:rsidRPr="00D451BE">
        <w:rPr>
          <w:rFonts w:eastAsia="宋体"/>
          <w:b/>
          <w:bCs/>
          <w:lang w:eastAsia="zh-CN"/>
        </w:rPr>
        <w:t xml:space="preserve"> 1</w:t>
      </w:r>
      <w:r w:rsidRPr="00D451BE">
        <w:rPr>
          <w:rFonts w:eastAsia="宋体"/>
          <w:b/>
          <w:bCs/>
          <w:lang w:eastAsia="zh-CN"/>
        </w:rPr>
        <w:t>：未观察到的绩效（</w:t>
      </w:r>
      <w:r w:rsidRPr="00D451BE">
        <w:rPr>
          <w:rFonts w:eastAsia="宋体"/>
          <w:b/>
          <w:bCs/>
          <w:lang w:eastAsia="zh-CN"/>
        </w:rPr>
        <w:t>Unobserved Performance, UP</w:t>
      </w:r>
      <w:r w:rsidRPr="00D451BE">
        <w:rPr>
          <w:rFonts w:eastAsia="宋体"/>
          <w:b/>
          <w:bCs/>
          <w:lang w:eastAsia="zh-CN"/>
        </w:rPr>
        <w:t>）</w:t>
      </w:r>
      <w:r w:rsidRPr="00D451BE">
        <w:rPr>
          <w:rFonts w:eastAsia="宋体"/>
          <w:lang w:eastAsia="zh-CN"/>
        </w:rPr>
        <w:br/>
      </w:r>
      <w:proofErr w:type="spellStart"/>
      <w:r w:rsidRPr="00D451BE">
        <w:rPr>
          <w:rFonts w:eastAsia="宋体"/>
          <w:lang w:eastAsia="zh-CN"/>
        </w:rPr>
        <w:t>UP</w:t>
      </w:r>
      <w:proofErr w:type="spellEnd"/>
      <w:r w:rsidRPr="00D451BE">
        <w:rPr>
          <w:rFonts w:eastAsia="宋体"/>
          <w:lang w:eastAsia="zh-CN"/>
        </w:rPr>
        <w:t>通过捕捉未披露交易和策略的绩效差异，成为预测对冲基金未来回报的关键指标，显著优于传统回报或持仓指标。</w:t>
      </w:r>
    </w:p>
    <w:p w:rsidR="00D451BE" w:rsidRPr="00D451BE" w:rsidRDefault="00D451BE" w:rsidP="00D451BE">
      <w:pPr>
        <w:rPr>
          <w:rFonts w:eastAsia="宋体"/>
          <w:lang w:eastAsia="zh-CN"/>
        </w:rPr>
      </w:pPr>
      <w:r w:rsidRPr="00D451BE">
        <w:rPr>
          <w:rFonts w:eastAsia="宋体"/>
          <w:lang w:eastAsia="zh-CN"/>
        </w:rPr>
        <w:t xml:space="preserve">  </w:t>
      </w:r>
      <w:r w:rsidRPr="00D451BE">
        <w:rPr>
          <w:rFonts w:eastAsia="宋体"/>
          <w:b/>
          <w:bCs/>
          <w:lang w:eastAsia="zh-CN"/>
        </w:rPr>
        <w:t>学术要点</w:t>
      </w:r>
      <w:r w:rsidRPr="00D451BE">
        <w:rPr>
          <w:rFonts w:eastAsia="宋体"/>
          <w:b/>
          <w:bCs/>
          <w:lang w:eastAsia="zh-CN"/>
        </w:rPr>
        <w:t xml:space="preserve"> 2</w:t>
      </w:r>
      <w:r w:rsidRPr="00D451BE">
        <w:rPr>
          <w:rFonts w:eastAsia="宋体"/>
          <w:b/>
          <w:bCs/>
          <w:lang w:eastAsia="zh-CN"/>
        </w:rPr>
        <w:t>：</w:t>
      </w:r>
      <w:r w:rsidRPr="00D451BE">
        <w:rPr>
          <w:rFonts w:eastAsia="宋体"/>
          <w:b/>
          <w:bCs/>
          <w:lang w:eastAsia="zh-CN"/>
        </w:rPr>
        <w:t>UP</w:t>
      </w:r>
      <w:r w:rsidRPr="00D451BE">
        <w:rPr>
          <w:rFonts w:eastAsia="宋体"/>
          <w:b/>
          <w:bCs/>
          <w:lang w:eastAsia="zh-CN"/>
        </w:rPr>
        <w:t>的预测能力（</w:t>
      </w:r>
      <w:r w:rsidRPr="00D451BE">
        <w:rPr>
          <w:rFonts w:eastAsia="宋体"/>
          <w:b/>
          <w:bCs/>
          <w:lang w:eastAsia="zh-CN"/>
        </w:rPr>
        <w:t>Predictive Ability of UP</w:t>
      </w:r>
      <w:r w:rsidRPr="00D451BE">
        <w:rPr>
          <w:rFonts w:eastAsia="宋体"/>
          <w:b/>
          <w:bCs/>
          <w:lang w:eastAsia="zh-CN"/>
        </w:rPr>
        <w:t>）</w:t>
      </w:r>
      <w:r w:rsidRPr="00D451BE">
        <w:rPr>
          <w:rFonts w:eastAsia="宋体"/>
          <w:lang w:eastAsia="zh-CN"/>
        </w:rPr>
        <w:br/>
      </w:r>
      <w:r w:rsidRPr="00D451BE">
        <w:rPr>
          <w:rFonts w:eastAsia="宋体"/>
          <w:lang w:eastAsia="zh-CN"/>
        </w:rPr>
        <w:t>高</w:t>
      </w:r>
      <w:r w:rsidRPr="00D451BE">
        <w:rPr>
          <w:rFonts w:eastAsia="宋体"/>
          <w:lang w:eastAsia="zh-CN"/>
        </w:rPr>
        <w:t>UP</w:t>
      </w:r>
      <w:r w:rsidRPr="00D451BE">
        <w:rPr>
          <w:rFonts w:eastAsia="宋体"/>
          <w:lang w:eastAsia="zh-CN"/>
        </w:rPr>
        <w:t>基金年均超额收益达</w:t>
      </w:r>
      <w:r w:rsidRPr="00D451BE">
        <w:rPr>
          <w:rFonts w:eastAsia="宋体"/>
          <w:lang w:eastAsia="zh-CN"/>
        </w:rPr>
        <w:t>6.36%</w:t>
      </w:r>
      <w:r w:rsidRPr="00D451BE">
        <w:rPr>
          <w:rFonts w:eastAsia="宋体"/>
          <w:lang w:eastAsia="zh-CN"/>
        </w:rPr>
        <w:t>，其预测能力持续三年，且优于其他基金绩效预测指标如</w:t>
      </w:r>
      <w:r w:rsidRPr="00D451BE">
        <w:rPr>
          <w:rFonts w:eastAsia="宋体"/>
          <w:lang w:eastAsia="zh-CN"/>
        </w:rPr>
        <w:t>R²</w:t>
      </w:r>
      <w:r w:rsidRPr="00D451BE">
        <w:rPr>
          <w:rFonts w:eastAsia="宋体"/>
          <w:lang w:eastAsia="zh-CN"/>
        </w:rPr>
        <w:t>和</w:t>
      </w:r>
      <w:r w:rsidRPr="00D451BE">
        <w:rPr>
          <w:rFonts w:eastAsia="宋体"/>
          <w:lang w:eastAsia="zh-CN"/>
        </w:rPr>
        <w:t>SDI</w:t>
      </w:r>
      <w:r w:rsidRPr="00D451BE">
        <w:rPr>
          <w:rFonts w:eastAsia="宋体"/>
          <w:lang w:eastAsia="zh-CN"/>
        </w:rPr>
        <w:t>。</w:t>
      </w:r>
    </w:p>
    <w:p w:rsidR="00D451BE" w:rsidRPr="00D451BE" w:rsidRDefault="00D451BE" w:rsidP="00D451BE">
      <w:pPr>
        <w:rPr>
          <w:rFonts w:eastAsia="宋体"/>
          <w:lang w:eastAsia="zh-CN"/>
        </w:rPr>
      </w:pPr>
      <w:r w:rsidRPr="00D451BE">
        <w:rPr>
          <w:rFonts w:eastAsia="宋体"/>
          <w:lang w:eastAsia="zh-CN"/>
        </w:rPr>
        <w:t xml:space="preserve">  </w:t>
      </w:r>
      <w:r w:rsidRPr="00D451BE">
        <w:rPr>
          <w:rFonts w:eastAsia="宋体"/>
          <w:b/>
          <w:bCs/>
          <w:lang w:eastAsia="zh-CN"/>
        </w:rPr>
        <w:t>学术要点</w:t>
      </w:r>
      <w:r w:rsidRPr="00D451BE">
        <w:rPr>
          <w:rFonts w:eastAsia="宋体"/>
          <w:b/>
          <w:bCs/>
          <w:lang w:eastAsia="zh-CN"/>
        </w:rPr>
        <w:t xml:space="preserve"> 3</w:t>
      </w:r>
      <w:r w:rsidRPr="00D451BE">
        <w:rPr>
          <w:rFonts w:eastAsia="宋体"/>
          <w:b/>
          <w:bCs/>
          <w:lang w:eastAsia="zh-CN"/>
        </w:rPr>
        <w:t>：交易渠道对</w:t>
      </w:r>
      <w:r w:rsidRPr="00D451BE">
        <w:rPr>
          <w:rFonts w:eastAsia="宋体"/>
          <w:b/>
          <w:bCs/>
          <w:lang w:eastAsia="zh-CN"/>
        </w:rPr>
        <w:t>UP</w:t>
      </w:r>
      <w:r w:rsidRPr="00D451BE">
        <w:rPr>
          <w:rFonts w:eastAsia="宋体"/>
          <w:b/>
          <w:bCs/>
          <w:lang w:eastAsia="zh-CN"/>
        </w:rPr>
        <w:t>的贡献（</w:t>
      </w:r>
      <w:r w:rsidRPr="00D451BE">
        <w:rPr>
          <w:rFonts w:eastAsia="宋体"/>
          <w:b/>
          <w:bCs/>
          <w:lang w:eastAsia="zh-CN"/>
        </w:rPr>
        <w:t>Contribution of Trading Channels to UP</w:t>
      </w:r>
      <w:r w:rsidRPr="00D451BE">
        <w:rPr>
          <w:rFonts w:eastAsia="宋体"/>
          <w:b/>
          <w:bCs/>
          <w:lang w:eastAsia="zh-CN"/>
        </w:rPr>
        <w:t>）</w:t>
      </w:r>
      <w:r w:rsidRPr="00D451BE">
        <w:rPr>
          <w:rFonts w:eastAsia="宋体"/>
          <w:lang w:eastAsia="zh-CN"/>
        </w:rPr>
        <w:br/>
      </w:r>
      <w:r w:rsidRPr="00D451BE">
        <w:rPr>
          <w:rFonts w:eastAsia="宋体"/>
          <w:lang w:eastAsia="zh-CN"/>
        </w:rPr>
        <w:t>短期交易、卖空活动、期权使用及保密持仓是推动</w:t>
      </w:r>
      <w:r w:rsidRPr="00D451BE">
        <w:rPr>
          <w:rFonts w:eastAsia="宋体"/>
          <w:lang w:eastAsia="zh-CN"/>
        </w:rPr>
        <w:t>UP</w:t>
      </w:r>
      <w:r w:rsidRPr="00D451BE">
        <w:rPr>
          <w:rFonts w:eastAsia="宋体"/>
          <w:lang w:eastAsia="zh-CN"/>
        </w:rPr>
        <w:t>的主要交易渠道，这些策略显示了基金经理的独特技能。</w:t>
      </w:r>
    </w:p>
    <w:p w:rsidR="00D451BE" w:rsidRPr="00D451BE" w:rsidRDefault="00D451BE" w:rsidP="00D451BE">
      <w:pPr>
        <w:rPr>
          <w:rFonts w:eastAsia="宋体"/>
          <w:lang w:eastAsia="zh-CN"/>
        </w:rPr>
      </w:pPr>
      <w:r w:rsidRPr="00D451BE">
        <w:rPr>
          <w:rFonts w:eastAsia="宋体"/>
          <w:lang w:eastAsia="zh-CN"/>
        </w:rPr>
        <w:t xml:space="preserve">  </w:t>
      </w:r>
      <w:r w:rsidRPr="00D451BE">
        <w:rPr>
          <w:rFonts w:eastAsia="宋体"/>
          <w:b/>
          <w:bCs/>
          <w:lang w:eastAsia="zh-CN"/>
        </w:rPr>
        <w:t>学术要点</w:t>
      </w:r>
      <w:r w:rsidRPr="00D451BE">
        <w:rPr>
          <w:rFonts w:eastAsia="宋体"/>
          <w:b/>
          <w:bCs/>
          <w:lang w:eastAsia="zh-CN"/>
        </w:rPr>
        <w:t xml:space="preserve"> 4</w:t>
      </w:r>
      <w:r w:rsidRPr="00D451BE">
        <w:rPr>
          <w:rFonts w:eastAsia="宋体"/>
          <w:b/>
          <w:bCs/>
          <w:lang w:eastAsia="zh-CN"/>
        </w:rPr>
        <w:t>：投资者注意力的作用（</w:t>
      </w:r>
      <w:r w:rsidRPr="00D451BE">
        <w:rPr>
          <w:rFonts w:eastAsia="宋体"/>
          <w:b/>
          <w:bCs/>
          <w:lang w:eastAsia="zh-CN"/>
        </w:rPr>
        <w:t>Role of Investor Attention</w:t>
      </w:r>
      <w:r w:rsidRPr="00D451BE">
        <w:rPr>
          <w:rFonts w:eastAsia="宋体"/>
          <w:b/>
          <w:bCs/>
          <w:lang w:eastAsia="zh-CN"/>
        </w:rPr>
        <w:t>）</w:t>
      </w:r>
      <w:r w:rsidRPr="00D451BE">
        <w:rPr>
          <w:rFonts w:eastAsia="宋体"/>
          <w:lang w:eastAsia="zh-CN"/>
        </w:rPr>
        <w:br/>
      </w:r>
      <w:r w:rsidRPr="00D451BE">
        <w:rPr>
          <w:rFonts w:eastAsia="宋体"/>
          <w:lang w:eastAsia="zh-CN"/>
        </w:rPr>
        <w:t>投资者对</w:t>
      </w:r>
      <w:r w:rsidRPr="00D451BE">
        <w:rPr>
          <w:rFonts w:eastAsia="宋体"/>
          <w:lang w:eastAsia="zh-CN"/>
        </w:rPr>
        <w:t>UP</w:t>
      </w:r>
      <w:r w:rsidRPr="00D451BE">
        <w:rPr>
          <w:rFonts w:eastAsia="宋体"/>
          <w:lang w:eastAsia="zh-CN"/>
        </w:rPr>
        <w:t>的反应延迟，尤其是在低注意力环境下，延长了</w:t>
      </w:r>
      <w:r w:rsidRPr="00D451BE">
        <w:rPr>
          <w:rFonts w:eastAsia="宋体"/>
          <w:lang w:eastAsia="zh-CN"/>
        </w:rPr>
        <w:t>UP</w:t>
      </w:r>
      <w:r w:rsidRPr="00D451BE">
        <w:rPr>
          <w:rFonts w:eastAsia="宋体"/>
          <w:lang w:eastAsia="zh-CN"/>
        </w:rPr>
        <w:t>对基金绩效的预测持续性。</w:t>
      </w:r>
    </w:p>
    <w:p w:rsidR="00D451BE" w:rsidRPr="00D451BE" w:rsidRDefault="00D451BE" w:rsidP="00D451BE">
      <w:pPr>
        <w:rPr>
          <w:rFonts w:eastAsia="宋体"/>
          <w:lang w:eastAsia="zh-CN"/>
        </w:rPr>
      </w:pPr>
      <w:r w:rsidRPr="00D451BE">
        <w:rPr>
          <w:rFonts w:eastAsia="宋体"/>
          <w:lang w:eastAsia="zh-CN"/>
        </w:rPr>
        <w:t xml:space="preserve">  </w:t>
      </w:r>
      <w:r w:rsidRPr="00D451BE">
        <w:rPr>
          <w:rFonts w:eastAsia="宋体"/>
          <w:b/>
          <w:bCs/>
          <w:lang w:eastAsia="zh-CN"/>
        </w:rPr>
        <w:t>学术要点</w:t>
      </w:r>
      <w:r w:rsidRPr="00D451BE">
        <w:rPr>
          <w:rFonts w:eastAsia="宋体"/>
          <w:b/>
          <w:bCs/>
          <w:lang w:eastAsia="zh-CN"/>
        </w:rPr>
        <w:t xml:space="preserve"> 5</w:t>
      </w:r>
      <w:r w:rsidRPr="00D451BE">
        <w:rPr>
          <w:rFonts w:eastAsia="宋体"/>
          <w:b/>
          <w:bCs/>
          <w:lang w:eastAsia="zh-CN"/>
        </w:rPr>
        <w:t>：规模经济的约束（</w:t>
      </w:r>
      <w:r w:rsidRPr="00D451BE">
        <w:rPr>
          <w:rFonts w:eastAsia="宋体"/>
          <w:b/>
          <w:bCs/>
          <w:lang w:eastAsia="zh-CN"/>
        </w:rPr>
        <w:t>Scalability Constraints</w:t>
      </w:r>
      <w:r w:rsidRPr="00D451BE">
        <w:rPr>
          <w:rFonts w:eastAsia="宋体"/>
          <w:b/>
          <w:bCs/>
          <w:lang w:eastAsia="zh-CN"/>
        </w:rPr>
        <w:t>）</w:t>
      </w:r>
      <w:r w:rsidRPr="00D451BE">
        <w:rPr>
          <w:rFonts w:eastAsia="宋体"/>
          <w:lang w:eastAsia="zh-CN"/>
        </w:rPr>
        <w:br/>
      </w:r>
      <w:r w:rsidRPr="00D451BE">
        <w:rPr>
          <w:rFonts w:eastAsia="宋体"/>
          <w:lang w:eastAsia="zh-CN"/>
        </w:rPr>
        <w:t>大规模投资流入限制了高</w:t>
      </w:r>
      <w:r w:rsidRPr="00D451BE">
        <w:rPr>
          <w:rFonts w:eastAsia="宋体"/>
          <w:lang w:eastAsia="zh-CN"/>
        </w:rPr>
        <w:t>UP</w:t>
      </w:r>
      <w:r w:rsidRPr="00D451BE">
        <w:rPr>
          <w:rFonts w:eastAsia="宋体"/>
          <w:lang w:eastAsia="zh-CN"/>
        </w:rPr>
        <w:t>基金继续实施其核心交易策略，导致其绩效优势的逐渐消失。</w:t>
      </w:r>
    </w:p>
    <w:p w:rsidR="003F7D30" w:rsidRPr="00D451BE" w:rsidRDefault="003F7D30" w:rsidP="003F7D30">
      <w:pPr>
        <w:rPr>
          <w:rFonts w:eastAsia="宋体"/>
          <w:lang w:eastAsia="zh-CN"/>
        </w:rPr>
      </w:pPr>
    </w:p>
    <w:sectPr w:rsidR="003F7D30" w:rsidRPr="00D451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9168610">
    <w:abstractNumId w:val="8"/>
  </w:num>
  <w:num w:numId="2" w16cid:durableId="850068177">
    <w:abstractNumId w:val="6"/>
  </w:num>
  <w:num w:numId="3" w16cid:durableId="619148686">
    <w:abstractNumId w:val="5"/>
  </w:num>
  <w:num w:numId="4" w16cid:durableId="1170214825">
    <w:abstractNumId w:val="4"/>
  </w:num>
  <w:num w:numId="5" w16cid:durableId="1627199028">
    <w:abstractNumId w:val="7"/>
  </w:num>
  <w:num w:numId="6" w16cid:durableId="281427329">
    <w:abstractNumId w:val="3"/>
  </w:num>
  <w:num w:numId="7" w16cid:durableId="583803451">
    <w:abstractNumId w:val="2"/>
  </w:num>
  <w:num w:numId="8" w16cid:durableId="40323482">
    <w:abstractNumId w:val="1"/>
  </w:num>
  <w:num w:numId="9" w16cid:durableId="147779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EC3"/>
    <w:rsid w:val="00326F90"/>
    <w:rsid w:val="003B7873"/>
    <w:rsid w:val="003F7D30"/>
    <w:rsid w:val="007C7138"/>
    <w:rsid w:val="00830BA1"/>
    <w:rsid w:val="00AA1D8D"/>
    <w:rsid w:val="00B47730"/>
    <w:rsid w:val="00CB0664"/>
    <w:rsid w:val="00D451BE"/>
    <w:rsid w:val="00D75812"/>
    <w:rsid w:val="00EB7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E716B0C-F71F-47CA-8E0B-05CF1279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73691">
      <w:bodyDiv w:val="1"/>
      <w:marLeft w:val="0"/>
      <w:marRight w:val="0"/>
      <w:marTop w:val="0"/>
      <w:marBottom w:val="0"/>
      <w:divBdr>
        <w:top w:val="none" w:sz="0" w:space="0" w:color="auto"/>
        <w:left w:val="none" w:sz="0" w:space="0" w:color="auto"/>
        <w:bottom w:val="none" w:sz="0" w:space="0" w:color="auto"/>
        <w:right w:val="none" w:sz="0" w:space="0" w:color="auto"/>
      </w:divBdr>
    </w:div>
    <w:div w:id="290861265">
      <w:bodyDiv w:val="1"/>
      <w:marLeft w:val="0"/>
      <w:marRight w:val="0"/>
      <w:marTop w:val="0"/>
      <w:marBottom w:val="0"/>
      <w:divBdr>
        <w:top w:val="none" w:sz="0" w:space="0" w:color="auto"/>
        <w:left w:val="none" w:sz="0" w:space="0" w:color="auto"/>
        <w:bottom w:val="none" w:sz="0" w:space="0" w:color="auto"/>
        <w:right w:val="none" w:sz="0" w:space="0" w:color="auto"/>
      </w:divBdr>
    </w:div>
    <w:div w:id="333189102">
      <w:bodyDiv w:val="1"/>
      <w:marLeft w:val="0"/>
      <w:marRight w:val="0"/>
      <w:marTop w:val="0"/>
      <w:marBottom w:val="0"/>
      <w:divBdr>
        <w:top w:val="none" w:sz="0" w:space="0" w:color="auto"/>
        <w:left w:val="none" w:sz="0" w:space="0" w:color="auto"/>
        <w:bottom w:val="none" w:sz="0" w:space="0" w:color="auto"/>
        <w:right w:val="none" w:sz="0" w:space="0" w:color="auto"/>
      </w:divBdr>
    </w:div>
    <w:div w:id="18338355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2024-11-21T02:20:00Z</dcterms:modified>
  <cp:category/>
</cp:coreProperties>
</file>