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72B7A" w:rsidRDefault="00000000">
      <w:r>
        <w:t>标题：</w:t>
      </w:r>
      <w:r>
        <w:t>Very Noisy Option Prices and Inference Regarding the Volatility Risk Premium</w:t>
      </w:r>
    </w:p>
    <w:p w:rsidR="00A72B7A" w:rsidRDefault="00000000">
      <w:r>
        <w:t>链接：</w:t>
      </w:r>
      <w:r>
        <w:t>https://onlinelibrary.wiley.com/doi/full/10.1111/jofi.13365</w:t>
      </w:r>
    </w:p>
    <w:p w:rsidR="00A72B7A" w:rsidRDefault="00000000">
      <w:r>
        <w:t>作者及机构：</w:t>
      </w:r>
      <w:r>
        <w:t>JEFFERSON DUARTE</w:t>
      </w:r>
    </w:p>
    <w:p w:rsidR="00A72B7A" w:rsidRDefault="00000000">
      <w:r>
        <w:t>CHRISTOPHER S. JONES</w:t>
      </w:r>
    </w:p>
    <w:p w:rsidR="00A72B7A" w:rsidRDefault="00000000">
      <w:r>
        <w:t>JUNBO L. WANG</w:t>
      </w:r>
    </w:p>
    <w:p w:rsidR="00A72B7A" w:rsidRDefault="00000000">
      <w:pPr>
        <w:rPr>
          <w:rFonts w:eastAsia="宋体"/>
          <w:lang w:eastAsia="zh-CN"/>
        </w:rPr>
      </w:pPr>
      <w:r>
        <w:t>摘要：</w:t>
      </w:r>
      <w:r>
        <w:t xml:space="preserve">  The stylized fact that volatility is not priced in individual equity options does not withstand scrutiny. First, we show that the average return of heavily traded deep out-of-the-money call options on stocks is −116 basis points per day. Second, Fama-MacBeth estimates of the volatility risk premium in stock options are similar to those in S&amp;P 500 Index call options. Third, the mean return of heavily traded delta-hedged at-the-money calls (puts) is −23 (−30) basis points. Fourth, the variance risk premium in stock options is negative. Our analysis highlights the importance of microstructure biases and robustness in empirical work with options.</w:t>
      </w:r>
    </w:p>
    <w:p w:rsidR="00367E1C" w:rsidRPr="00367E1C" w:rsidRDefault="00367E1C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图片</w:t>
      </w:r>
      <w:r>
        <w:rPr>
          <w:rFonts w:eastAsia="宋体" w:hint="eastAsia"/>
          <w:lang w:eastAsia="zh-CN"/>
        </w:rPr>
        <w:t>AI</w:t>
      </w:r>
      <w:r>
        <w:rPr>
          <w:rFonts w:eastAsia="宋体" w:hint="eastAsia"/>
          <w:lang w:eastAsia="zh-CN"/>
        </w:rPr>
        <w:t>总结：</w:t>
      </w:r>
      <w:r w:rsidRPr="00367E1C">
        <w:rPr>
          <w:rFonts w:eastAsia="宋体"/>
          <w:lang w:eastAsia="zh-CN"/>
        </w:rPr>
        <w:t>图表展示了</w:t>
      </w:r>
      <w:r w:rsidRPr="00367E1C">
        <w:rPr>
          <w:rFonts w:eastAsia="宋体"/>
          <w:lang w:eastAsia="zh-CN"/>
        </w:rPr>
        <w:t>S&amp;P 500</w:t>
      </w:r>
      <w:r w:rsidRPr="00367E1C">
        <w:rPr>
          <w:rFonts w:eastAsia="宋体"/>
          <w:lang w:eastAsia="zh-CN"/>
        </w:rPr>
        <w:t>股票和指数期权的平均收盘买卖价差，区分了基础样本与平值期权的不同交易条件。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>AI</w:t>
      </w:r>
      <w:r w:rsidRPr="00694FDA">
        <w:rPr>
          <w:rFonts w:eastAsia="宋体" w:hint="eastAsia"/>
          <w:lang w:eastAsia="zh-CN"/>
        </w:rPr>
        <w:t>标题：</w:t>
      </w:r>
      <w:r w:rsidR="002A6793" w:rsidRPr="002A6793">
        <w:rPr>
          <w:rFonts w:eastAsia="宋体"/>
          <w:lang w:eastAsia="zh-CN"/>
        </w:rPr>
        <w:t>揭秘个股期权市场：波动率真的被忽视了吗？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>AI</w:t>
      </w:r>
      <w:r w:rsidRPr="00694FDA">
        <w:rPr>
          <w:rFonts w:eastAsia="宋体" w:hint="eastAsia"/>
          <w:lang w:eastAsia="zh-CN"/>
        </w:rPr>
        <w:t>精炼：</w:t>
      </w:r>
      <w:r w:rsidR="002A6793" w:rsidRPr="002A6793">
        <w:rPr>
          <w:rFonts w:eastAsia="宋体"/>
          <w:lang w:eastAsia="zh-CN"/>
        </w:rPr>
        <w:t>本文探讨个股期权市场中的波动率风险溢价问题，揭示波动率是如何在个股期权中定价的。尽管以往的研究结果表明个股期权的波动率未被定价，本文的分析却提供了相反的证据，显示波动率实际上在个股期权中被积极定价，尤其是在交易量较大的期权中更为明显。作者通过应用负波动率风险溢价模型，并纠正数据中的测量错误和样本选择偏差，详细分析了期权的回报与其行权价之间的非单调关系，以及使用高频数据改进回归分析的方法，最终强调了在期权市场分析中考虑微观结构偏差和鲁棒性的重要性。</w:t>
      </w:r>
    </w:p>
    <w:p w:rsidR="002A6793" w:rsidRPr="002A6793" w:rsidRDefault="00694FDA" w:rsidP="002A6793">
      <w:pPr>
        <w:rPr>
          <w:rFonts w:eastAsia="宋体"/>
          <w:lang w:eastAsia="zh-CN"/>
        </w:rPr>
      </w:pPr>
      <w:r w:rsidRPr="00694FDA">
        <w:rPr>
          <w:rFonts w:eastAsia="宋体" w:hint="eastAsia"/>
          <w:lang w:eastAsia="zh-CN"/>
        </w:rPr>
        <w:t>关键字：</w:t>
      </w:r>
      <w:proofErr w:type="gramStart"/>
      <w:r w:rsidR="002A6793" w:rsidRPr="002A6793">
        <w:rPr>
          <w:rFonts w:eastAsia="宋体"/>
          <w:lang w:eastAsia="zh-CN"/>
        </w:rPr>
        <w:t>  Volatility</w:t>
      </w:r>
      <w:proofErr w:type="gramEnd"/>
      <w:r w:rsidR="002A6793" w:rsidRPr="002A6793">
        <w:rPr>
          <w:rFonts w:eastAsia="宋体"/>
          <w:lang w:eastAsia="zh-CN"/>
        </w:rPr>
        <w:t xml:space="preserve"> Risk Premium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Equity Options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Measurement Errors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High-Frequency Data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Nonmonotonic Relationships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Delta-Hedged Returns</w:t>
      </w:r>
    </w:p>
    <w:p w:rsidR="002A6793" w:rsidRPr="002A6793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Market Microstructure</w:t>
      </w:r>
    </w:p>
    <w:p w:rsidR="00694FDA" w:rsidRPr="00694FDA" w:rsidRDefault="002A6793" w:rsidP="002A6793">
      <w:pPr>
        <w:rPr>
          <w:rFonts w:eastAsia="宋体"/>
          <w:lang w:eastAsia="zh-CN"/>
        </w:rPr>
      </w:pPr>
      <w:r w:rsidRPr="002A6793">
        <w:rPr>
          <w:rFonts w:eastAsia="宋体"/>
          <w:lang w:eastAsia="zh-CN"/>
        </w:rPr>
        <w:t>  Empirical Bias Corrections</w:t>
      </w:r>
    </w:p>
    <w:p w:rsid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 w:hint="eastAsia"/>
          <w:lang w:eastAsia="zh-CN"/>
        </w:rPr>
        <w:lastRenderedPageBreak/>
        <w:t>学术要点：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 xml:space="preserve">  </w:t>
      </w:r>
      <w:r w:rsidRPr="00694FDA">
        <w:rPr>
          <w:rFonts w:eastAsia="宋体"/>
          <w:b/>
          <w:bCs/>
          <w:lang w:eastAsia="zh-CN"/>
        </w:rPr>
        <w:t>学术要点</w:t>
      </w:r>
      <w:r w:rsidRPr="00694FDA">
        <w:rPr>
          <w:rFonts w:eastAsia="宋体"/>
          <w:b/>
          <w:bCs/>
          <w:lang w:eastAsia="zh-CN"/>
        </w:rPr>
        <w:t xml:space="preserve"> 1</w:t>
      </w:r>
      <w:r w:rsidRPr="00694FDA">
        <w:rPr>
          <w:rFonts w:eastAsia="宋体"/>
          <w:b/>
          <w:bCs/>
          <w:lang w:eastAsia="zh-CN"/>
        </w:rPr>
        <w:t>：负的波动率风险溢价（</w:t>
      </w:r>
      <w:r w:rsidRPr="00694FDA">
        <w:rPr>
          <w:rFonts w:eastAsia="宋体"/>
          <w:b/>
          <w:bCs/>
          <w:lang w:eastAsia="zh-CN"/>
        </w:rPr>
        <w:t>Negative Volatility Risk Premium</w:t>
      </w:r>
      <w:r w:rsidRPr="00694FDA">
        <w:rPr>
          <w:rFonts w:eastAsia="宋体"/>
          <w:b/>
          <w:bCs/>
          <w:lang w:eastAsia="zh-CN"/>
        </w:rPr>
        <w:t>）</w:t>
      </w:r>
      <w:r w:rsidRPr="00694FDA">
        <w:rPr>
          <w:rFonts w:eastAsia="宋体"/>
          <w:lang w:eastAsia="zh-CN"/>
        </w:rPr>
        <w:br/>
      </w:r>
      <w:r w:rsidRPr="00694FDA">
        <w:rPr>
          <w:rFonts w:eastAsia="宋体"/>
          <w:lang w:eastAsia="zh-CN"/>
        </w:rPr>
        <w:t>实证结果表明，个人股票和指数期权的波动率风险溢价均为负，</w:t>
      </w:r>
      <w:proofErr w:type="gramStart"/>
      <w:r w:rsidRPr="00694FDA">
        <w:rPr>
          <w:rFonts w:eastAsia="宋体"/>
          <w:lang w:eastAsia="zh-CN"/>
        </w:rPr>
        <w:t>标普</w:t>
      </w:r>
      <w:proofErr w:type="gramEnd"/>
      <w:r w:rsidRPr="00694FDA">
        <w:rPr>
          <w:rFonts w:eastAsia="宋体"/>
          <w:lang w:eastAsia="zh-CN"/>
        </w:rPr>
        <w:t>500</w:t>
      </w:r>
      <w:r w:rsidRPr="00694FDA">
        <w:rPr>
          <w:rFonts w:eastAsia="宋体"/>
          <w:lang w:eastAsia="zh-CN"/>
        </w:rPr>
        <w:t>期权中这一溢价估计值约为每日</w:t>
      </w:r>
      <w:r w:rsidRPr="00694FDA">
        <w:rPr>
          <w:rFonts w:eastAsia="宋体"/>
          <w:lang w:eastAsia="zh-CN"/>
        </w:rPr>
        <w:t>-5</w:t>
      </w:r>
      <w:r w:rsidRPr="00694FDA">
        <w:rPr>
          <w:rFonts w:eastAsia="宋体"/>
          <w:lang w:eastAsia="zh-CN"/>
        </w:rPr>
        <w:t>个基点。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 xml:space="preserve">  </w:t>
      </w:r>
      <w:r w:rsidRPr="00694FDA">
        <w:rPr>
          <w:rFonts w:eastAsia="宋体"/>
          <w:b/>
          <w:bCs/>
          <w:lang w:eastAsia="zh-CN"/>
        </w:rPr>
        <w:t>学术要点</w:t>
      </w:r>
      <w:r w:rsidRPr="00694FDA">
        <w:rPr>
          <w:rFonts w:eastAsia="宋体"/>
          <w:b/>
          <w:bCs/>
          <w:lang w:eastAsia="zh-CN"/>
        </w:rPr>
        <w:t xml:space="preserve"> 2</w:t>
      </w:r>
      <w:r w:rsidRPr="00694FDA">
        <w:rPr>
          <w:rFonts w:eastAsia="宋体"/>
          <w:b/>
          <w:bCs/>
          <w:lang w:eastAsia="zh-CN"/>
        </w:rPr>
        <w:t>：非单调的期权回报与行权价关系（</w:t>
      </w:r>
      <w:r w:rsidRPr="00694FDA">
        <w:rPr>
          <w:rFonts w:eastAsia="宋体"/>
          <w:b/>
          <w:bCs/>
          <w:lang w:eastAsia="zh-CN"/>
        </w:rPr>
        <w:t>Nonmonotonic Option Return and Strike Price Relationship</w:t>
      </w:r>
      <w:r w:rsidRPr="00694FDA">
        <w:rPr>
          <w:rFonts w:eastAsia="宋体"/>
          <w:b/>
          <w:bCs/>
          <w:lang w:eastAsia="zh-CN"/>
        </w:rPr>
        <w:t>）</w:t>
      </w:r>
      <w:r w:rsidRPr="00694FDA">
        <w:rPr>
          <w:rFonts w:eastAsia="宋体"/>
          <w:lang w:eastAsia="zh-CN"/>
        </w:rPr>
        <w:br/>
      </w:r>
      <w:r w:rsidRPr="00694FDA">
        <w:rPr>
          <w:rFonts w:eastAsia="宋体"/>
          <w:lang w:eastAsia="zh-CN"/>
        </w:rPr>
        <w:t>研究发现</w:t>
      </w:r>
      <w:proofErr w:type="gramStart"/>
      <w:r w:rsidRPr="00694FDA">
        <w:rPr>
          <w:rFonts w:eastAsia="宋体"/>
          <w:lang w:eastAsia="zh-CN"/>
        </w:rPr>
        <w:t>深度虚值看涨</w:t>
      </w:r>
      <w:proofErr w:type="gramEnd"/>
      <w:r w:rsidRPr="00694FDA">
        <w:rPr>
          <w:rFonts w:eastAsia="宋体"/>
          <w:lang w:eastAsia="zh-CN"/>
        </w:rPr>
        <w:t>期权的平均回报为负，挑战了</w:t>
      </w:r>
      <w:r w:rsidRPr="00694FDA">
        <w:rPr>
          <w:rFonts w:eastAsia="宋体"/>
          <w:lang w:eastAsia="zh-CN"/>
        </w:rPr>
        <w:t>Black-Scholes</w:t>
      </w:r>
      <w:r w:rsidRPr="00694FDA">
        <w:rPr>
          <w:rFonts w:eastAsia="宋体"/>
          <w:lang w:eastAsia="zh-CN"/>
        </w:rPr>
        <w:t>模型的单调增长假设。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 xml:space="preserve">  </w:t>
      </w:r>
      <w:r w:rsidRPr="00694FDA">
        <w:rPr>
          <w:rFonts w:eastAsia="宋体"/>
          <w:b/>
          <w:bCs/>
          <w:lang w:eastAsia="zh-CN"/>
        </w:rPr>
        <w:t>学术要点</w:t>
      </w:r>
      <w:r w:rsidRPr="00694FDA">
        <w:rPr>
          <w:rFonts w:eastAsia="宋体"/>
          <w:b/>
          <w:bCs/>
          <w:lang w:eastAsia="zh-CN"/>
        </w:rPr>
        <w:t xml:space="preserve"> 3</w:t>
      </w:r>
      <w:r w:rsidRPr="00694FDA">
        <w:rPr>
          <w:rFonts w:eastAsia="宋体"/>
          <w:b/>
          <w:bCs/>
          <w:lang w:eastAsia="zh-CN"/>
        </w:rPr>
        <w:t>：微观结构偏差的影响（</w:t>
      </w:r>
      <w:r w:rsidRPr="00694FDA">
        <w:rPr>
          <w:rFonts w:eastAsia="宋体"/>
          <w:b/>
          <w:bCs/>
          <w:lang w:eastAsia="zh-CN"/>
        </w:rPr>
        <w:t>Impact of Microstructure Biases</w:t>
      </w:r>
      <w:r w:rsidRPr="00694FDA">
        <w:rPr>
          <w:rFonts w:eastAsia="宋体"/>
          <w:b/>
          <w:bCs/>
          <w:lang w:eastAsia="zh-CN"/>
        </w:rPr>
        <w:t>）</w:t>
      </w:r>
      <w:r w:rsidRPr="00694FDA">
        <w:rPr>
          <w:rFonts w:eastAsia="宋体"/>
          <w:lang w:eastAsia="zh-CN"/>
        </w:rPr>
        <w:br/>
      </w:r>
      <w:r w:rsidRPr="00694FDA">
        <w:rPr>
          <w:rFonts w:eastAsia="宋体"/>
          <w:lang w:eastAsia="zh-CN"/>
        </w:rPr>
        <w:t>数据测量误差如报价价差和交易量不均显著影响期权回报的估计，研究提出了偏差校正方法以提高可靠性。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 xml:space="preserve">  </w:t>
      </w:r>
      <w:r w:rsidRPr="00694FDA">
        <w:rPr>
          <w:rFonts w:eastAsia="宋体"/>
          <w:b/>
          <w:bCs/>
          <w:lang w:eastAsia="zh-CN"/>
        </w:rPr>
        <w:t>学术要点</w:t>
      </w:r>
      <w:r w:rsidRPr="00694FDA">
        <w:rPr>
          <w:rFonts w:eastAsia="宋体"/>
          <w:b/>
          <w:bCs/>
          <w:lang w:eastAsia="zh-CN"/>
        </w:rPr>
        <w:t xml:space="preserve"> 4</w:t>
      </w:r>
      <w:r w:rsidRPr="00694FDA">
        <w:rPr>
          <w:rFonts w:eastAsia="宋体"/>
          <w:b/>
          <w:bCs/>
          <w:lang w:eastAsia="zh-CN"/>
        </w:rPr>
        <w:t>：方差风险溢价的实证估计（</w:t>
      </w:r>
      <w:r w:rsidRPr="00694FDA">
        <w:rPr>
          <w:rFonts w:eastAsia="宋体"/>
          <w:b/>
          <w:bCs/>
          <w:lang w:eastAsia="zh-CN"/>
        </w:rPr>
        <w:t>Empirical Estimation of Variance Risk Premium, VRP</w:t>
      </w:r>
      <w:r w:rsidRPr="00694FDA">
        <w:rPr>
          <w:rFonts w:eastAsia="宋体"/>
          <w:b/>
          <w:bCs/>
          <w:lang w:eastAsia="zh-CN"/>
        </w:rPr>
        <w:t>）</w:t>
      </w:r>
      <w:r w:rsidRPr="00694FDA">
        <w:rPr>
          <w:rFonts w:eastAsia="宋体"/>
          <w:lang w:eastAsia="zh-CN"/>
        </w:rPr>
        <w:br/>
      </w:r>
      <w:r w:rsidRPr="00694FDA">
        <w:rPr>
          <w:rFonts w:eastAsia="宋体"/>
          <w:lang w:eastAsia="zh-CN"/>
        </w:rPr>
        <w:t>通过计算实际方差与无模型隐含方差的差异，估计得出个人股票期权的方差风险溢价为</w:t>
      </w:r>
      <w:r w:rsidRPr="00694FDA">
        <w:rPr>
          <w:rFonts w:eastAsia="宋体"/>
          <w:lang w:eastAsia="zh-CN"/>
        </w:rPr>
        <w:t>-1.6%</w:t>
      </w:r>
      <w:r w:rsidRPr="00694FDA">
        <w:rPr>
          <w:rFonts w:eastAsia="宋体"/>
          <w:lang w:eastAsia="zh-CN"/>
        </w:rPr>
        <w:t>。</w:t>
      </w:r>
    </w:p>
    <w:p w:rsidR="00694FDA" w:rsidRPr="00694FDA" w:rsidRDefault="00694FDA" w:rsidP="00694FDA">
      <w:pPr>
        <w:rPr>
          <w:rFonts w:eastAsia="宋体"/>
          <w:lang w:eastAsia="zh-CN"/>
        </w:rPr>
      </w:pPr>
      <w:r w:rsidRPr="00694FDA">
        <w:rPr>
          <w:rFonts w:eastAsia="宋体"/>
          <w:lang w:eastAsia="zh-CN"/>
        </w:rPr>
        <w:t xml:space="preserve">  </w:t>
      </w:r>
      <w:r w:rsidRPr="00694FDA">
        <w:rPr>
          <w:rFonts w:eastAsia="宋体"/>
          <w:b/>
          <w:bCs/>
          <w:lang w:eastAsia="zh-CN"/>
        </w:rPr>
        <w:t>学术要点</w:t>
      </w:r>
      <w:r w:rsidRPr="00694FDA">
        <w:rPr>
          <w:rFonts w:eastAsia="宋体"/>
          <w:b/>
          <w:bCs/>
          <w:lang w:eastAsia="zh-CN"/>
        </w:rPr>
        <w:t xml:space="preserve"> 5</w:t>
      </w:r>
      <w:r w:rsidRPr="00694FDA">
        <w:rPr>
          <w:rFonts w:eastAsia="宋体"/>
          <w:b/>
          <w:bCs/>
          <w:lang w:eastAsia="zh-CN"/>
        </w:rPr>
        <w:t>：深度</w:t>
      </w:r>
      <w:proofErr w:type="gramStart"/>
      <w:r w:rsidRPr="00694FDA">
        <w:rPr>
          <w:rFonts w:eastAsia="宋体"/>
          <w:b/>
          <w:bCs/>
          <w:lang w:eastAsia="zh-CN"/>
        </w:rPr>
        <w:t>虚值期权</w:t>
      </w:r>
      <w:proofErr w:type="gramEnd"/>
      <w:r w:rsidRPr="00694FDA">
        <w:rPr>
          <w:rFonts w:eastAsia="宋体"/>
          <w:b/>
          <w:bCs/>
          <w:lang w:eastAsia="zh-CN"/>
        </w:rPr>
        <w:t>的研究价值（</w:t>
      </w:r>
      <w:r w:rsidRPr="00694FDA">
        <w:rPr>
          <w:rFonts w:eastAsia="宋体"/>
          <w:b/>
          <w:bCs/>
          <w:lang w:eastAsia="zh-CN"/>
        </w:rPr>
        <w:t>Value of Deep OTM Options in Analysis</w:t>
      </w:r>
      <w:r w:rsidRPr="00694FDA">
        <w:rPr>
          <w:rFonts w:eastAsia="宋体"/>
          <w:b/>
          <w:bCs/>
          <w:lang w:eastAsia="zh-CN"/>
        </w:rPr>
        <w:t>）</w:t>
      </w:r>
      <w:r w:rsidRPr="00694FDA">
        <w:rPr>
          <w:rFonts w:eastAsia="宋体"/>
          <w:lang w:eastAsia="zh-CN"/>
        </w:rPr>
        <w:br/>
      </w:r>
      <w:r w:rsidRPr="00694FDA">
        <w:rPr>
          <w:rFonts w:eastAsia="宋体"/>
          <w:lang w:eastAsia="zh-CN"/>
        </w:rPr>
        <w:t>深度</w:t>
      </w:r>
      <w:proofErr w:type="gramStart"/>
      <w:r w:rsidRPr="00694FDA">
        <w:rPr>
          <w:rFonts w:eastAsia="宋体"/>
          <w:lang w:eastAsia="zh-CN"/>
        </w:rPr>
        <w:t>虚值期权</w:t>
      </w:r>
      <w:proofErr w:type="gramEnd"/>
      <w:r w:rsidRPr="00694FDA">
        <w:rPr>
          <w:rFonts w:eastAsia="宋体"/>
          <w:lang w:eastAsia="zh-CN"/>
        </w:rPr>
        <w:t>对波动率风险的价格非常敏感，在估计波动率溢价时提供了独特的洞察，但这些期权在传统研究中通常被忽视。</w:t>
      </w:r>
    </w:p>
    <w:p w:rsidR="00694FDA" w:rsidRPr="00694FDA" w:rsidRDefault="00694FDA" w:rsidP="00694FDA">
      <w:pPr>
        <w:rPr>
          <w:rFonts w:eastAsia="宋体"/>
          <w:lang w:eastAsia="zh-CN"/>
        </w:rPr>
      </w:pPr>
    </w:p>
    <w:sectPr w:rsidR="00694FDA" w:rsidRPr="00694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2970631">
    <w:abstractNumId w:val="8"/>
  </w:num>
  <w:num w:numId="2" w16cid:durableId="35400413">
    <w:abstractNumId w:val="6"/>
  </w:num>
  <w:num w:numId="3" w16cid:durableId="898443779">
    <w:abstractNumId w:val="5"/>
  </w:num>
  <w:num w:numId="4" w16cid:durableId="837228630">
    <w:abstractNumId w:val="4"/>
  </w:num>
  <w:num w:numId="5" w16cid:durableId="1024474747">
    <w:abstractNumId w:val="7"/>
  </w:num>
  <w:num w:numId="6" w16cid:durableId="491067476">
    <w:abstractNumId w:val="3"/>
  </w:num>
  <w:num w:numId="7" w16cid:durableId="1285624588">
    <w:abstractNumId w:val="2"/>
  </w:num>
  <w:num w:numId="8" w16cid:durableId="134681883">
    <w:abstractNumId w:val="1"/>
  </w:num>
  <w:num w:numId="9" w16cid:durableId="355273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793"/>
    <w:rsid w:val="00326F90"/>
    <w:rsid w:val="00367E1C"/>
    <w:rsid w:val="00694FDA"/>
    <w:rsid w:val="008F6EDB"/>
    <w:rsid w:val="00A72B7A"/>
    <w:rsid w:val="00AA1D8D"/>
    <w:rsid w:val="00B47730"/>
    <w:rsid w:val="00BF73B2"/>
    <w:rsid w:val="00CB0664"/>
    <w:rsid w:val="00F259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3E6062F-2C8C-4677-B6EE-83A7D9C2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巧云 雷</cp:lastModifiedBy>
  <cp:revision>4</cp:revision>
  <dcterms:created xsi:type="dcterms:W3CDTF">2013-12-23T23:15:00Z</dcterms:created>
  <dcterms:modified xsi:type="dcterms:W3CDTF">2024-11-21T02:21:00Z</dcterms:modified>
  <cp:category/>
</cp:coreProperties>
</file>