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标题：Crisis Interventions in Corporate Insolvency</w:t>
      </w:r>
    </w:p>
    <w:p>
      <w:r>
        <w:t>作者及机构:</w:t>
      </w:r>
    </w:p>
    <w:p>
      <w:r>
        <w:t xml:space="preserve">SAMUEL ANTILL: </w:t>
      </w:r>
    </w:p>
    <w:p>
      <w:r>
        <w:t xml:space="preserve">CHRISTOPHER CLAYTON: </w:t>
      </w:r>
    </w:p>
    <w:p>
      <w:r>
        <w:t>摘要: We model the optimal resolution of insolvent firms in general equilibrium. Collateral-constrained banks lend to (i) solvent firms to finance investments and (ii) distressed firms to avoid liquidation. Liquidations create negative fire-sale externalities. Liquidations also relieve bank balance–sheet congestion, enabling new firm loans that generate positive collateral externalities by lowering bank borrowing rates. Socially optimal interventions encourage liquidation when firms have high operating losses, high leverage, or low productivity. Surprisingly, larger fire sales promote interventions encouraging more liquidations. We study synergies between insolvency interventions and macroprudential regulation, bailouts, deferred loss recognition, and debt subordination. Our model elucidates historical crisis interventions.</w:t>
      </w:r>
    </w:p>
    <w:p>
      <w:r>
        <w:t>AI标题: 清算补贴反成最优解：抵押品外部性重构破产干预策略</w:t>
      </w:r>
    </w:p>
    <w:p>
      <w:r>
        <w:t>AI精炼: **企业破产中的危机干预：平衡清算与重组的艺术**  这篇由经济学家团队发表于金融学顶刊的论文，探讨了一个经典的政策难题：当企业陷入破产危机时，政府究竟该推动资产清算还是支持重组？传统观点认为应避免清算带来的资产贱卖（Fire-sale）负外部性，但作者通过构建两期一般均衡模型，揭示了被忽视的"抵押品外部性"——重组反而可能挤占银行资金，推高全市场融资成本。  研究突破性地将银行抵押约束、资产抛售效应与信贷市场联动纳入统一框架。模型显示：当企业运营亏损严重、杠杆率高或生产率低下时，社会最优解竟是补贴清算！因为此时释放银行资金用于健康企业，通过降低利率产生的正外部性，远超资产贱卖损失。更反直觉的是，当贱卖折扣越大，政策反而更应鼓励清算——边际成本下降使资金再配置收益凸显。  作者进一步将破产干预与宏观审慎监管、纾困政策联动分析，发现银行救助比企业直接注资更有效（因存在抵押乘数效应），而事前资本监管需精准对冲抵押品外部性。该模型为日本2000年代"竹中计划"清算补贴与美国新冠期间重组支持提供了统一解释框架：前者应对长期低效企业，后者针对暂时流动性危机。这项研究为危机政策工具箱提供了动态权衡指南，重新定义了"太大不能倒"的决策边界。</w:t>
      </w:r>
    </w:p>
    <w:p>
      <w:r>
        <w:t>关键词:</w:t>
      </w:r>
    </w:p>
    <w:p>
      <w:r>
        <w:t>两期一般均衡模型</w:t>
      </w:r>
    </w:p>
    <w:p>
      <w:r>
        <w:t>抵押品外部性</w:t>
      </w:r>
    </w:p>
    <w:p>
      <w:r>
        <w:t>银行抵押约束</w:t>
      </w:r>
    </w:p>
    <w:p>
      <w:r>
        <w:t>清算补贴机制</w:t>
      </w:r>
    </w:p>
    <w:p>
      <w:r>
        <w:t>资产贱卖效应</w:t>
      </w:r>
    </w:p>
    <w:p>
      <w:r>
        <w:t>信贷市场联动</w:t>
      </w:r>
    </w:p>
    <w:p>
      <w:r>
        <w:t>宏观审慎监管</w:t>
      </w:r>
    </w:p>
    <w:p>
      <w:r>
        <w:t>纾困政策乘数</w:t>
      </w:r>
    </w:p>
    <w:p>
      <w:r>
        <w:t>学术要点: 学术要点 1：抛售外部性（Fire-Sale Externality） 指破产资产清算引发的价格螺旋下跌效应，通过降低抵押品价值加剧系统性风险，其边际成本与银行资金的社会边际价值直接相关。|||</w:t>
        <w:br/>
        <w:t>学术要点 2：抵押外部性（Collateral Externality） 银行重组决策通过改变信贷市场利率产生的网络效应，重组行为会占用贷款资源推高市场利率，导致其他银行抵押品价值重估的负反馈机制。|||</w:t>
        <w:br/>
        <w:t>学术要点 3：有效回报乘数（Effective Return Multiplier） 社会规划者与私人银行在资金使用效率上的差异系数，反映银行新增贷款通过抵押再融资产生的乘数放大效应，由初始债务规模与抵押折扣率共同决定。|||</w:t>
        <w:br/>
        <w:t>学术要点 4：非收入中性清算补贴（Non-Revenue-Neutral Liquidation Subsidies） 兼具资本重组与激励修正双重功能的政策工具，通过转移支付同时缓解银行抵押约束并修正清算阈值，优于无条件救助的特殊干预形式。|||</w:t>
        <w:br/>
        <w:t>学术要点 5：债权人功能分置（Creditor Seniority Bifurcation） 在银行异质性情境下，规划者依据抵押折扣率将银行分为清算银行与重组银行，通过优先权结构调整实现系统性抵押价值最大化的分配机制。</w:t>
      </w:r>
    </w:p>
    <w:p>
      <w:r>
        <w:t>原文链接: https://doi.org/10.1111/jofi.13421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