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标题：Insider Trading Restrictions and Informed Trading in Peer Stocks</w:t>
      </w:r>
    </w:p>
    <w:p>
      <w:r>
        <w:t>作者及机构:</w:t>
      </w:r>
    </w:p>
    <w:p>
      <w:r>
        <w:t>Prachi   Deuskar: Finance Area, Indian School of Business, Hyderabad 500111, India</w:t>
      </w:r>
    </w:p>
    <w:p>
      <w:r>
        <w:t>Aditi   Khatri: Cornerstone Research, New York, New York 10022</w:t>
      </w:r>
    </w:p>
    <w:p>
      <w:r>
        <w:t>Jayanthi   Sunder: Dhaliwal-Reidy School of Accountancy, University of Arizona, Tucson, Arizona 85721</w:t>
      </w:r>
    </w:p>
    <w:p>
      <w:r>
        <w:t>摘要: Using a uniquely constructed data set of trades by corporate insiders in all stocks, we find that, after insider trading regulations become stricter, insiders are 20% more likely to trade in peer stocks and that such trades become more profitable. The increase in both the probability and profitability of peer-stock trades is driven by the insider’s information that is fungible to industry peers. Stricter insider trading laws are designed to improve liquidity and price informativeness in capital markets. We show that peer trading dampens these intended benefits of the insider trading regulation.</w:t>
      </w:r>
    </w:p>
    <w:p>
      <w:r>
        <w:t>AI标题: 内幕监管收紧催生跨市套利：行业信息可替代性削弱流动性改善</w:t>
      </w:r>
    </w:p>
    <w:p>
      <w:r>
        <w:t>AI精炼: 这篇由Agarwal等人撰写的论文聚焦金融市场监管领域，探讨了内幕交易法规严格化对市场行为的意外后果。研究核心问题是：当法律限制内部人交易自家股票时，他们是否会转向交易同行股票以规避监管，从而削弱政策效果？此前研究多关注法规对自家股票交易的直接影响，但作者首次系统性揭示了“同行股票替代效应”的存在。为验证假设，作者创新性地构建了印度孟买证券交易所（BSE）2012-2017年的独特数据集，通过匿名交易者ID将内部人申报交易与实际交易记录精准匹配，追踪到943名内部人超过17,000笔交易。利用印度2015年《内幕交易禁止条例》作为自然实验，研究发现：法规实施后内部人交易自家股票概率下降22%，而同行股票交易概率上升20%，且后者盈利性显著提高。这种转移效应在行业关联性强、信息可替代性高的股票中尤为明显。通过流动性指标（Amihud测度）和价格信息含量分析，证实同行交易削弱了法规预期的市场流动性改善和价格发现功能。该研究突破性地揭示了监管套利行为对政策效果的抵消作用，为平衡市场公平与信息效率的监管设计提供了重要实证依据。</w:t>
      </w:r>
    </w:p>
    <w:p>
      <w:r>
        <w:t>关键词:</w:t>
      </w:r>
    </w:p>
    <w:p>
      <w:r>
        <w:t>信息可替代性</w:t>
      </w:r>
    </w:p>
    <w:p>
      <w:r>
        <w:t>行业联动效应</w:t>
      </w:r>
    </w:p>
    <w:p>
      <w:r>
        <w:t>未公开价格敏感信息（UPSI）</w:t>
      </w:r>
    </w:p>
    <w:p>
      <w:r>
        <w:t>流动性改善效应</w:t>
      </w:r>
    </w:p>
    <w:p>
      <w:r>
        <w:t>线性概率模型</w:t>
      </w:r>
    </w:p>
    <w:p>
      <w:r>
        <w:t>DGTW调整回报</w:t>
      </w:r>
    </w:p>
    <w:p>
      <w:r>
        <w:t>价格信息含量</w:t>
      </w:r>
    </w:p>
    <w:p>
      <w:r>
        <w:t>交易黑窗期</w:t>
      </w:r>
    </w:p>
    <w:p>
      <w:r>
        <w:t>学术要点: 学术要点 1：信息可替代性（Fungible Information） 指内幕信息在行业同行股票间的跨公司适用性，使内幕人员可利用行业层面的私有信息进行跨股票套利。|||</w:t>
        <w:br/>
        <w:t>学术要点 2：同步性度量（Comovement Measure） 通过股票收益率与行业收益率的同步性指标，量化信息可替代性的实施路径，反映行业信息在跨公司交易中的可迁移程度。|||</w:t>
        <w:br/>
        <w:t>学术要点 3：匿名交易标识符（Anonymized Trader IDs） 通过经纪商-客户ID对追踪同一交易者跨股票交易行为的技术方法，突破传统内幕交易数据仅披露本公司交易的局限。|||</w:t>
        <w:br/>
        <w:t>学术要点 4：交易计划（Trading Plans） 印度新规允许持续接触未公开信息的内幕人员预先申报交易策略的制度设计，形成监管漏洞下的替代性交易通道。|||</w:t>
        <w:br/>
        <w:t>学术要点 5：法律风险转移（Burden of Proof Shift） 印度2015年新规将举证责任倒置于内幕人员（仅限本公司交易），形成"本公司交易-同行交易"的差异化监管套利空间。</w:t>
      </w:r>
    </w:p>
    <w:p>
      <w:r>
        <w:t>原文链接: https://doi.org/10.1287/mnsc.2022.02907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