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标题：On the Robustness of Idiosyncratic Volatility Effect</w:t>
      </w:r>
    </w:p>
    <w:p>
      <w:r>
        <w:t>作者及机构:</w:t>
      </w:r>
    </w:p>
    <w:p>
      <w:r>
        <w:t>Alexander   Barinov: School of Business, University of California Riverside, Riverside, California 92521</w:t>
      </w:r>
    </w:p>
    <w:p>
      <w:r>
        <w:t>摘要: The idiosyncratic volatility (IVol) effect is robust to restricting the sample to New York Stock Exchange (NYSE) firms (once the proper listing indicator is used) and to excluding from the sample small, illiquid, and low-price stocks. The idiosyncratic volatility effect is also unlikely to stem from the short-run reversal, as the IVol effect stays significant for about six months and seems stronger for high turnover firms, which do not exhibit short-term reversal. The IVol effect also does not seem to weaken postpublication.</w:t>
      </w:r>
    </w:p>
    <w:p>
      <w:r>
        <w:t>AI标题: 异质波动率效应争议终结：NYSE样本偏差修正实证策略稳健性</w:t>
      </w:r>
    </w:p>
    <w:p>
      <w:r>
        <w:t>AI精炼: 这篇金融学论文挑战了学界对“异质波动率（IVol）效应”稳健性的质疑。传统观点认为高IVol股票应获正收益，但Ang等（2006）发现其月均收益反比低IVol股票低1%。然而，Bali与Cakici（2008）指出该效应在NYSE样本及剔除小盘/低流动性股票后消失，Huang等（2010）则认为其仅是短期反转效应的伪装。作者通过三项关键分析推翻质疑：首先，发现Bali研究中因使用错误上市交易所指标（hexcd而非历史指标exchcd）导致样本偏差——高IVol股票因业绩波动更易被误纳入或排除，纠正后NYSE样本的IVol效应强度恢复至全样本水平；其次，证明剔除小盘股时的分位数断点偏移导致误判，调整后效应依然显著；最后，通过延长持有期发现IVol效应持续约6个月，且在高换手率股票中更强（与短期反转预期相悖），并验证2005-2022年后发布样本中效应未衰减。研究证实IVol效应具有独立性和持续性，可能源于风险补偿而非市场定价错误。</w:t>
      </w:r>
    </w:p>
    <w:p>
      <w:r>
        <w:t>关键词:</w:t>
      </w:r>
    </w:p>
    <w:p>
      <w:r>
        <w:t>异质波动率效应</w:t>
      </w:r>
    </w:p>
    <w:p>
      <w:r>
        <w:t>NYSE样本偏差修正</w:t>
      </w:r>
    </w:p>
    <w:p>
      <w:r>
        <w:t>历史上市指标(exchcd)</w:t>
      </w:r>
    </w:p>
    <w:p>
      <w:r>
        <w:t>分位数断点偏移</w:t>
      </w:r>
    </w:p>
    <w:p>
      <w:r>
        <w:t>短期反转效应</w:t>
      </w:r>
    </w:p>
    <w:p>
      <w:r>
        <w:t>风险补偿模型</w:t>
      </w:r>
    </w:p>
    <w:p>
      <w:r>
        <w:t>五因子Fama-French模型</w:t>
      </w:r>
    </w:p>
    <w:p>
      <w:r>
        <w:t>换手率分层分析</w:t>
      </w:r>
    </w:p>
    <w:p>
      <w:r>
        <w:t>学术要点: 学术要点 1：历史交易所标识符（Historical Exchange Indicator） 使用CRSP事件文件中的exchcd而非当前交易所标识符hexcd，可避免因企业后续交易所迁移导致的样本选择偏差，是复现NYSE子样本中异质波动率效应的关键。|||</w:t>
        <w:br/>
        <w:t>学术要点 2：分位数断点偏移（Quintile Breakpoint Shift） 在剔除小盘/低流动性股票后重新计算分位数断点，会导致高IVol组合被第四分位股票污染，该现象解释Bali and Cakici研究中IVol效应消失的假象。|||</w:t>
        <w:br/>
        <w:t>学术要点 3：事件时间持续性（Event-Time Persistence） IVol效应在组合形成后持续约6个月，与短期反转（仅持续1-2个月）形成机制分离，通过持有期分析验证策略可交易性。|||</w:t>
        <w:br/>
        <w:t>学术要点 4：后发布样本稳健性（Post-Publication Robustness） 2005-2022年样本中IVol效应未衰减，反驳"发表效应"假说，支持其风险定价本质而非数据挖掘结果。|||</w:t>
        <w:br/>
        <w:t>学术要点 5：RMW因子重叠（RMW Factor Overlap） Fama-French盈利能力因子（RMW）解释约70%的IVol效应，反映高IVol企业多属低盈利能力群体，与Barinov的波动率风险理论形成实证衔接。</w:t>
      </w:r>
    </w:p>
    <w:p>
      <w:r>
        <w:t>原文链接: https://doi.org/10.1287/mnsc.2022.04140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