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标题：The Effect of Dispersion on the Informativeness of Consensus Analyst Target Prices</w:t>
      </w:r>
    </w:p>
    <w:p>
      <w:r>
        <w:t>作者及机构:</w:t>
      </w:r>
    </w:p>
    <w:p>
      <w:r>
        <w:t>Asa B.   Palley: Operations, Indiana University, Bloomington, Indiana 47405</w:t>
      </w:r>
    </w:p>
    <w:p>
      <w:r>
        <w:t>Thomas D.   Steffen: Accounting, Yale University, New Haven, Connecticut 06520</w:t>
      </w:r>
    </w:p>
    <w:p>
      <w:r>
        <w:t>X. Frank   Zhang: Accounting, Yale University, New Haven, Connecticut 06520</w:t>
      </w:r>
    </w:p>
    <w:p>
      <w:r>
        <w:t>摘要: Consensus analyst target prices are widely available online at no cost to investors. In this paper, we examine how the amount of dispersion in the individual target prices comprising the consensus affects the predictive association between the consensus target price and future returns. We find that returns implied by consensus target prices and realized future returns are positively correlated when dispersion is low, but they become highly negatively correlated when dispersion is high. Further analyses suggest that the differing effect of dispersion stems from incentive-driven staleness in price targets by some analysts after bad news. As a stock performs poorly and some analysts are slow to update their target prices, dispersion increases, and the consensus target price becomes too high. This has important implications for how consensus analyst target prices should inform investment decisions. We show that a hedge strategy taking a long (short) position in stocks with the highest predicted returns among stocks with the lowest (highest) dispersion earns more than 11% annually. Finally, we show that the negative correlation between consensus-based predicted returns and future realized returns for high-dispersion stocks exists mainly for stocks with high retail interest, suggesting that unsophisticated investors are misled by inflated target prices that are available freely online.</w:t>
      </w:r>
    </w:p>
    <w:p>
      <w:r>
        <w:t>AI标题: 分析师目标价分歧陷阱：高分散组合对冲策略年化11%收益</w:t>
      </w:r>
    </w:p>
    <w:p>
      <w:r>
        <w:t>AI精炼: 【金融预测中的"分歧陷阱"：当分析师目标价成为反向指标】这篇论文揭开了华尔街分析师目标价的一个有趣悖论：看似权威的共识预测竟可能成为投资陷阱！研究团队发现，当多位分析师目标价高度趋同时（低分歧），其共识确实能预示未来股价走势；但若分析师意见分歧较大（高分歧），结果竟出现戏剧性反转——目标价越乐观的股票，后续表现反而越差！传统研究对分析师目标价的预测价值争论不休，本文创新性地引入"意见分歧"这一调节变量，揭示了两种隐藏机制：低分歧反映真实市场共识，而高分歧往往暗藏分析师的人为拖延——当公司遭遇利空时，部分分析师出于维护客户关系等动机，故意延迟下调目标价，导致共识价虚高形成泡沫。通过构建对冲策略（做多低分歧高预测股/做空高分歧高预测股），研究者实现了年化11%的超额收益。更值得警惕的是，这种"高分歧陷阱"对散户杀伤力最大！数据显示，在散户持股比例高、社交媒体热议的股票中，虚高目标价的误导效应尤为显著。这为普通投资者敲响警钟：免费获取的共识目标价可能正是华尔街留给你的甜蜜毒药。</w:t>
      </w:r>
    </w:p>
    <w:p>
      <w:r>
        <w:t>关键词:</w:t>
      </w:r>
    </w:p>
    <w:p>
      <w:r>
        <w:t>目标价分散度(DISP)</w:t>
      </w:r>
    </w:p>
    <w:p>
      <w:r>
        <w:t>预测回报(PRET)</w:t>
      </w:r>
    </w:p>
    <w:p>
      <w:r>
        <w:t>投资组合分析</w:t>
      </w:r>
    </w:p>
    <w:p>
      <w:r>
        <w:t>四因子模型</w:t>
      </w:r>
    </w:p>
    <w:p>
      <w:r>
        <w:t>激励驱动分散</w:t>
      </w:r>
    </w:p>
    <w:p>
      <w:r>
        <w:t>对冲策略</w:t>
      </w:r>
    </w:p>
    <w:p>
      <w:r>
        <w:t>散户投资者影响</w:t>
      </w:r>
    </w:p>
    <w:p>
      <w:r>
        <w:t>意见分歧分散</w:t>
      </w:r>
    </w:p>
    <w:p>
      <w:r>
        <w:t>学术要点: 学术要点 1：激励驱动分散度（Incentive-driven Dispersion） 分析师因利益驱动（如维护客户关系、避免负面评级）导致目标价更新滞后，形成的目标价差异，区别于信息分歧导致的分散。|||</w:t>
        <w:br/>
        <w:t>学术要点 2：目标价格陈旧性（Target Price Staleness） 分析师对负面消息反应迟缓，导致部分目标价未及时更新，造成共识目标价虚高的现象。|||</w:t>
        <w:br/>
        <w:t>学术要点 3：意见分歧驱动分散度（Disagreement-based Dispersion） 分析师基于私有信息差异形成的目标价离散程度，反映对企业价值判断的不确定性。|||</w:t>
        <w:br/>
        <w:t>学术要点 4：零售投资者误导效应（Retail Investor Misguidance） 散户因过度依赖免费共识目标价且忽视分散度指标，导致高分散度高预测回报股票的逆向定价。|||</w:t>
        <w:br/>
        <w:t>学术要点 5：目标价范围替代指标（RANGE Proxy） 用目标价最高值与最低值之差替代标准差，作为分散度的有效代理变量，揭示分析师激励偏差。</w:t>
      </w:r>
    </w:p>
    <w:p>
      <w:r>
        <w:t>原文链接: https://doi.org/10.1287/mnsc.2021.03549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