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4B51" w:rsidRDefault="00000000">
      <w:r>
        <w:t>标题：</w:t>
      </w:r>
      <w:r>
        <w:t>A Comprehensive 2022 Look at the Empirical Performance of Equity Premium Prediction</w:t>
      </w:r>
    </w:p>
    <w:p w:rsidR="007A4B51" w:rsidRDefault="00000000">
      <w:r>
        <w:t>作者及机构：</w:t>
      </w:r>
      <w:r>
        <w:t>Amit Goyal</w:t>
      </w:r>
      <w:r w:rsidR="00266809">
        <w:rPr>
          <w:rFonts w:eastAsia="宋体" w:hint="eastAsia"/>
          <w:lang w:eastAsia="zh-CN"/>
        </w:rPr>
        <w:t xml:space="preserve"> *</w:t>
      </w:r>
      <w:r>
        <w:t>: Swiss Finance Institute,Switzerland</w:t>
      </w:r>
    </w:p>
    <w:p w:rsidR="007A4B51" w:rsidRDefault="00000000">
      <w:r>
        <w:t>Ivo Welch: UCLA Anderson,USA</w:t>
      </w:r>
    </w:p>
    <w:p w:rsidR="007A4B51" w:rsidRDefault="00000000">
      <w:r>
        <w:t>Athanasse Zafirov: No affiliation</w:t>
      </w:r>
    </w:p>
    <w:p w:rsidR="007A4B51" w:rsidRDefault="00000000">
      <w:pPr>
        <w:rPr>
          <w:rFonts w:eastAsia="宋体"/>
          <w:lang w:eastAsia="zh-CN"/>
        </w:rPr>
      </w:pPr>
      <w:r>
        <w:t>摘要：</w:t>
      </w:r>
      <w:r>
        <w:t>Our paper reexamines whether 29 variables from 26 papers published afterGoyal and Welch 2008, as well as the original 17 variables, were useful in predicting the equity premium in-sample and out-of-sample as of the end of 2021. Our samples include the original periods in which these variables were identified, but end later. More than one-third of these new variables no longer have empirical significance even in-sample. Of those that do, half have poor out-of-sample performance. A small number of variables still perform reasonably well both in-sample and out-of-sample.</w:t>
      </w:r>
    </w:p>
    <w:p w:rsidR="0030550C" w:rsidRDefault="0030550C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标题：</w:t>
      </w:r>
      <w:r w:rsidRPr="0030550C">
        <w:rPr>
          <w:rFonts w:eastAsia="宋体"/>
          <w:lang w:eastAsia="zh-CN"/>
        </w:rPr>
        <w:t>"</w:t>
      </w:r>
      <w:r w:rsidRPr="0030550C">
        <w:rPr>
          <w:rFonts w:eastAsia="宋体"/>
          <w:lang w:eastAsia="zh-CN"/>
        </w:rPr>
        <w:t>金融预言者的兴衰：重新审视股权溢价预测变量的真实力量</w:t>
      </w:r>
      <w:r w:rsidRPr="0030550C">
        <w:rPr>
          <w:rFonts w:eastAsia="宋体"/>
          <w:lang w:eastAsia="zh-CN"/>
        </w:rPr>
        <w:t>"</w:t>
      </w:r>
    </w:p>
    <w:p w:rsidR="0030550C" w:rsidRDefault="0030550C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精炼：</w:t>
      </w:r>
      <w:r w:rsidRPr="0030550C">
        <w:rPr>
          <w:rFonts w:eastAsia="宋体"/>
          <w:lang w:eastAsia="zh-CN"/>
        </w:rPr>
        <w:t>本文研究的领域是金融经济学，旨在解决股权溢价预测的问题。自</w:t>
      </w:r>
      <w:r w:rsidRPr="0030550C">
        <w:rPr>
          <w:rFonts w:eastAsia="宋体"/>
          <w:lang w:eastAsia="zh-CN"/>
        </w:rPr>
        <w:t>2008</w:t>
      </w:r>
      <w:r w:rsidRPr="0030550C">
        <w:rPr>
          <w:rFonts w:eastAsia="宋体"/>
          <w:lang w:eastAsia="zh-CN"/>
        </w:rPr>
        <w:t>年</w:t>
      </w:r>
      <w:r w:rsidRPr="0030550C">
        <w:rPr>
          <w:rFonts w:eastAsia="宋体"/>
          <w:lang w:eastAsia="zh-CN"/>
        </w:rPr>
        <w:t>Goyal</w:t>
      </w:r>
      <w:r w:rsidRPr="0030550C">
        <w:rPr>
          <w:rFonts w:eastAsia="宋体"/>
          <w:lang w:eastAsia="zh-CN"/>
        </w:rPr>
        <w:t>和</w:t>
      </w:r>
      <w:r w:rsidRPr="0030550C">
        <w:rPr>
          <w:rFonts w:eastAsia="宋体"/>
          <w:lang w:eastAsia="zh-CN"/>
        </w:rPr>
        <w:t>Welch</w:t>
      </w:r>
      <w:r w:rsidRPr="0030550C">
        <w:rPr>
          <w:rFonts w:eastAsia="宋体"/>
          <w:lang w:eastAsia="zh-CN"/>
        </w:rPr>
        <w:t>的研究以来，众多研究尝试通过各种变量来预测股权溢价，但大部分研究依赖于理论基础较为稳固的变量。然而，尽管这些研究基于强大的理论基础，并在样本内表现出统计显著性，但在样本外的表现通常较差。本文重新审视了</w:t>
      </w:r>
      <w:r w:rsidRPr="0030550C">
        <w:rPr>
          <w:rFonts w:eastAsia="宋体"/>
          <w:lang w:eastAsia="zh-CN"/>
        </w:rPr>
        <w:t>26</w:t>
      </w:r>
      <w:r w:rsidRPr="0030550C">
        <w:rPr>
          <w:rFonts w:eastAsia="宋体"/>
          <w:lang w:eastAsia="zh-CN"/>
        </w:rPr>
        <w:t>篇论文中提出的</w:t>
      </w:r>
      <w:r w:rsidRPr="0030550C">
        <w:rPr>
          <w:rFonts w:eastAsia="宋体"/>
          <w:lang w:eastAsia="zh-CN"/>
        </w:rPr>
        <w:t>29</w:t>
      </w:r>
      <w:r w:rsidRPr="0030550C">
        <w:rPr>
          <w:rFonts w:eastAsia="宋体"/>
          <w:lang w:eastAsia="zh-CN"/>
        </w:rPr>
        <w:t>个变量，使用简单的预测框架和最小二乘法回归分析，对这些变量进行了实证检验。研究发现，超过三分之一的变量在样本内已失去预测效力，且在样本外表现不佳，仅有少数变量能够在两个样本中表现良好。本文的方法突出了对先前研究的系统复现和扩展样本的重要性，揭示了金融市场预测变量的时变特性和不稳定性。</w:t>
      </w:r>
    </w:p>
    <w:p w:rsidR="0030550C" w:rsidRDefault="0030550C" w:rsidP="0030550C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关键字【数据库使用】：</w:t>
      </w:r>
      <w:r w:rsidRPr="0030550C">
        <w:rPr>
          <w:rFonts w:eastAsia="宋体"/>
          <w:lang w:eastAsia="zh-CN"/>
        </w:rPr>
        <w:t>股权溢价预测</w:t>
      </w:r>
      <w:r w:rsidRPr="0030550C">
        <w:rPr>
          <w:rFonts w:eastAsia="宋体"/>
          <w:lang w:eastAsia="zh-CN"/>
        </w:rPr>
        <w:t xml:space="preserve">  </w:t>
      </w:r>
      <w:r w:rsidRPr="0030550C">
        <w:rPr>
          <w:rFonts w:eastAsia="宋体"/>
          <w:lang w:eastAsia="zh-CN"/>
        </w:rPr>
        <w:t>样本内外表现</w:t>
      </w:r>
      <w:r w:rsidRPr="0030550C">
        <w:rPr>
          <w:rFonts w:eastAsia="宋体"/>
          <w:lang w:eastAsia="zh-CN"/>
        </w:rPr>
        <w:t xml:space="preserve">  </w:t>
      </w:r>
      <w:r w:rsidRPr="0030550C">
        <w:rPr>
          <w:rFonts w:eastAsia="宋体"/>
          <w:lang w:eastAsia="zh-CN"/>
        </w:rPr>
        <w:t>统计显著性</w:t>
      </w:r>
      <w:r w:rsidRPr="0030550C">
        <w:rPr>
          <w:rFonts w:eastAsia="宋体"/>
          <w:lang w:eastAsia="zh-CN"/>
        </w:rPr>
        <w:t xml:space="preserve">  </w:t>
      </w:r>
      <w:r w:rsidRPr="0030550C">
        <w:rPr>
          <w:rFonts w:eastAsia="宋体"/>
          <w:lang w:eastAsia="zh-CN"/>
        </w:rPr>
        <w:t>金融市场</w:t>
      </w:r>
      <w:r w:rsidRPr="0030550C">
        <w:rPr>
          <w:rFonts w:eastAsia="宋体"/>
          <w:lang w:eastAsia="zh-CN"/>
        </w:rPr>
        <w:t xml:space="preserve">  </w:t>
      </w:r>
      <w:r w:rsidRPr="0030550C">
        <w:rPr>
          <w:rFonts w:eastAsia="宋体"/>
          <w:lang w:eastAsia="zh-CN"/>
        </w:rPr>
        <w:t>变量失效</w:t>
      </w:r>
      <w:r w:rsidRPr="0030550C">
        <w:rPr>
          <w:rFonts w:eastAsia="宋体"/>
          <w:lang w:eastAsia="zh-CN"/>
        </w:rPr>
        <w:t xml:space="preserve">  </w:t>
      </w:r>
      <w:r w:rsidRPr="0030550C">
        <w:rPr>
          <w:rFonts w:eastAsia="宋体"/>
          <w:lang w:eastAsia="zh-CN"/>
        </w:rPr>
        <w:t>最小二乘法回归</w:t>
      </w:r>
      <w:r w:rsidRPr="0030550C">
        <w:rPr>
          <w:rFonts w:eastAsia="宋体"/>
          <w:lang w:eastAsia="zh-CN"/>
        </w:rPr>
        <w:t xml:space="preserve">  </w:t>
      </w:r>
      <w:r w:rsidRPr="0030550C">
        <w:rPr>
          <w:rFonts w:eastAsia="宋体"/>
          <w:lang w:eastAsia="zh-CN"/>
        </w:rPr>
        <w:t>时变特性</w:t>
      </w:r>
    </w:p>
    <w:p w:rsidR="0030550C" w:rsidRDefault="0030550C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学术要点：</w:t>
      </w:r>
    </w:p>
    <w:p w:rsidR="00F6224A" w:rsidRPr="00F6224A" w:rsidRDefault="00F6224A" w:rsidP="00F6224A">
      <w:pPr>
        <w:rPr>
          <w:rFonts w:eastAsia="宋体"/>
          <w:lang w:eastAsia="zh-CN"/>
        </w:rPr>
      </w:pPr>
      <w:r w:rsidRPr="00F6224A">
        <w:rPr>
          <w:rFonts w:eastAsia="宋体"/>
          <w:lang w:eastAsia="zh-CN"/>
        </w:rPr>
        <w:t xml:space="preserve">  </w:t>
      </w:r>
      <w:r w:rsidRPr="00F6224A">
        <w:rPr>
          <w:rFonts w:eastAsia="宋体"/>
          <w:lang w:eastAsia="zh-CN"/>
        </w:rPr>
        <w:t>学术要点</w:t>
      </w:r>
      <w:r w:rsidRPr="00F6224A">
        <w:rPr>
          <w:rFonts w:eastAsia="宋体"/>
          <w:lang w:eastAsia="zh-CN"/>
        </w:rPr>
        <w:t xml:space="preserve"> 1</w:t>
      </w:r>
      <w:r w:rsidRPr="00F6224A">
        <w:rPr>
          <w:rFonts w:eastAsia="宋体"/>
          <w:lang w:eastAsia="zh-CN"/>
        </w:rPr>
        <w:t>：方差风险溢价（</w:t>
      </w:r>
      <w:r w:rsidRPr="00F6224A">
        <w:rPr>
          <w:rFonts w:eastAsia="宋体"/>
          <w:lang w:eastAsia="zh-CN"/>
        </w:rPr>
        <w:t>Variance Risk Premium, VRP</w:t>
      </w:r>
      <w:r w:rsidRPr="00F6224A">
        <w:rPr>
          <w:rFonts w:eastAsia="宋体"/>
          <w:lang w:eastAsia="zh-CN"/>
        </w:rPr>
        <w:t>）</w:t>
      </w:r>
      <w:r w:rsidRPr="00F6224A">
        <w:rPr>
          <w:rFonts w:eastAsia="宋体"/>
          <w:lang w:eastAsia="zh-CN"/>
        </w:rPr>
        <w:br/>
      </w:r>
      <w:r w:rsidRPr="00F6224A">
        <w:rPr>
          <w:rFonts w:eastAsia="宋体"/>
          <w:lang w:eastAsia="zh-CN"/>
        </w:rPr>
        <w:t>方差风险溢价反映了投资者为承担额外风险所要求的回报，计算为实际市场波动率与其风险中性预期之间的差值。</w:t>
      </w:r>
    </w:p>
    <w:p w:rsidR="00F6224A" w:rsidRPr="00F6224A" w:rsidRDefault="00F6224A" w:rsidP="00F6224A">
      <w:pPr>
        <w:rPr>
          <w:rFonts w:eastAsia="宋体"/>
          <w:lang w:eastAsia="zh-CN"/>
        </w:rPr>
      </w:pPr>
      <w:r w:rsidRPr="00F6224A">
        <w:rPr>
          <w:rFonts w:eastAsia="宋体"/>
          <w:lang w:eastAsia="zh-CN"/>
        </w:rPr>
        <w:t xml:space="preserve">  </w:t>
      </w:r>
      <w:r w:rsidRPr="00F6224A">
        <w:rPr>
          <w:rFonts w:eastAsia="宋体"/>
          <w:lang w:eastAsia="zh-CN"/>
        </w:rPr>
        <w:t>学术要点</w:t>
      </w:r>
      <w:r w:rsidRPr="00F6224A">
        <w:rPr>
          <w:rFonts w:eastAsia="宋体"/>
          <w:lang w:eastAsia="zh-CN"/>
        </w:rPr>
        <w:t xml:space="preserve"> 2</w:t>
      </w:r>
      <w:r w:rsidRPr="00F6224A">
        <w:rPr>
          <w:rFonts w:eastAsia="宋体"/>
          <w:lang w:eastAsia="zh-CN"/>
        </w:rPr>
        <w:t>：隐含方差（</w:t>
      </w:r>
      <w:r w:rsidRPr="00F6224A">
        <w:rPr>
          <w:rFonts w:eastAsia="宋体"/>
          <w:lang w:eastAsia="zh-CN"/>
        </w:rPr>
        <w:t>Implied Variance, IMPVAR</w:t>
      </w:r>
      <w:r w:rsidRPr="00F6224A">
        <w:rPr>
          <w:rFonts w:eastAsia="宋体"/>
          <w:lang w:eastAsia="zh-CN"/>
        </w:rPr>
        <w:t>）</w:t>
      </w:r>
      <w:r w:rsidRPr="00F6224A">
        <w:rPr>
          <w:rFonts w:eastAsia="宋体"/>
          <w:lang w:eastAsia="zh-CN"/>
        </w:rPr>
        <w:br/>
      </w:r>
      <w:r w:rsidRPr="00F6224A">
        <w:rPr>
          <w:rFonts w:eastAsia="宋体"/>
          <w:lang w:eastAsia="zh-CN"/>
        </w:rPr>
        <w:t>隐含方差是一种基于期权市场数据的前瞻性指标，用于预测经济波动和资产回报的可预测性。</w:t>
      </w:r>
    </w:p>
    <w:p w:rsidR="00F6224A" w:rsidRPr="00F6224A" w:rsidRDefault="00F6224A" w:rsidP="00F6224A">
      <w:pPr>
        <w:rPr>
          <w:rFonts w:eastAsia="宋体"/>
          <w:lang w:eastAsia="zh-CN"/>
        </w:rPr>
      </w:pPr>
      <w:r w:rsidRPr="00F6224A">
        <w:rPr>
          <w:rFonts w:eastAsia="宋体"/>
          <w:lang w:eastAsia="zh-CN"/>
        </w:rPr>
        <w:t xml:space="preserve">  </w:t>
      </w:r>
      <w:r w:rsidRPr="00F6224A">
        <w:rPr>
          <w:rFonts w:eastAsia="宋体"/>
          <w:lang w:eastAsia="zh-CN"/>
        </w:rPr>
        <w:t>学术要点</w:t>
      </w:r>
      <w:r w:rsidRPr="00F6224A">
        <w:rPr>
          <w:rFonts w:eastAsia="宋体"/>
          <w:lang w:eastAsia="zh-CN"/>
        </w:rPr>
        <w:t xml:space="preserve"> 3</w:t>
      </w:r>
      <w:r w:rsidRPr="00F6224A">
        <w:rPr>
          <w:rFonts w:eastAsia="宋体"/>
          <w:lang w:eastAsia="zh-CN"/>
        </w:rPr>
        <w:t>：尾部风险（</w:t>
      </w:r>
      <w:r w:rsidRPr="00F6224A">
        <w:rPr>
          <w:rFonts w:eastAsia="宋体"/>
          <w:lang w:eastAsia="zh-CN"/>
        </w:rPr>
        <w:t>Tail Risk, TAIL</w:t>
      </w:r>
      <w:r w:rsidRPr="00F6224A">
        <w:rPr>
          <w:rFonts w:eastAsia="宋体"/>
          <w:lang w:eastAsia="zh-CN"/>
        </w:rPr>
        <w:t>）</w:t>
      </w:r>
      <w:r w:rsidRPr="00F6224A">
        <w:rPr>
          <w:rFonts w:eastAsia="宋体"/>
          <w:lang w:eastAsia="zh-CN"/>
        </w:rPr>
        <w:br/>
      </w:r>
      <w:r w:rsidRPr="00F6224A">
        <w:rPr>
          <w:rFonts w:eastAsia="宋体"/>
          <w:lang w:eastAsia="zh-CN"/>
        </w:rPr>
        <w:t>尾部风险衡量投资组合中发生极端亏损的概率，是投资者在市场高压条件下的重要风险衡量指标。</w:t>
      </w:r>
    </w:p>
    <w:p w:rsidR="00F6224A" w:rsidRPr="00F6224A" w:rsidRDefault="00F6224A" w:rsidP="00F6224A">
      <w:pPr>
        <w:rPr>
          <w:rFonts w:eastAsia="宋体"/>
          <w:lang w:eastAsia="zh-CN"/>
        </w:rPr>
      </w:pPr>
      <w:r w:rsidRPr="00F6224A">
        <w:rPr>
          <w:rFonts w:eastAsia="宋体"/>
          <w:lang w:eastAsia="zh-CN"/>
        </w:rPr>
        <w:lastRenderedPageBreak/>
        <w:t xml:space="preserve">  </w:t>
      </w:r>
      <w:r w:rsidRPr="00F6224A">
        <w:rPr>
          <w:rFonts w:eastAsia="宋体"/>
          <w:lang w:eastAsia="zh-CN"/>
        </w:rPr>
        <w:t>学术要点</w:t>
      </w:r>
      <w:r w:rsidRPr="00F6224A">
        <w:rPr>
          <w:rFonts w:eastAsia="宋体"/>
          <w:lang w:eastAsia="zh-CN"/>
        </w:rPr>
        <w:t xml:space="preserve"> 4</w:t>
      </w:r>
      <w:r w:rsidRPr="00F6224A">
        <w:rPr>
          <w:rFonts w:eastAsia="宋体"/>
          <w:lang w:eastAsia="zh-CN"/>
        </w:rPr>
        <w:t>：投资者情绪（</w:t>
      </w:r>
      <w:r w:rsidRPr="00F6224A">
        <w:rPr>
          <w:rFonts w:eastAsia="宋体"/>
          <w:lang w:eastAsia="zh-CN"/>
        </w:rPr>
        <w:t>Investor Sentiment, SNTM</w:t>
      </w:r>
      <w:r w:rsidRPr="00F6224A">
        <w:rPr>
          <w:rFonts w:eastAsia="宋体"/>
          <w:lang w:eastAsia="zh-CN"/>
        </w:rPr>
        <w:t>）</w:t>
      </w:r>
      <w:r w:rsidRPr="00F6224A">
        <w:rPr>
          <w:rFonts w:eastAsia="宋体"/>
          <w:lang w:eastAsia="zh-CN"/>
        </w:rPr>
        <w:br/>
      </w:r>
      <w:r w:rsidRPr="00F6224A">
        <w:rPr>
          <w:rFonts w:eastAsia="宋体"/>
          <w:lang w:eastAsia="zh-CN"/>
        </w:rPr>
        <w:t>投资者情绪是一个行为金融学指标，反映了投资者信心的变化，并与股票溢价的波动趋势相一致。</w:t>
      </w:r>
    </w:p>
    <w:p w:rsidR="00F6224A" w:rsidRPr="00F6224A" w:rsidRDefault="00F6224A" w:rsidP="00F6224A">
      <w:pPr>
        <w:rPr>
          <w:rFonts w:eastAsia="宋体"/>
          <w:lang w:eastAsia="zh-CN"/>
        </w:rPr>
      </w:pPr>
      <w:r w:rsidRPr="00F6224A">
        <w:rPr>
          <w:rFonts w:eastAsia="宋体"/>
          <w:lang w:eastAsia="zh-CN"/>
        </w:rPr>
        <w:t xml:space="preserve">  </w:t>
      </w:r>
      <w:r w:rsidRPr="00F6224A">
        <w:rPr>
          <w:rFonts w:eastAsia="宋体"/>
          <w:lang w:eastAsia="zh-CN"/>
        </w:rPr>
        <w:t>学术要点</w:t>
      </w:r>
      <w:r w:rsidRPr="00F6224A">
        <w:rPr>
          <w:rFonts w:eastAsia="宋体"/>
          <w:lang w:eastAsia="zh-CN"/>
        </w:rPr>
        <w:t xml:space="preserve"> 5</w:t>
      </w:r>
      <w:r w:rsidRPr="00F6224A">
        <w:rPr>
          <w:rFonts w:eastAsia="宋体"/>
          <w:lang w:eastAsia="zh-CN"/>
        </w:rPr>
        <w:t>：空头兴趣（</w:t>
      </w:r>
      <w:r w:rsidRPr="00F6224A">
        <w:rPr>
          <w:rFonts w:eastAsia="宋体"/>
          <w:lang w:eastAsia="zh-CN"/>
        </w:rPr>
        <w:t>Short Interest, SHTINT</w:t>
      </w:r>
      <w:r w:rsidRPr="00F6224A">
        <w:rPr>
          <w:rFonts w:eastAsia="宋体"/>
          <w:lang w:eastAsia="zh-CN"/>
        </w:rPr>
        <w:t>）</w:t>
      </w:r>
      <w:r w:rsidRPr="00F6224A">
        <w:rPr>
          <w:rFonts w:eastAsia="宋体"/>
          <w:lang w:eastAsia="zh-CN"/>
        </w:rPr>
        <w:br/>
      </w:r>
      <w:r w:rsidRPr="00F6224A">
        <w:rPr>
          <w:rFonts w:eastAsia="宋体"/>
          <w:lang w:eastAsia="zh-CN"/>
        </w:rPr>
        <w:t>空头兴趣跟踪市场上被卖空的股票数量，提供了对投资者看跌情绪及可能导致股票价格下行压力的洞察。</w:t>
      </w:r>
    </w:p>
    <w:p w:rsidR="00F6224A" w:rsidRPr="00F6224A" w:rsidRDefault="00F6224A">
      <w:pPr>
        <w:rPr>
          <w:rFonts w:eastAsia="宋体"/>
          <w:lang w:eastAsia="zh-CN"/>
        </w:rPr>
      </w:pPr>
    </w:p>
    <w:sectPr w:rsidR="00F6224A" w:rsidRPr="00F622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676518">
    <w:abstractNumId w:val="8"/>
  </w:num>
  <w:num w:numId="2" w16cid:durableId="2077430931">
    <w:abstractNumId w:val="6"/>
  </w:num>
  <w:num w:numId="3" w16cid:durableId="1722095713">
    <w:abstractNumId w:val="5"/>
  </w:num>
  <w:num w:numId="4" w16cid:durableId="1955668204">
    <w:abstractNumId w:val="4"/>
  </w:num>
  <w:num w:numId="5" w16cid:durableId="17515443">
    <w:abstractNumId w:val="7"/>
  </w:num>
  <w:num w:numId="6" w16cid:durableId="614404564">
    <w:abstractNumId w:val="3"/>
  </w:num>
  <w:num w:numId="7" w16cid:durableId="390034609">
    <w:abstractNumId w:val="2"/>
  </w:num>
  <w:num w:numId="8" w16cid:durableId="1022979750">
    <w:abstractNumId w:val="1"/>
  </w:num>
  <w:num w:numId="9" w16cid:durableId="7289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CDC"/>
    <w:rsid w:val="0015074B"/>
    <w:rsid w:val="001F0B0A"/>
    <w:rsid w:val="00266809"/>
    <w:rsid w:val="0029639D"/>
    <w:rsid w:val="0030550C"/>
    <w:rsid w:val="00326F90"/>
    <w:rsid w:val="007A4B51"/>
    <w:rsid w:val="00A279A4"/>
    <w:rsid w:val="00AA1D8D"/>
    <w:rsid w:val="00B47730"/>
    <w:rsid w:val="00CB0664"/>
    <w:rsid w:val="00F62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69B6A"/>
  <w14:defaultImageDpi w14:val="300"/>
  <w15:docId w15:val="{A15E0F74-8B29-4634-81E1-B89B94A3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7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巧云 雷</cp:lastModifiedBy>
  <cp:revision>4</cp:revision>
  <dcterms:created xsi:type="dcterms:W3CDTF">2013-12-23T23:15:00Z</dcterms:created>
  <dcterms:modified xsi:type="dcterms:W3CDTF">2024-11-11T11:39:00Z</dcterms:modified>
  <cp:category/>
</cp:coreProperties>
</file>