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73F7" w:rsidRDefault="00000000">
      <w:r>
        <w:t>标题：</w:t>
      </w:r>
      <w:r>
        <w:t>Credit Cycles, Expectations, and Corporate Investment</w:t>
      </w:r>
    </w:p>
    <w:p w:rsidR="002973F7" w:rsidRDefault="00000000">
      <w:r>
        <w:t>作者及机构：</w:t>
      </w:r>
      <w:r>
        <w:t>Huseyin Gulen: Purdue University,United States</w:t>
      </w:r>
    </w:p>
    <w:p w:rsidR="002973F7" w:rsidRDefault="00000000">
      <w:r>
        <w:t>Mihai Ion: University of Arizona,United States</w:t>
      </w:r>
    </w:p>
    <w:p w:rsidR="002973F7" w:rsidRDefault="00000000">
      <w:r>
        <w:t>Candace E</w:t>
      </w:r>
      <w:r w:rsidR="00C673C7">
        <w:rPr>
          <w:rFonts w:eastAsia="宋体" w:hint="eastAsia"/>
          <w:lang w:eastAsia="zh-CN"/>
        </w:rPr>
        <w:t>.</w:t>
      </w:r>
      <w:r>
        <w:t>Jens: Syracuse University,United States</w:t>
      </w:r>
    </w:p>
    <w:p w:rsidR="002973F7" w:rsidRDefault="00000000">
      <w:r>
        <w:t>Stefano Rossi</w:t>
      </w:r>
      <w:r w:rsidR="00C673C7">
        <w:rPr>
          <w:rFonts w:eastAsia="宋体" w:hint="eastAsia"/>
          <w:lang w:eastAsia="zh-CN"/>
        </w:rPr>
        <w:t xml:space="preserve"> *</w:t>
      </w:r>
      <w:r>
        <w:t>: Bocconi University,Italy</w:t>
      </w:r>
    </w:p>
    <w:p w:rsidR="002973F7" w:rsidRDefault="00000000">
      <w:pPr>
        <w:rPr>
          <w:rFonts w:eastAsia="宋体"/>
          <w:lang w:eastAsia="zh-CN"/>
        </w:rPr>
      </w:pPr>
      <w:r>
        <w:t>摘要：</w:t>
      </w:r>
      <w:r>
        <w:t xml:space="preserve">We provide a systematic empirical assessment of the Minsky hypothesis that business fluctuations stem from irrational swings in expectations. Using predictable firm-level forecast errors, we build an aggregate index of irrational expectations and use it to provide three sets of results. First, we show that our index predicts aggregate credit cycles. Next, we show that these predictable credit cycles drive cycles in firm-level debt issuance and investment and similar cycles between financially constrained and unconstrained firms, as Minsky predicts. Finally, we show more pronounced cycles in firm-level financing and investment for firms with ex ante more optimistic expectations. </w:t>
      </w:r>
      <w:r>
        <w:rPr>
          <w:lang w:eastAsia="zh-CN"/>
        </w:rPr>
        <w:t>(JELG31, G32, G40, E32, E44)</w:t>
      </w:r>
    </w:p>
    <w:p w:rsidR="007C489E" w:rsidRPr="007C489E" w:rsidRDefault="007C489E" w:rsidP="007C489E">
      <w:pPr>
        <w:rPr>
          <w:rFonts w:eastAsia="宋体"/>
          <w:lang w:eastAsia="zh-CN"/>
        </w:rPr>
      </w:pPr>
      <w:r w:rsidRPr="007C489E">
        <w:rPr>
          <w:rFonts w:eastAsia="宋体"/>
          <w:lang w:eastAsia="zh-CN"/>
        </w:rPr>
        <w:t>AI</w:t>
      </w:r>
      <w:r w:rsidRPr="007C489E">
        <w:rPr>
          <w:rFonts w:eastAsia="宋体" w:hint="eastAsia"/>
          <w:lang w:eastAsia="zh-CN"/>
        </w:rPr>
        <w:t>标题：</w:t>
      </w:r>
      <w:r w:rsidRPr="007C489E">
        <w:rPr>
          <w:rFonts w:eastAsia="宋体"/>
          <w:lang w:eastAsia="zh-CN"/>
        </w:rPr>
        <w:t>"</w:t>
      </w:r>
      <w:r w:rsidRPr="007C489E">
        <w:rPr>
          <w:rFonts w:eastAsia="宋体"/>
          <w:lang w:eastAsia="zh-CN"/>
        </w:rPr>
        <w:t>信贷幻觉：如何通过企业的非理性期望预测投资与债务周期</w:t>
      </w:r>
      <w:r w:rsidRPr="007C489E">
        <w:rPr>
          <w:rFonts w:eastAsia="宋体"/>
          <w:lang w:eastAsia="zh-CN"/>
        </w:rPr>
        <w:t>"</w:t>
      </w:r>
    </w:p>
    <w:p w:rsidR="007C489E" w:rsidRPr="007C489E" w:rsidRDefault="007C489E" w:rsidP="007C489E">
      <w:pPr>
        <w:rPr>
          <w:rFonts w:eastAsia="宋体"/>
          <w:lang w:eastAsia="zh-CN"/>
        </w:rPr>
      </w:pPr>
      <w:r w:rsidRPr="007C489E">
        <w:rPr>
          <w:rFonts w:eastAsia="宋体"/>
          <w:lang w:eastAsia="zh-CN"/>
        </w:rPr>
        <w:t>AI</w:t>
      </w:r>
      <w:r w:rsidRPr="007C489E">
        <w:rPr>
          <w:rFonts w:eastAsia="宋体" w:hint="eastAsia"/>
          <w:lang w:eastAsia="zh-CN"/>
        </w:rPr>
        <w:t>精炼：</w:t>
      </w:r>
      <w:r w:rsidRPr="007C489E">
        <w:rPr>
          <w:rFonts w:eastAsia="宋体"/>
          <w:lang w:eastAsia="zh-CN"/>
        </w:rPr>
        <w:t>本文来自金融经济学领域，探讨了非理性期望如何驱动企业投资和信贷周期的问题。以往的研究通常没有将企业级预测误差的可预测性纳入分析中，作者通过构建一个关于长期盈利增长的非理性预期的综合指数来填补这一空白。研究发现，这个指数不仅可以预测整体的信贷周期，还能显著预测特定企业的债务发行和投资周期。结果表明，具有更乐观预期的企业在信贷扩张期间的融资和投资活动更为活跃，而在经济衰退期则更快速地收缩，这一发现支持了</w:t>
      </w:r>
      <w:r w:rsidRPr="007C489E">
        <w:rPr>
          <w:rFonts w:eastAsia="宋体"/>
          <w:lang w:eastAsia="zh-CN"/>
        </w:rPr>
        <w:t>Minsky</w:t>
      </w:r>
      <w:r w:rsidRPr="007C489E">
        <w:rPr>
          <w:rFonts w:eastAsia="宋体"/>
          <w:lang w:eastAsia="zh-CN"/>
        </w:rPr>
        <w:t>关于非理性期望如何放大经济周期性波动的假设。</w:t>
      </w:r>
    </w:p>
    <w:p w:rsidR="007C489E" w:rsidRPr="007C489E" w:rsidRDefault="007C489E" w:rsidP="007C489E">
      <w:pPr>
        <w:rPr>
          <w:rFonts w:eastAsia="宋体"/>
          <w:lang w:eastAsia="zh-CN"/>
        </w:rPr>
      </w:pPr>
      <w:r w:rsidRPr="007C489E">
        <w:rPr>
          <w:rFonts w:eastAsia="宋体" w:hint="eastAsia"/>
          <w:lang w:eastAsia="zh-CN"/>
        </w:rPr>
        <w:t>关键字【数据库检索】：</w:t>
      </w:r>
      <w:r w:rsidRPr="007C489E">
        <w:rPr>
          <w:rFonts w:eastAsia="宋体"/>
          <w:lang w:eastAsia="zh-CN"/>
        </w:rPr>
        <w:t xml:space="preserve">  </w:t>
      </w:r>
      <w:r w:rsidRPr="007C489E">
        <w:rPr>
          <w:rFonts w:eastAsia="宋体"/>
          <w:lang w:eastAsia="zh-CN"/>
        </w:rPr>
        <w:t>非理性期望</w:t>
      </w:r>
      <w:r w:rsidRPr="007C489E">
        <w:rPr>
          <w:rFonts w:eastAsia="宋体"/>
          <w:lang w:eastAsia="zh-CN"/>
        </w:rPr>
        <w:t xml:space="preserve">  </w:t>
      </w:r>
      <w:r w:rsidRPr="007C489E">
        <w:rPr>
          <w:rFonts w:eastAsia="宋体"/>
          <w:lang w:eastAsia="zh-CN"/>
        </w:rPr>
        <w:t>信贷周期</w:t>
      </w:r>
      <w:r w:rsidRPr="007C489E">
        <w:rPr>
          <w:rFonts w:eastAsia="宋体"/>
          <w:lang w:eastAsia="zh-CN"/>
        </w:rPr>
        <w:t xml:space="preserve">  </w:t>
      </w:r>
      <w:r w:rsidRPr="007C489E">
        <w:rPr>
          <w:rFonts w:eastAsia="宋体"/>
          <w:lang w:eastAsia="zh-CN"/>
        </w:rPr>
        <w:t>企业投资</w:t>
      </w:r>
      <w:r w:rsidRPr="007C489E">
        <w:rPr>
          <w:rFonts w:eastAsia="宋体"/>
          <w:lang w:eastAsia="zh-CN"/>
        </w:rPr>
        <w:t xml:space="preserve">  </w:t>
      </w:r>
      <w:r w:rsidRPr="007C489E">
        <w:rPr>
          <w:rFonts w:eastAsia="宋体"/>
          <w:lang w:eastAsia="zh-CN"/>
        </w:rPr>
        <w:t>债务发行</w:t>
      </w:r>
      <w:r w:rsidRPr="007C489E">
        <w:rPr>
          <w:rFonts w:eastAsia="宋体"/>
          <w:lang w:eastAsia="zh-CN"/>
        </w:rPr>
        <w:t xml:space="preserve">  </w:t>
      </w:r>
      <w:r w:rsidRPr="007C489E">
        <w:rPr>
          <w:rFonts w:eastAsia="宋体"/>
          <w:lang w:eastAsia="zh-CN"/>
        </w:rPr>
        <w:t>经济波动</w:t>
      </w:r>
      <w:r w:rsidRPr="007C489E">
        <w:rPr>
          <w:rFonts w:eastAsia="宋体"/>
          <w:lang w:eastAsia="zh-CN"/>
        </w:rPr>
        <w:t xml:space="preserve">  Minsky</w:t>
      </w:r>
      <w:r w:rsidRPr="007C489E">
        <w:rPr>
          <w:rFonts w:eastAsia="宋体"/>
          <w:lang w:eastAsia="zh-CN"/>
        </w:rPr>
        <w:t>假设</w:t>
      </w:r>
      <w:r w:rsidRPr="007C489E">
        <w:rPr>
          <w:rFonts w:eastAsia="宋体"/>
          <w:lang w:eastAsia="zh-CN"/>
        </w:rPr>
        <w:t xml:space="preserve">  </w:t>
      </w:r>
      <w:r w:rsidRPr="007C489E">
        <w:rPr>
          <w:rFonts w:eastAsia="宋体"/>
          <w:lang w:eastAsia="zh-CN"/>
        </w:rPr>
        <w:t>预测指数</w:t>
      </w:r>
    </w:p>
    <w:p w:rsidR="007C489E" w:rsidRDefault="007C489E" w:rsidP="007C489E">
      <w:pPr>
        <w:rPr>
          <w:rFonts w:eastAsia="宋体"/>
          <w:lang w:eastAsia="zh-CN"/>
        </w:rPr>
      </w:pPr>
      <w:r w:rsidRPr="007C489E">
        <w:rPr>
          <w:rFonts w:eastAsia="宋体" w:hint="eastAsia"/>
          <w:lang w:eastAsia="zh-CN"/>
        </w:rPr>
        <w:t>学术要点</w:t>
      </w:r>
      <w:r>
        <w:rPr>
          <w:rFonts w:eastAsia="宋体" w:hint="eastAsia"/>
          <w:lang w:eastAsia="zh-CN"/>
        </w:rPr>
        <w:t>：</w:t>
      </w:r>
    </w:p>
    <w:p w:rsidR="00AB7701" w:rsidRPr="00AB7701" w:rsidRDefault="00AB7701" w:rsidP="00AB7701">
      <w:pPr>
        <w:rPr>
          <w:rFonts w:eastAsia="宋体"/>
          <w:lang w:eastAsia="zh-CN"/>
        </w:rPr>
      </w:pPr>
      <w:r w:rsidRPr="00AB7701">
        <w:rPr>
          <w:rFonts w:eastAsia="宋体"/>
          <w:lang w:eastAsia="zh-CN"/>
        </w:rPr>
        <w:t xml:space="preserve"> </w:t>
      </w:r>
      <w:r w:rsidR="00425D9A" w:rsidRPr="00F6224A">
        <w:rPr>
          <w:rFonts w:eastAsia="宋体"/>
          <w:lang w:eastAsia="zh-CN"/>
        </w:rPr>
        <w:t>学术要点</w:t>
      </w:r>
      <w:r w:rsidR="00425D9A" w:rsidRPr="00F6224A">
        <w:rPr>
          <w:rFonts w:eastAsia="宋体"/>
          <w:lang w:eastAsia="zh-CN"/>
        </w:rPr>
        <w:t xml:space="preserve"> </w:t>
      </w:r>
      <w:r w:rsidR="00425D9A">
        <w:rPr>
          <w:rFonts w:eastAsia="宋体" w:hint="eastAsia"/>
          <w:lang w:eastAsia="zh-CN"/>
        </w:rPr>
        <w:t>1</w:t>
      </w:r>
      <w:r w:rsidR="00425D9A" w:rsidRPr="00F6224A">
        <w:rPr>
          <w:rFonts w:eastAsia="宋体"/>
          <w:lang w:eastAsia="zh-CN"/>
        </w:rPr>
        <w:t>：</w:t>
      </w:r>
      <w:r w:rsidRPr="00AB7701">
        <w:rPr>
          <w:rFonts w:eastAsia="宋体"/>
          <w:lang w:eastAsia="zh-CN"/>
        </w:rPr>
        <w:t xml:space="preserve"> </w:t>
      </w:r>
      <w:r w:rsidRPr="00AB7701">
        <w:rPr>
          <w:rFonts w:eastAsia="宋体"/>
          <w:b/>
          <w:bCs/>
          <w:lang w:eastAsia="zh-CN"/>
        </w:rPr>
        <w:t>不理性预期指数（</w:t>
      </w:r>
      <w:r w:rsidRPr="00AB7701">
        <w:rPr>
          <w:rFonts w:eastAsia="宋体"/>
          <w:b/>
          <w:bCs/>
          <w:lang w:eastAsia="zh-CN"/>
        </w:rPr>
        <w:t>Index of Irrational Expectations</w:t>
      </w:r>
      <w:r w:rsidRPr="00AB7701">
        <w:rPr>
          <w:rFonts w:eastAsia="宋体"/>
          <w:b/>
          <w:bCs/>
          <w:lang w:eastAsia="zh-CN"/>
        </w:rPr>
        <w:t>）</w:t>
      </w:r>
      <w:r w:rsidRPr="00AB7701">
        <w:rPr>
          <w:rFonts w:eastAsia="宋体"/>
          <w:lang w:eastAsia="zh-CN"/>
        </w:rPr>
        <w:br/>
      </w:r>
      <w:r w:rsidRPr="00AB7701">
        <w:rPr>
          <w:rFonts w:eastAsia="宋体"/>
          <w:lang w:eastAsia="zh-CN"/>
        </w:rPr>
        <w:t>该指数基于公司层面的预测误差构建，用于捕捉宏观经济中的不理性预期，并有效预测信用周期的扩张与收缩。</w:t>
      </w:r>
    </w:p>
    <w:p w:rsidR="00AB7701" w:rsidRPr="00AB7701" w:rsidRDefault="00AB7701" w:rsidP="00AB7701">
      <w:pPr>
        <w:rPr>
          <w:rFonts w:eastAsia="宋体"/>
          <w:lang w:eastAsia="zh-CN"/>
        </w:rPr>
      </w:pPr>
      <w:r w:rsidRPr="00AB7701">
        <w:rPr>
          <w:rFonts w:eastAsia="宋体"/>
          <w:lang w:eastAsia="zh-CN"/>
        </w:rPr>
        <w:t xml:space="preserve">  </w:t>
      </w:r>
      <w:r w:rsidR="00425D9A" w:rsidRPr="00F6224A">
        <w:rPr>
          <w:rFonts w:eastAsia="宋体"/>
          <w:lang w:eastAsia="zh-CN"/>
        </w:rPr>
        <w:t>学术要点</w:t>
      </w:r>
      <w:r w:rsidR="00425D9A" w:rsidRPr="00F6224A">
        <w:rPr>
          <w:rFonts w:eastAsia="宋体"/>
          <w:lang w:eastAsia="zh-CN"/>
        </w:rPr>
        <w:t xml:space="preserve"> </w:t>
      </w:r>
      <w:r w:rsidR="00425D9A">
        <w:rPr>
          <w:rFonts w:eastAsia="宋体" w:hint="eastAsia"/>
          <w:lang w:eastAsia="zh-CN"/>
        </w:rPr>
        <w:t>2</w:t>
      </w:r>
      <w:r w:rsidR="00425D9A" w:rsidRPr="00F6224A">
        <w:rPr>
          <w:rFonts w:eastAsia="宋体"/>
          <w:lang w:eastAsia="zh-CN"/>
        </w:rPr>
        <w:t>：</w:t>
      </w:r>
      <w:r w:rsidRPr="00AB7701">
        <w:rPr>
          <w:rFonts w:eastAsia="宋体"/>
          <w:b/>
          <w:bCs/>
          <w:lang w:eastAsia="zh-CN"/>
        </w:rPr>
        <w:t>乐观预期与债务发行（</w:t>
      </w:r>
      <w:r w:rsidRPr="00AB7701">
        <w:rPr>
          <w:rFonts w:eastAsia="宋体"/>
          <w:b/>
          <w:bCs/>
          <w:lang w:eastAsia="zh-CN"/>
        </w:rPr>
        <w:t>Optimistic Expectations and Debt Issuance</w:t>
      </w:r>
      <w:r w:rsidRPr="00AB7701">
        <w:rPr>
          <w:rFonts w:eastAsia="宋体"/>
          <w:b/>
          <w:bCs/>
          <w:lang w:eastAsia="zh-CN"/>
        </w:rPr>
        <w:t>）</w:t>
      </w:r>
      <w:r w:rsidRPr="00AB7701">
        <w:rPr>
          <w:rFonts w:eastAsia="宋体"/>
          <w:lang w:eastAsia="zh-CN"/>
        </w:rPr>
        <w:br/>
      </w:r>
      <w:r w:rsidRPr="00AB7701">
        <w:rPr>
          <w:rFonts w:eastAsia="宋体"/>
          <w:lang w:eastAsia="zh-CN"/>
        </w:rPr>
        <w:t>研究发现乐观预期的公司在信用繁荣期内债务发行显著增加，随后周期性出现逆转，体现出信用周期的影响。</w:t>
      </w:r>
    </w:p>
    <w:p w:rsidR="00AB7701" w:rsidRPr="00AB7701" w:rsidRDefault="00AB7701" w:rsidP="00AB7701">
      <w:pPr>
        <w:rPr>
          <w:rFonts w:eastAsia="宋体"/>
          <w:lang w:eastAsia="zh-CN"/>
        </w:rPr>
      </w:pPr>
      <w:r w:rsidRPr="00AB7701">
        <w:rPr>
          <w:rFonts w:eastAsia="宋体"/>
          <w:lang w:eastAsia="zh-CN"/>
        </w:rPr>
        <w:t xml:space="preserve">  </w:t>
      </w:r>
      <w:r w:rsidR="00425D9A" w:rsidRPr="00F6224A">
        <w:rPr>
          <w:rFonts w:eastAsia="宋体"/>
          <w:lang w:eastAsia="zh-CN"/>
        </w:rPr>
        <w:t>学术要点</w:t>
      </w:r>
      <w:r w:rsidR="00425D9A" w:rsidRPr="00F6224A">
        <w:rPr>
          <w:rFonts w:eastAsia="宋体"/>
          <w:lang w:eastAsia="zh-CN"/>
        </w:rPr>
        <w:t xml:space="preserve"> </w:t>
      </w:r>
      <w:r w:rsidR="00425D9A">
        <w:rPr>
          <w:rFonts w:eastAsia="宋体" w:hint="eastAsia"/>
          <w:lang w:eastAsia="zh-CN"/>
        </w:rPr>
        <w:t>3</w:t>
      </w:r>
      <w:r w:rsidR="00425D9A" w:rsidRPr="00F6224A">
        <w:rPr>
          <w:rFonts w:eastAsia="宋体"/>
          <w:lang w:eastAsia="zh-CN"/>
        </w:rPr>
        <w:t>：</w:t>
      </w:r>
      <w:r w:rsidRPr="00AB7701">
        <w:rPr>
          <w:rFonts w:eastAsia="宋体"/>
          <w:b/>
          <w:bCs/>
          <w:lang w:eastAsia="zh-CN"/>
        </w:rPr>
        <w:t>资本市场供需机制（</w:t>
      </w:r>
      <w:r w:rsidRPr="00AB7701">
        <w:rPr>
          <w:rFonts w:eastAsia="宋体"/>
          <w:b/>
          <w:bCs/>
          <w:lang w:eastAsia="zh-CN"/>
        </w:rPr>
        <w:t>Supply and Demand in Capital Markets</w:t>
      </w:r>
      <w:r w:rsidRPr="00AB7701">
        <w:rPr>
          <w:rFonts w:eastAsia="宋体"/>
          <w:b/>
          <w:bCs/>
          <w:lang w:eastAsia="zh-CN"/>
        </w:rPr>
        <w:t>）</w:t>
      </w:r>
      <w:r w:rsidRPr="00AB7701">
        <w:rPr>
          <w:rFonts w:eastAsia="宋体"/>
          <w:lang w:eastAsia="zh-CN"/>
        </w:rPr>
        <w:br/>
      </w:r>
      <w:r w:rsidRPr="00AB7701">
        <w:rPr>
          <w:rFonts w:eastAsia="宋体"/>
          <w:lang w:eastAsia="zh-CN"/>
        </w:rPr>
        <w:t>该机制共同驱动了由不理性乐观预期引发的投资和融资周期，反映出市场对资本供需的复杂响应。</w:t>
      </w:r>
    </w:p>
    <w:p w:rsidR="00AB7701" w:rsidRPr="00AB7701" w:rsidRDefault="00AB7701" w:rsidP="00AB7701">
      <w:pPr>
        <w:rPr>
          <w:rFonts w:eastAsia="宋体"/>
          <w:lang w:eastAsia="zh-CN"/>
        </w:rPr>
      </w:pPr>
      <w:r w:rsidRPr="00AB7701">
        <w:rPr>
          <w:rFonts w:eastAsia="宋体"/>
          <w:lang w:eastAsia="zh-CN"/>
        </w:rPr>
        <w:lastRenderedPageBreak/>
        <w:t xml:space="preserve">  </w:t>
      </w:r>
      <w:r w:rsidR="00425D9A" w:rsidRPr="00F6224A">
        <w:rPr>
          <w:rFonts w:eastAsia="宋体"/>
          <w:lang w:eastAsia="zh-CN"/>
        </w:rPr>
        <w:t>学术要点</w:t>
      </w:r>
      <w:r w:rsidR="00425D9A" w:rsidRPr="00F6224A">
        <w:rPr>
          <w:rFonts w:eastAsia="宋体"/>
          <w:lang w:eastAsia="zh-CN"/>
        </w:rPr>
        <w:t xml:space="preserve"> </w:t>
      </w:r>
      <w:r w:rsidR="00425D9A">
        <w:rPr>
          <w:rFonts w:eastAsia="宋体" w:hint="eastAsia"/>
          <w:lang w:eastAsia="zh-CN"/>
        </w:rPr>
        <w:t>4</w:t>
      </w:r>
      <w:r w:rsidR="00425D9A" w:rsidRPr="00F6224A">
        <w:rPr>
          <w:rFonts w:eastAsia="宋体"/>
          <w:lang w:eastAsia="zh-CN"/>
        </w:rPr>
        <w:t>：</w:t>
      </w:r>
      <w:r w:rsidRPr="00AB7701">
        <w:rPr>
          <w:rFonts w:eastAsia="宋体"/>
          <w:b/>
          <w:bCs/>
          <w:lang w:eastAsia="zh-CN"/>
        </w:rPr>
        <w:t>债务权重的预测误差（</w:t>
      </w:r>
      <w:r w:rsidRPr="00AB7701">
        <w:rPr>
          <w:rFonts w:eastAsia="宋体"/>
          <w:b/>
          <w:bCs/>
          <w:lang w:eastAsia="zh-CN"/>
        </w:rPr>
        <w:t>Debt-Weighted Forecast Errors</w:t>
      </w:r>
      <w:r w:rsidRPr="00AB7701">
        <w:rPr>
          <w:rFonts w:eastAsia="宋体"/>
          <w:b/>
          <w:bCs/>
          <w:lang w:eastAsia="zh-CN"/>
        </w:rPr>
        <w:t>）</w:t>
      </w:r>
      <w:r w:rsidRPr="00AB7701">
        <w:rPr>
          <w:rFonts w:eastAsia="宋体"/>
          <w:lang w:eastAsia="zh-CN"/>
        </w:rPr>
        <w:br/>
      </w:r>
      <w:r w:rsidRPr="00AB7701">
        <w:rPr>
          <w:rFonts w:eastAsia="宋体"/>
          <w:lang w:eastAsia="zh-CN"/>
        </w:rPr>
        <w:t>通过对公司层面的预测误差按债务权重进行聚合，精确地捕捉了信用市场情绪的变化。</w:t>
      </w:r>
    </w:p>
    <w:p w:rsidR="00AB7701" w:rsidRPr="00AB7701" w:rsidRDefault="00AB7701" w:rsidP="00AB7701">
      <w:pPr>
        <w:rPr>
          <w:rFonts w:eastAsia="宋体"/>
          <w:lang w:eastAsia="zh-CN"/>
        </w:rPr>
      </w:pPr>
      <w:r w:rsidRPr="00AB7701">
        <w:rPr>
          <w:rFonts w:eastAsia="宋体"/>
          <w:lang w:eastAsia="zh-CN"/>
        </w:rPr>
        <w:t xml:space="preserve">  </w:t>
      </w:r>
      <w:r w:rsidR="00425D9A" w:rsidRPr="00F6224A">
        <w:rPr>
          <w:rFonts w:eastAsia="宋体"/>
          <w:lang w:eastAsia="zh-CN"/>
        </w:rPr>
        <w:t>学术要点</w:t>
      </w:r>
      <w:r w:rsidR="00425D9A" w:rsidRPr="00F6224A">
        <w:rPr>
          <w:rFonts w:eastAsia="宋体"/>
          <w:lang w:eastAsia="zh-CN"/>
        </w:rPr>
        <w:t xml:space="preserve"> 5</w:t>
      </w:r>
      <w:r w:rsidR="00425D9A" w:rsidRPr="00F6224A">
        <w:rPr>
          <w:rFonts w:eastAsia="宋体"/>
          <w:lang w:eastAsia="zh-CN"/>
        </w:rPr>
        <w:t>：</w:t>
      </w:r>
      <w:r w:rsidRPr="00AB7701">
        <w:rPr>
          <w:rFonts w:eastAsia="宋体"/>
          <w:b/>
          <w:bCs/>
          <w:lang w:eastAsia="zh-CN"/>
        </w:rPr>
        <w:t>高负债公司风险（</w:t>
      </w:r>
      <w:r w:rsidRPr="00AB7701">
        <w:rPr>
          <w:rFonts w:eastAsia="宋体"/>
          <w:b/>
          <w:bCs/>
          <w:lang w:eastAsia="zh-CN"/>
        </w:rPr>
        <w:t>Risk in High-Leverage Firms</w:t>
      </w:r>
      <w:r w:rsidRPr="00AB7701">
        <w:rPr>
          <w:rFonts w:eastAsia="宋体"/>
          <w:b/>
          <w:bCs/>
          <w:lang w:eastAsia="zh-CN"/>
        </w:rPr>
        <w:t>）</w:t>
      </w:r>
      <w:r w:rsidRPr="00AB7701">
        <w:rPr>
          <w:rFonts w:eastAsia="宋体"/>
          <w:lang w:eastAsia="zh-CN"/>
        </w:rPr>
        <w:br/>
      </w:r>
      <w:r w:rsidRPr="00AB7701">
        <w:rPr>
          <w:rFonts w:eastAsia="宋体"/>
          <w:lang w:eastAsia="zh-CN"/>
        </w:rPr>
        <w:t>研究显示，在乐观情绪驱动的信用周期中，高负债公司的财务脆弱性显著上升，暗示经济波动对高杠杆公司的冲击加剧</w:t>
      </w:r>
    </w:p>
    <w:p w:rsidR="00AB7701" w:rsidRPr="00AB7701" w:rsidRDefault="00AB7701" w:rsidP="007C489E">
      <w:pPr>
        <w:rPr>
          <w:rFonts w:eastAsia="宋体"/>
          <w:lang w:eastAsia="zh-CN"/>
        </w:rPr>
      </w:pPr>
    </w:p>
    <w:sectPr w:rsidR="00AB7701" w:rsidRPr="00AB77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7284954">
    <w:abstractNumId w:val="8"/>
  </w:num>
  <w:num w:numId="2" w16cid:durableId="2045250197">
    <w:abstractNumId w:val="6"/>
  </w:num>
  <w:num w:numId="3" w16cid:durableId="34089154">
    <w:abstractNumId w:val="5"/>
  </w:num>
  <w:num w:numId="4" w16cid:durableId="1843934804">
    <w:abstractNumId w:val="4"/>
  </w:num>
  <w:num w:numId="5" w16cid:durableId="62996477">
    <w:abstractNumId w:val="7"/>
  </w:num>
  <w:num w:numId="6" w16cid:durableId="438188172">
    <w:abstractNumId w:val="3"/>
  </w:num>
  <w:num w:numId="7" w16cid:durableId="1385252962">
    <w:abstractNumId w:val="2"/>
  </w:num>
  <w:num w:numId="8" w16cid:durableId="1507407343">
    <w:abstractNumId w:val="1"/>
  </w:num>
  <w:num w:numId="9" w16cid:durableId="6141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334"/>
    <w:rsid w:val="0029639D"/>
    <w:rsid w:val="002973F7"/>
    <w:rsid w:val="00326F90"/>
    <w:rsid w:val="00425D9A"/>
    <w:rsid w:val="004C3FE7"/>
    <w:rsid w:val="00767BAE"/>
    <w:rsid w:val="007C489E"/>
    <w:rsid w:val="00A06F5F"/>
    <w:rsid w:val="00AA1D8D"/>
    <w:rsid w:val="00AB7701"/>
    <w:rsid w:val="00B47730"/>
    <w:rsid w:val="00C6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ABB4A"/>
  <w14:defaultImageDpi w14:val="300"/>
  <w15:docId w15:val="{FAC39F93-E512-40FC-83C7-A1782414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632530">
      <w:bodyDiv w:val="1"/>
      <w:marLeft w:val="0"/>
      <w:marRight w:val="0"/>
      <w:marTop w:val="0"/>
      <w:marBottom w:val="0"/>
      <w:divBdr>
        <w:top w:val="none" w:sz="0" w:space="0" w:color="auto"/>
        <w:left w:val="none" w:sz="0" w:space="0" w:color="auto"/>
        <w:bottom w:val="none" w:sz="0" w:space="0" w:color="auto"/>
        <w:right w:val="none" w:sz="0" w:space="0" w:color="auto"/>
      </w:divBdr>
    </w:div>
    <w:div w:id="1091510451">
      <w:bodyDiv w:val="1"/>
      <w:marLeft w:val="0"/>
      <w:marRight w:val="0"/>
      <w:marTop w:val="0"/>
      <w:marBottom w:val="0"/>
      <w:divBdr>
        <w:top w:val="none" w:sz="0" w:space="0" w:color="auto"/>
        <w:left w:val="none" w:sz="0" w:space="0" w:color="auto"/>
        <w:bottom w:val="none" w:sz="0" w:space="0" w:color="auto"/>
        <w:right w:val="none" w:sz="0" w:space="0" w:color="auto"/>
      </w:divBdr>
    </w:div>
    <w:div w:id="1228152861">
      <w:bodyDiv w:val="1"/>
      <w:marLeft w:val="0"/>
      <w:marRight w:val="0"/>
      <w:marTop w:val="0"/>
      <w:marBottom w:val="0"/>
      <w:divBdr>
        <w:top w:val="none" w:sz="0" w:space="0" w:color="auto"/>
        <w:left w:val="none" w:sz="0" w:space="0" w:color="auto"/>
        <w:bottom w:val="none" w:sz="0" w:space="0" w:color="auto"/>
        <w:right w:val="none" w:sz="0" w:space="0" w:color="auto"/>
      </w:divBdr>
    </w:div>
    <w:div w:id="1887372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2024-11-21T14:27:00Z</dcterms:modified>
  <cp:category/>
</cp:coreProperties>
</file>