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2D2A64" w:rsidRDefault="00000000">
      <w:r>
        <w:t>标题：</w:t>
      </w:r>
      <w:r>
        <w:t>Horizon-Dependent Risk Aversion and the Timing and Pricing of Uncertainty</w:t>
      </w:r>
    </w:p>
    <w:p w:rsidR="002D2A64" w:rsidRDefault="00000000">
      <w:proofErr w:type="spellStart"/>
      <w:r>
        <w:t>作者及机构：</w:t>
      </w:r>
      <w:r>
        <w:t>Marianne</w:t>
      </w:r>
      <w:proofErr w:type="spellEnd"/>
      <w:r>
        <w:t xml:space="preserve"> Andries</w:t>
      </w:r>
      <w:r w:rsidR="00490C09">
        <w:rPr>
          <w:rFonts w:eastAsia="宋体" w:hint="eastAsia"/>
          <w:lang w:eastAsia="zh-CN"/>
        </w:rPr>
        <w:t xml:space="preserve"> *</w:t>
      </w:r>
      <w:r>
        <w:t>: University of Southern California,United States</w:t>
      </w:r>
    </w:p>
    <w:p w:rsidR="002D2A64" w:rsidRDefault="00000000">
      <w:r>
        <w:t>Thomas M Eisenbach: Federal Reserve Bank of New York,United States</w:t>
      </w:r>
    </w:p>
    <w:p w:rsidR="002D2A64" w:rsidRDefault="00000000">
      <w:r>
        <w:t>Martin C Schmalz: University of Oxford,United Kingdom, CEPR, and ECGI</w:t>
      </w:r>
    </w:p>
    <w:p w:rsidR="002D2A64" w:rsidRDefault="00000000">
      <w:pPr>
        <w:rPr>
          <w:rFonts w:eastAsia="宋体"/>
          <w:lang w:eastAsia="zh-CN"/>
        </w:rPr>
      </w:pPr>
      <w:r>
        <w:t>摘要：</w:t>
      </w:r>
      <w:r>
        <w:t>Inspired by experimental evidence, we amend the recursive utility model to let risk aversion decrease with the temporal horizon. Our pseudo-recursive preferences remain tractable and retain appealing features of the long-run risk framework, notably its success at explaining asset pricing moments. In addition, our model addresses two challenges to the standard model. Calibrating the agents’ preferences to explain the equity premium no longer implies an extreme preference for early resolutions of uncertainty. Horizon-dependent risk aversion helps resolve key puzzles in finance on the valuation of assets across maturities and captures the term structure of equity risk premiums and its dynamics.</w:t>
      </w:r>
    </w:p>
    <w:p w:rsidR="00E06B19" w:rsidRPr="00E06B19" w:rsidRDefault="00E06B19" w:rsidP="00E06B19">
      <w:pPr>
        <w:rPr>
          <w:rFonts w:eastAsia="宋体"/>
          <w:lang w:eastAsia="zh-CN"/>
        </w:rPr>
      </w:pPr>
      <w:r w:rsidRPr="00E06B19">
        <w:rPr>
          <w:rFonts w:eastAsia="宋体"/>
          <w:lang w:eastAsia="zh-CN"/>
        </w:rPr>
        <w:t>AI</w:t>
      </w:r>
      <w:r w:rsidRPr="00E06B19">
        <w:rPr>
          <w:rFonts w:eastAsia="宋体" w:hint="eastAsia"/>
          <w:lang w:eastAsia="zh-CN"/>
        </w:rPr>
        <w:t>标题：</w:t>
      </w:r>
      <w:r w:rsidRPr="00E06B19">
        <w:rPr>
          <w:rFonts w:eastAsia="宋体"/>
          <w:lang w:eastAsia="zh-CN"/>
        </w:rPr>
        <w:t>"</w:t>
      </w:r>
      <w:r w:rsidRPr="00E06B19">
        <w:rPr>
          <w:rFonts w:eastAsia="宋体"/>
          <w:lang w:eastAsia="zh-CN"/>
        </w:rPr>
        <w:t>未来的不确定性：如何通过时间视角下的风险规避理解资产定价</w:t>
      </w:r>
      <w:r w:rsidRPr="00E06B19">
        <w:rPr>
          <w:rFonts w:eastAsia="宋体"/>
          <w:lang w:eastAsia="zh-CN"/>
        </w:rPr>
        <w:t>"</w:t>
      </w:r>
    </w:p>
    <w:p w:rsidR="00E06B19" w:rsidRPr="00E06B19" w:rsidRDefault="00E06B19" w:rsidP="00E06B19">
      <w:pPr>
        <w:rPr>
          <w:rFonts w:eastAsia="宋体"/>
          <w:lang w:eastAsia="zh-CN"/>
        </w:rPr>
      </w:pPr>
      <w:r w:rsidRPr="00E06B19">
        <w:rPr>
          <w:rFonts w:eastAsia="宋体"/>
          <w:lang w:eastAsia="zh-CN"/>
        </w:rPr>
        <w:t>AI</w:t>
      </w:r>
      <w:r w:rsidRPr="00E06B19">
        <w:rPr>
          <w:rFonts w:eastAsia="宋体" w:hint="eastAsia"/>
          <w:lang w:eastAsia="zh-CN"/>
        </w:rPr>
        <w:t>精炼：</w:t>
      </w:r>
      <w:r w:rsidRPr="00E06B19">
        <w:rPr>
          <w:rFonts w:eastAsia="宋体"/>
          <w:lang w:eastAsia="zh-CN"/>
        </w:rPr>
        <w:t>本文探讨了风险规避在不同时间视角下如何影响资产定价和市场不确定性的处理。文章修正了递归效用模型，使风险规避随时间视角增加而降低，这一变化有助于解决标准模型中的两大挑战：其一，校准模型以解释股权溢价不再导致对早期解决不确定性的极端偏好；其二，模型能够解释资产跨到期日的定价，并捕捉到股权风险溢价的期限结构及其动态变化。这种视角依赖的风险规避有助于理解和解决金融领域关于资产评估的关键难题，特别是在解释长期风险和预期回报方面。</w:t>
      </w:r>
    </w:p>
    <w:p w:rsidR="00E06B19" w:rsidRPr="00E06B19" w:rsidRDefault="00E06B19" w:rsidP="00E06B19">
      <w:pPr>
        <w:rPr>
          <w:rFonts w:eastAsia="宋体"/>
          <w:lang w:eastAsia="zh-CN"/>
        </w:rPr>
      </w:pPr>
      <w:r w:rsidRPr="00E06B19">
        <w:rPr>
          <w:rFonts w:eastAsia="宋体" w:hint="eastAsia"/>
          <w:lang w:eastAsia="zh-CN"/>
        </w:rPr>
        <w:t>关键字【数据库检索】：</w:t>
      </w:r>
      <w:r w:rsidRPr="00E06B19">
        <w:rPr>
          <w:rFonts w:eastAsia="宋体"/>
          <w:lang w:eastAsia="zh-CN"/>
        </w:rPr>
        <w:t>风险规避</w:t>
      </w:r>
      <w:r w:rsidRPr="00E06B19">
        <w:rPr>
          <w:rFonts w:eastAsia="宋体"/>
          <w:lang w:eastAsia="zh-CN"/>
        </w:rPr>
        <w:t xml:space="preserve">  </w:t>
      </w:r>
      <w:r w:rsidRPr="00E06B19">
        <w:rPr>
          <w:rFonts w:eastAsia="宋体"/>
          <w:lang w:eastAsia="zh-CN"/>
        </w:rPr>
        <w:t>资产定价</w:t>
      </w:r>
      <w:r w:rsidRPr="00E06B19">
        <w:rPr>
          <w:rFonts w:eastAsia="宋体"/>
          <w:lang w:eastAsia="zh-CN"/>
        </w:rPr>
        <w:t xml:space="preserve">  </w:t>
      </w:r>
      <w:r w:rsidRPr="00E06B19">
        <w:rPr>
          <w:rFonts w:eastAsia="宋体"/>
          <w:lang w:eastAsia="zh-CN"/>
        </w:rPr>
        <w:t>市场不确定性</w:t>
      </w:r>
      <w:r w:rsidRPr="00E06B19">
        <w:rPr>
          <w:rFonts w:eastAsia="宋体"/>
          <w:lang w:eastAsia="zh-CN"/>
        </w:rPr>
        <w:t xml:space="preserve">  </w:t>
      </w:r>
      <w:r w:rsidRPr="00E06B19">
        <w:rPr>
          <w:rFonts w:eastAsia="宋体"/>
          <w:lang w:eastAsia="zh-CN"/>
        </w:rPr>
        <w:t>递归效用模型</w:t>
      </w:r>
      <w:r w:rsidRPr="00E06B19">
        <w:rPr>
          <w:rFonts w:eastAsia="宋体"/>
          <w:lang w:eastAsia="zh-CN"/>
        </w:rPr>
        <w:t xml:space="preserve">  </w:t>
      </w:r>
      <w:r w:rsidRPr="00E06B19">
        <w:rPr>
          <w:rFonts w:eastAsia="宋体"/>
          <w:lang w:eastAsia="zh-CN"/>
        </w:rPr>
        <w:t>股权溢价</w:t>
      </w:r>
      <w:r w:rsidRPr="00E06B19">
        <w:rPr>
          <w:rFonts w:eastAsia="宋体"/>
          <w:lang w:eastAsia="zh-CN"/>
        </w:rPr>
        <w:t xml:space="preserve">  </w:t>
      </w:r>
      <w:r w:rsidRPr="00E06B19">
        <w:rPr>
          <w:rFonts w:eastAsia="宋体"/>
          <w:lang w:eastAsia="zh-CN"/>
        </w:rPr>
        <w:t>期限结构</w:t>
      </w:r>
      <w:r w:rsidRPr="00E06B19">
        <w:rPr>
          <w:rFonts w:eastAsia="宋体"/>
          <w:lang w:eastAsia="zh-CN"/>
        </w:rPr>
        <w:t xml:space="preserve">  </w:t>
      </w:r>
      <w:r w:rsidRPr="00E06B19">
        <w:rPr>
          <w:rFonts w:eastAsia="宋体"/>
          <w:lang w:eastAsia="zh-CN"/>
        </w:rPr>
        <w:t>时间视角</w:t>
      </w:r>
    </w:p>
    <w:p w:rsidR="00E06B19" w:rsidRDefault="00E06B19" w:rsidP="00E06B19">
      <w:pPr>
        <w:rPr>
          <w:rFonts w:eastAsia="宋体"/>
          <w:lang w:eastAsia="zh-CN"/>
        </w:rPr>
      </w:pPr>
      <w:r w:rsidRPr="00E06B19">
        <w:rPr>
          <w:rFonts w:eastAsia="宋体" w:hint="eastAsia"/>
          <w:lang w:eastAsia="zh-CN"/>
        </w:rPr>
        <w:t>学术要点</w:t>
      </w:r>
      <w:r>
        <w:rPr>
          <w:rFonts w:eastAsia="宋体" w:hint="eastAsia"/>
          <w:lang w:eastAsia="zh-CN"/>
        </w:rPr>
        <w:t>：</w:t>
      </w:r>
    </w:p>
    <w:p w:rsidR="00DC74F3" w:rsidRPr="00DC74F3" w:rsidRDefault="00DC74F3" w:rsidP="00DC74F3">
      <w:pPr>
        <w:rPr>
          <w:rFonts w:eastAsia="宋体"/>
          <w:lang w:eastAsia="zh-CN"/>
        </w:rPr>
      </w:pPr>
      <w:r w:rsidRPr="00DC74F3">
        <w:rPr>
          <w:rFonts w:eastAsia="宋体"/>
          <w:lang w:eastAsia="zh-CN"/>
        </w:rPr>
        <w:t xml:space="preserve"> </w:t>
      </w:r>
      <w:r w:rsidR="00147A23" w:rsidRPr="00147A23">
        <w:rPr>
          <w:rFonts w:eastAsia="宋体"/>
          <w:lang w:eastAsia="zh-CN"/>
        </w:rPr>
        <w:t xml:space="preserve"> </w:t>
      </w:r>
      <w:r w:rsidR="00147A23" w:rsidRPr="00147A23">
        <w:rPr>
          <w:rFonts w:eastAsia="宋体" w:hint="eastAsia"/>
          <w:lang w:eastAsia="zh-CN"/>
        </w:rPr>
        <w:t>学术要点</w:t>
      </w:r>
      <w:r w:rsidR="00147A23" w:rsidRPr="00147A23">
        <w:rPr>
          <w:rFonts w:eastAsia="宋体"/>
          <w:lang w:eastAsia="zh-CN"/>
        </w:rPr>
        <w:t>1</w:t>
      </w:r>
      <w:r w:rsidR="00147A23" w:rsidRPr="00147A23">
        <w:rPr>
          <w:rFonts w:eastAsia="宋体" w:hint="eastAsia"/>
          <w:lang w:eastAsia="zh-CN"/>
        </w:rPr>
        <w:t>：</w:t>
      </w:r>
      <w:r w:rsidRPr="00DC74F3">
        <w:rPr>
          <w:rFonts w:eastAsia="宋体"/>
          <w:lang w:eastAsia="zh-CN"/>
        </w:rPr>
        <w:t xml:space="preserve"> </w:t>
      </w:r>
      <w:r w:rsidRPr="00DC74F3">
        <w:rPr>
          <w:rFonts w:eastAsia="宋体"/>
          <w:b/>
          <w:bCs/>
          <w:lang w:eastAsia="zh-CN"/>
        </w:rPr>
        <w:t>视距依赖的风险厌恶（</w:t>
      </w:r>
      <w:r w:rsidRPr="00DC74F3">
        <w:rPr>
          <w:rFonts w:eastAsia="宋体"/>
          <w:b/>
          <w:bCs/>
          <w:lang w:eastAsia="zh-CN"/>
        </w:rPr>
        <w:t>Horizon-Dependent Risk Aversion</w:t>
      </w:r>
      <w:r w:rsidRPr="00DC74F3">
        <w:rPr>
          <w:rFonts w:eastAsia="宋体"/>
          <w:b/>
          <w:bCs/>
          <w:lang w:eastAsia="zh-CN"/>
        </w:rPr>
        <w:t>）</w:t>
      </w:r>
      <w:r w:rsidRPr="00DC74F3">
        <w:rPr>
          <w:rFonts w:eastAsia="宋体"/>
          <w:lang w:eastAsia="zh-CN"/>
        </w:rPr>
        <w:br/>
      </w:r>
      <w:r w:rsidRPr="00DC74F3">
        <w:rPr>
          <w:rFonts w:eastAsia="宋体"/>
          <w:lang w:eastAsia="zh-CN"/>
        </w:rPr>
        <w:t>假设代理人的风险厌恶会随时间视距的增加而降低，这种动态特性为资产定价带来了新的理解方式。</w:t>
      </w:r>
    </w:p>
    <w:p w:rsidR="00DC74F3" w:rsidRPr="00DC74F3" w:rsidRDefault="00DC74F3" w:rsidP="00DC74F3">
      <w:pPr>
        <w:rPr>
          <w:rFonts w:eastAsia="宋体"/>
          <w:lang w:eastAsia="zh-CN"/>
        </w:rPr>
      </w:pPr>
      <w:r w:rsidRPr="00DC74F3">
        <w:rPr>
          <w:rFonts w:eastAsia="宋体"/>
          <w:lang w:eastAsia="zh-CN"/>
        </w:rPr>
        <w:t xml:space="preserve">  </w:t>
      </w:r>
      <w:r w:rsidR="00147A23" w:rsidRPr="00147A23">
        <w:rPr>
          <w:rFonts w:eastAsia="宋体"/>
          <w:lang w:eastAsia="zh-CN"/>
        </w:rPr>
        <w:t xml:space="preserve"> </w:t>
      </w:r>
      <w:r w:rsidR="00147A23" w:rsidRPr="00147A23">
        <w:rPr>
          <w:rFonts w:eastAsia="宋体" w:hint="eastAsia"/>
          <w:lang w:eastAsia="zh-CN"/>
        </w:rPr>
        <w:t>学术要点</w:t>
      </w:r>
      <w:r w:rsidR="00147A23">
        <w:rPr>
          <w:rFonts w:eastAsia="宋体" w:hint="eastAsia"/>
          <w:lang w:eastAsia="zh-CN"/>
        </w:rPr>
        <w:t>2</w:t>
      </w:r>
      <w:r w:rsidR="00147A23" w:rsidRPr="00147A23">
        <w:rPr>
          <w:rFonts w:eastAsia="宋体" w:hint="eastAsia"/>
          <w:lang w:eastAsia="zh-CN"/>
        </w:rPr>
        <w:t>：</w:t>
      </w:r>
      <w:r w:rsidRPr="00DC74F3">
        <w:rPr>
          <w:rFonts w:eastAsia="宋体"/>
          <w:b/>
          <w:bCs/>
          <w:lang w:eastAsia="zh-CN"/>
        </w:rPr>
        <w:t>伪递归偏好模型（</w:t>
      </w:r>
      <w:r w:rsidRPr="00DC74F3">
        <w:rPr>
          <w:rFonts w:eastAsia="宋体"/>
          <w:b/>
          <w:bCs/>
          <w:lang w:eastAsia="zh-CN"/>
        </w:rPr>
        <w:t>Pseudo-Recursive Preferences</w:t>
      </w:r>
      <w:r w:rsidRPr="00DC74F3">
        <w:rPr>
          <w:rFonts w:eastAsia="宋体"/>
          <w:b/>
          <w:bCs/>
          <w:lang w:eastAsia="zh-CN"/>
        </w:rPr>
        <w:t>）</w:t>
      </w:r>
      <w:r w:rsidRPr="00DC74F3">
        <w:rPr>
          <w:rFonts w:eastAsia="宋体"/>
          <w:lang w:eastAsia="zh-CN"/>
        </w:rPr>
        <w:br/>
      </w:r>
      <w:r w:rsidRPr="00DC74F3">
        <w:rPr>
          <w:rFonts w:eastAsia="宋体"/>
          <w:lang w:eastAsia="zh-CN"/>
        </w:rPr>
        <w:t>该模型基于</w:t>
      </w:r>
      <w:r w:rsidRPr="00DC74F3">
        <w:rPr>
          <w:rFonts w:eastAsia="宋体"/>
          <w:lang w:eastAsia="zh-CN"/>
        </w:rPr>
        <w:t>Epstein-Zin</w:t>
      </w:r>
      <w:r w:rsidRPr="00DC74F3">
        <w:rPr>
          <w:rFonts w:eastAsia="宋体"/>
          <w:lang w:eastAsia="zh-CN"/>
        </w:rPr>
        <w:t>模型，通过引入视距依赖的风险厌恶特性，有效解释了资产的长期风险溢价现象。</w:t>
      </w:r>
    </w:p>
    <w:p w:rsidR="00DC74F3" w:rsidRPr="00DC74F3" w:rsidRDefault="00DC74F3" w:rsidP="00DC74F3">
      <w:pPr>
        <w:rPr>
          <w:rFonts w:eastAsia="宋体"/>
          <w:lang w:eastAsia="zh-CN"/>
        </w:rPr>
      </w:pPr>
      <w:r w:rsidRPr="00DC74F3">
        <w:rPr>
          <w:rFonts w:eastAsia="宋体"/>
          <w:lang w:eastAsia="zh-CN"/>
        </w:rPr>
        <w:t xml:space="preserve">  </w:t>
      </w:r>
      <w:r w:rsidR="00147A23" w:rsidRPr="00147A23">
        <w:rPr>
          <w:rFonts w:eastAsia="宋体"/>
          <w:lang w:eastAsia="zh-CN"/>
        </w:rPr>
        <w:t xml:space="preserve"> </w:t>
      </w:r>
      <w:r w:rsidR="00147A23" w:rsidRPr="00147A23">
        <w:rPr>
          <w:rFonts w:eastAsia="宋体" w:hint="eastAsia"/>
          <w:lang w:eastAsia="zh-CN"/>
        </w:rPr>
        <w:t>学术要点</w:t>
      </w:r>
      <w:r w:rsidR="00147A23">
        <w:rPr>
          <w:rFonts w:eastAsia="宋体" w:hint="eastAsia"/>
          <w:lang w:eastAsia="zh-CN"/>
        </w:rPr>
        <w:t>3</w:t>
      </w:r>
      <w:r w:rsidR="00147A23" w:rsidRPr="00147A23">
        <w:rPr>
          <w:rFonts w:eastAsia="宋体" w:hint="eastAsia"/>
          <w:lang w:eastAsia="zh-CN"/>
        </w:rPr>
        <w:t>：</w:t>
      </w:r>
      <w:r w:rsidRPr="00DC74F3">
        <w:rPr>
          <w:rFonts w:eastAsia="宋体"/>
          <w:b/>
          <w:bCs/>
          <w:lang w:eastAsia="zh-CN"/>
        </w:rPr>
        <w:t>时序溢价（</w:t>
      </w:r>
      <w:r w:rsidRPr="00DC74F3">
        <w:rPr>
          <w:rFonts w:eastAsia="宋体"/>
          <w:b/>
          <w:bCs/>
          <w:lang w:eastAsia="zh-CN"/>
        </w:rPr>
        <w:t>Timing Premium</w:t>
      </w:r>
      <w:r w:rsidRPr="00DC74F3">
        <w:rPr>
          <w:rFonts w:eastAsia="宋体"/>
          <w:b/>
          <w:bCs/>
          <w:lang w:eastAsia="zh-CN"/>
        </w:rPr>
        <w:t>）</w:t>
      </w:r>
      <w:r w:rsidRPr="00DC74F3">
        <w:rPr>
          <w:rFonts w:eastAsia="宋体"/>
          <w:lang w:eastAsia="zh-CN"/>
        </w:rPr>
        <w:br/>
      </w:r>
      <w:r w:rsidRPr="00DC74F3">
        <w:rPr>
          <w:rFonts w:eastAsia="宋体"/>
          <w:lang w:eastAsia="zh-CN"/>
        </w:rPr>
        <w:t>该溢价反映了代理人对早期或晚期不确定性解析的偏好，视距依赖的风险厌恶模型降低了对早期不确定性解析的强烈偏好。</w:t>
      </w:r>
    </w:p>
    <w:p w:rsidR="00DC74F3" w:rsidRPr="00DC74F3" w:rsidRDefault="00DC74F3" w:rsidP="00DC74F3">
      <w:pPr>
        <w:rPr>
          <w:rFonts w:eastAsia="宋体"/>
          <w:lang w:eastAsia="zh-CN"/>
        </w:rPr>
      </w:pPr>
      <w:r w:rsidRPr="00DC74F3">
        <w:rPr>
          <w:rFonts w:eastAsia="宋体"/>
          <w:lang w:eastAsia="zh-CN"/>
        </w:rPr>
        <w:lastRenderedPageBreak/>
        <w:t xml:space="preserve">  </w:t>
      </w:r>
      <w:r w:rsidR="00147A23" w:rsidRPr="00147A23">
        <w:rPr>
          <w:rFonts w:eastAsia="宋体"/>
          <w:lang w:eastAsia="zh-CN"/>
        </w:rPr>
        <w:t xml:space="preserve"> </w:t>
      </w:r>
      <w:r w:rsidR="00147A23" w:rsidRPr="00147A23">
        <w:rPr>
          <w:rFonts w:eastAsia="宋体" w:hint="eastAsia"/>
          <w:lang w:eastAsia="zh-CN"/>
        </w:rPr>
        <w:t>学术要点</w:t>
      </w:r>
      <w:r w:rsidR="00147A23">
        <w:rPr>
          <w:rFonts w:eastAsia="宋体" w:hint="eastAsia"/>
          <w:lang w:eastAsia="zh-CN"/>
        </w:rPr>
        <w:t>4</w:t>
      </w:r>
      <w:r w:rsidR="00147A23" w:rsidRPr="00147A23">
        <w:rPr>
          <w:rFonts w:eastAsia="宋体" w:hint="eastAsia"/>
          <w:lang w:eastAsia="zh-CN"/>
        </w:rPr>
        <w:t>：</w:t>
      </w:r>
      <w:r w:rsidRPr="00DC74F3">
        <w:rPr>
          <w:rFonts w:eastAsia="宋体"/>
          <w:b/>
          <w:bCs/>
          <w:lang w:eastAsia="zh-CN"/>
        </w:rPr>
        <w:t>消费波动定价（</w:t>
      </w:r>
      <w:r w:rsidRPr="00DC74F3">
        <w:rPr>
          <w:rFonts w:eastAsia="宋体"/>
          <w:b/>
          <w:bCs/>
          <w:lang w:eastAsia="zh-CN"/>
        </w:rPr>
        <w:t>Pricing of Consumption Volatility Shocks</w:t>
      </w:r>
      <w:r w:rsidRPr="00DC74F3">
        <w:rPr>
          <w:rFonts w:eastAsia="宋体"/>
          <w:b/>
          <w:bCs/>
          <w:lang w:eastAsia="zh-CN"/>
        </w:rPr>
        <w:t>）</w:t>
      </w:r>
      <w:r w:rsidRPr="00DC74F3">
        <w:rPr>
          <w:rFonts w:eastAsia="宋体"/>
          <w:lang w:eastAsia="zh-CN"/>
        </w:rPr>
        <w:br/>
      </w:r>
      <w:r w:rsidRPr="00DC74F3">
        <w:rPr>
          <w:rFonts w:eastAsia="宋体"/>
          <w:lang w:eastAsia="zh-CN"/>
        </w:rPr>
        <w:t>引入视距依赖风险厌恶后，模型降低了对长时间消费波动风险的溢价需求，增强了对宏观经济波动的解释力。</w:t>
      </w:r>
    </w:p>
    <w:p w:rsidR="00DC74F3" w:rsidRPr="00DC74F3" w:rsidRDefault="00DC74F3" w:rsidP="00DC74F3">
      <w:pPr>
        <w:rPr>
          <w:rFonts w:eastAsia="宋体"/>
          <w:lang w:eastAsia="zh-CN"/>
        </w:rPr>
      </w:pPr>
      <w:r w:rsidRPr="00DC74F3">
        <w:rPr>
          <w:rFonts w:eastAsia="宋体"/>
          <w:lang w:eastAsia="zh-CN"/>
        </w:rPr>
        <w:t xml:space="preserve"> </w:t>
      </w:r>
      <w:r w:rsidR="00147A23" w:rsidRPr="00147A23">
        <w:rPr>
          <w:rFonts w:eastAsia="宋体"/>
          <w:lang w:eastAsia="zh-CN"/>
        </w:rPr>
        <w:t xml:space="preserve"> </w:t>
      </w:r>
      <w:r w:rsidR="00147A23" w:rsidRPr="00147A23">
        <w:rPr>
          <w:rFonts w:eastAsia="宋体" w:hint="eastAsia"/>
          <w:lang w:eastAsia="zh-CN"/>
        </w:rPr>
        <w:t>学术要点</w:t>
      </w:r>
      <w:r w:rsidR="00147A23">
        <w:rPr>
          <w:rFonts w:eastAsia="宋体" w:hint="eastAsia"/>
          <w:lang w:eastAsia="zh-CN"/>
        </w:rPr>
        <w:t>5</w:t>
      </w:r>
      <w:r w:rsidR="00147A23" w:rsidRPr="00147A23">
        <w:rPr>
          <w:rFonts w:eastAsia="宋体" w:hint="eastAsia"/>
          <w:lang w:eastAsia="zh-CN"/>
        </w:rPr>
        <w:t>：</w:t>
      </w:r>
      <w:r w:rsidRPr="00DC74F3">
        <w:rPr>
          <w:rFonts w:eastAsia="宋体"/>
          <w:lang w:eastAsia="zh-CN"/>
        </w:rPr>
        <w:t xml:space="preserve"> </w:t>
      </w:r>
      <w:r w:rsidRPr="00DC74F3">
        <w:rPr>
          <w:rFonts w:eastAsia="宋体"/>
          <w:b/>
          <w:bCs/>
          <w:lang w:eastAsia="zh-CN"/>
        </w:rPr>
        <w:t>宏观经济公告溢价（</w:t>
      </w:r>
      <w:r w:rsidRPr="00DC74F3">
        <w:rPr>
          <w:rFonts w:eastAsia="宋体"/>
          <w:b/>
          <w:bCs/>
          <w:lang w:eastAsia="zh-CN"/>
        </w:rPr>
        <w:t>Macroeconomic Announcement Premium</w:t>
      </w:r>
      <w:r w:rsidRPr="00DC74F3">
        <w:rPr>
          <w:rFonts w:eastAsia="宋体"/>
          <w:b/>
          <w:bCs/>
          <w:lang w:eastAsia="zh-CN"/>
        </w:rPr>
        <w:t>）</w:t>
      </w:r>
      <w:r w:rsidRPr="00DC74F3">
        <w:rPr>
          <w:rFonts w:eastAsia="宋体"/>
          <w:lang w:eastAsia="zh-CN"/>
        </w:rPr>
        <w:br/>
      </w:r>
      <w:r w:rsidRPr="00DC74F3">
        <w:rPr>
          <w:rFonts w:eastAsia="宋体"/>
          <w:lang w:eastAsia="zh-CN"/>
        </w:rPr>
        <w:t>模型解释了宏观经济公告日前后的股权高回报现象，通过较低的时序溢价与市场公告效果相关联</w:t>
      </w:r>
      <w:r w:rsidRPr="00DC74F3">
        <w:rPr>
          <w:rFonts w:eastAsia="宋体"/>
          <w:lang w:eastAsia="zh-CN"/>
        </w:rPr>
        <w:t>​</w:t>
      </w:r>
    </w:p>
    <w:p w:rsidR="00DC74F3" w:rsidRPr="00DC74F3" w:rsidRDefault="00DC74F3" w:rsidP="00E06B19">
      <w:pPr>
        <w:rPr>
          <w:rFonts w:eastAsia="宋体"/>
          <w:lang w:eastAsia="zh-CN"/>
        </w:rPr>
      </w:pPr>
    </w:p>
    <w:p w:rsidR="00DC74F3" w:rsidRPr="00E06B19" w:rsidRDefault="00DC74F3" w:rsidP="00E06B19">
      <w:pPr>
        <w:rPr>
          <w:rFonts w:eastAsia="宋体"/>
          <w:lang w:eastAsia="zh-CN"/>
        </w:rPr>
      </w:pPr>
    </w:p>
    <w:sectPr w:rsidR="00DC74F3" w:rsidRPr="00E06B1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348138870">
    <w:abstractNumId w:val="8"/>
  </w:num>
  <w:num w:numId="2" w16cid:durableId="1662807816">
    <w:abstractNumId w:val="6"/>
  </w:num>
  <w:num w:numId="3" w16cid:durableId="580259639">
    <w:abstractNumId w:val="5"/>
  </w:num>
  <w:num w:numId="4" w16cid:durableId="1742215131">
    <w:abstractNumId w:val="4"/>
  </w:num>
  <w:num w:numId="5" w16cid:durableId="517742322">
    <w:abstractNumId w:val="7"/>
  </w:num>
  <w:num w:numId="6" w16cid:durableId="168911419">
    <w:abstractNumId w:val="3"/>
  </w:num>
  <w:num w:numId="7" w16cid:durableId="1453091755">
    <w:abstractNumId w:val="2"/>
  </w:num>
  <w:num w:numId="8" w16cid:durableId="1266498952">
    <w:abstractNumId w:val="1"/>
  </w:num>
  <w:num w:numId="9" w16cid:durableId="15775870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bordersDoNotSurroundHeader/>
  <w:bordersDoNotSurroundFooter/>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2C5A"/>
    <w:rsid w:val="0006063C"/>
    <w:rsid w:val="000D612D"/>
    <w:rsid w:val="00147A23"/>
    <w:rsid w:val="0015074B"/>
    <w:rsid w:val="0029639D"/>
    <w:rsid w:val="002D2A64"/>
    <w:rsid w:val="00326F90"/>
    <w:rsid w:val="00490C09"/>
    <w:rsid w:val="00AA18DC"/>
    <w:rsid w:val="00AA1D8D"/>
    <w:rsid w:val="00B47730"/>
    <w:rsid w:val="00CB0664"/>
    <w:rsid w:val="00DC74F3"/>
    <w:rsid w:val="00E06B19"/>
    <w:rsid w:val="00F70C9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86DBE5"/>
  <w14:defaultImageDpi w14:val="300"/>
  <w15:docId w15:val="{20C53A0A-2989-438B-9B93-6EA87BB66F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9880588">
      <w:bodyDiv w:val="1"/>
      <w:marLeft w:val="0"/>
      <w:marRight w:val="0"/>
      <w:marTop w:val="0"/>
      <w:marBottom w:val="0"/>
      <w:divBdr>
        <w:top w:val="none" w:sz="0" w:space="0" w:color="auto"/>
        <w:left w:val="none" w:sz="0" w:space="0" w:color="auto"/>
        <w:bottom w:val="none" w:sz="0" w:space="0" w:color="auto"/>
        <w:right w:val="none" w:sz="0" w:space="0" w:color="auto"/>
      </w:divBdr>
    </w:div>
    <w:div w:id="723452570">
      <w:bodyDiv w:val="1"/>
      <w:marLeft w:val="0"/>
      <w:marRight w:val="0"/>
      <w:marTop w:val="0"/>
      <w:marBottom w:val="0"/>
      <w:divBdr>
        <w:top w:val="none" w:sz="0" w:space="0" w:color="auto"/>
        <w:left w:val="none" w:sz="0" w:space="0" w:color="auto"/>
        <w:bottom w:val="none" w:sz="0" w:space="0" w:color="auto"/>
        <w:right w:val="none" w:sz="0" w:space="0" w:color="auto"/>
      </w:divBdr>
    </w:div>
    <w:div w:id="1422217291">
      <w:bodyDiv w:val="1"/>
      <w:marLeft w:val="0"/>
      <w:marRight w:val="0"/>
      <w:marTop w:val="0"/>
      <w:marBottom w:val="0"/>
      <w:divBdr>
        <w:top w:val="none" w:sz="0" w:space="0" w:color="auto"/>
        <w:left w:val="none" w:sz="0" w:space="0" w:color="auto"/>
        <w:bottom w:val="none" w:sz="0" w:space="0" w:color="auto"/>
        <w:right w:val="none" w:sz="0" w:space="0" w:color="auto"/>
      </w:divBdr>
    </w:div>
    <w:div w:id="166208145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268</Words>
  <Characters>1533</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巧云 雷</cp:lastModifiedBy>
  <cp:revision>5</cp:revision>
  <dcterms:created xsi:type="dcterms:W3CDTF">2013-12-23T23:15:00Z</dcterms:created>
  <dcterms:modified xsi:type="dcterms:W3CDTF">2024-11-21T14:29:00Z</dcterms:modified>
  <cp:category/>
</cp:coreProperties>
</file>