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00A53" w:rsidRDefault="00000000">
      <w:r>
        <w:t>标题：</w:t>
      </w:r>
      <w:r>
        <w:t>The Technical Default Spread</w:t>
      </w:r>
    </w:p>
    <w:p w:rsidR="00C00A53" w:rsidRDefault="00000000">
      <w:r>
        <w:t>作者及机构：</w:t>
      </w:r>
      <w:r>
        <w:t>Emilio Bisetti: Hong Kong University of Science and Technology, Hong Kong SAR</w:t>
      </w:r>
    </w:p>
    <w:p w:rsidR="00C00A53" w:rsidRDefault="00000000">
      <w:r>
        <w:t>Kai Li</w:t>
      </w:r>
      <w:r w:rsidR="003A1B77">
        <w:rPr>
          <w:rFonts w:eastAsia="宋体" w:hint="eastAsia"/>
          <w:lang w:eastAsia="zh-CN"/>
        </w:rPr>
        <w:t xml:space="preserve"> *</w:t>
      </w:r>
      <w:r>
        <w:t>: Peking University HSBC Business School and the PHBS Sargent Institute of Quantitative Economics and Finance, P.</w:t>
      </w:r>
      <w:proofErr w:type="gramStart"/>
      <w:r>
        <w:t>R.China</w:t>
      </w:r>
      <w:proofErr w:type="gramEnd"/>
    </w:p>
    <w:p w:rsidR="00C00A53" w:rsidRDefault="00000000">
      <w:r>
        <w:t xml:space="preserve">Jun Yu: University of </w:t>
      </w:r>
      <w:proofErr w:type="gramStart"/>
      <w:r>
        <w:t>Melbourne,Australia</w:t>
      </w:r>
      <w:proofErr w:type="gramEnd"/>
    </w:p>
    <w:p w:rsidR="00C00A53" w:rsidRDefault="00000000">
      <w:pPr>
        <w:rPr>
          <w:rFonts w:eastAsia="宋体"/>
          <w:lang w:eastAsia="zh-CN"/>
        </w:rPr>
      </w:pPr>
      <w:r>
        <w:t>摘要：</w:t>
      </w:r>
      <w:r>
        <w:t>We study the quantitative impact of lender control rights on corporate investment, asset prices, and the aggregate economy. We build a general equilibrium model in which the breaching of a loan covenant (technical default) entails a switch in investment control rights from borrowers to lenders. Lenders optimally choose low-risk projects, thus mitigating borrowers’ risk-taking incentives and lowering the cost of equity. This mechanism generates strong macroeconomic effects and mitigates the financial accelerator. Consistent with our model, proximity to technical default in the data is associated with 4.12% lower returns and lower exposure to systematic risk.</w:t>
      </w:r>
    </w:p>
    <w:p w:rsidR="00743980" w:rsidRDefault="008042AE" w:rsidP="000708A3">
      <w:pPr>
        <w:rPr>
          <w:rFonts w:eastAsia="宋体"/>
          <w:lang w:eastAsia="zh-CN"/>
        </w:rPr>
      </w:pPr>
      <w:r w:rsidRPr="008042AE">
        <w:rPr>
          <w:rFonts w:eastAsia="宋体"/>
          <w:lang w:eastAsia="zh-CN"/>
        </w:rPr>
        <w:t>AI</w:t>
      </w:r>
      <w:r w:rsidRPr="008042AE">
        <w:rPr>
          <w:rFonts w:eastAsia="宋体" w:hint="eastAsia"/>
          <w:lang w:eastAsia="zh-CN"/>
        </w:rPr>
        <w:t>标题：</w:t>
      </w:r>
      <w:r w:rsidR="00743980" w:rsidRPr="00743980">
        <w:rPr>
          <w:rFonts w:eastAsia="宋体"/>
          <w:lang w:eastAsia="zh-CN"/>
        </w:rPr>
        <w:t>"</w:t>
      </w:r>
      <w:r w:rsidR="00743980" w:rsidRPr="00743980">
        <w:rPr>
          <w:rFonts w:eastAsia="宋体"/>
          <w:lang w:eastAsia="zh-CN"/>
        </w:rPr>
        <w:t>重塑金融世界：贷款人控制权如何影响全球经济格局</w:t>
      </w:r>
      <w:r w:rsidR="00743980" w:rsidRPr="00743980">
        <w:rPr>
          <w:rFonts w:eastAsia="宋体"/>
          <w:lang w:eastAsia="zh-CN"/>
        </w:rPr>
        <w:t>"</w:t>
      </w:r>
    </w:p>
    <w:p w:rsidR="006432C2" w:rsidRDefault="008042AE" w:rsidP="000708A3">
      <w:pPr>
        <w:rPr>
          <w:rFonts w:eastAsia="宋体"/>
          <w:lang w:eastAsia="zh-CN"/>
        </w:rPr>
      </w:pPr>
      <w:r w:rsidRPr="008042AE">
        <w:rPr>
          <w:rFonts w:eastAsia="宋体"/>
          <w:lang w:eastAsia="zh-CN"/>
        </w:rPr>
        <w:t>AI</w:t>
      </w:r>
      <w:r w:rsidRPr="008042AE">
        <w:rPr>
          <w:rFonts w:eastAsia="宋体" w:hint="eastAsia"/>
          <w:lang w:eastAsia="zh-CN"/>
        </w:rPr>
        <w:t>精炼：</w:t>
      </w:r>
      <w:r w:rsidR="00743980" w:rsidRPr="00743980">
        <w:rPr>
          <w:rFonts w:eastAsia="宋体"/>
          <w:lang w:eastAsia="zh-CN"/>
        </w:rPr>
        <w:t>该论文研究了贷款人控制权在公司投资、资产价格及整体经济中的量化影响。通过构建一个普遍均衡模型来分析贷款契约违约（技术性违约）导致从借款人到贷款人的投资控制权转移。贷款人会优化选择低风险项目，从而减少借款人的风险投资倾向并降低股本成本。这种机制产生了强大的宏观经济效应，并缓解了金融加速器的影响。数据显示，接近技术性违约的公司其回报率较低，面临的系统性风险也较小。</w:t>
      </w:r>
    </w:p>
    <w:p w:rsidR="00743980" w:rsidRDefault="008042AE" w:rsidP="00743980">
      <w:pPr>
        <w:rPr>
          <w:rFonts w:eastAsia="宋体"/>
          <w:lang w:eastAsia="zh-CN"/>
        </w:rPr>
      </w:pPr>
      <w:r w:rsidRPr="008042AE">
        <w:rPr>
          <w:rFonts w:eastAsia="宋体" w:hint="eastAsia"/>
          <w:lang w:eastAsia="zh-CN"/>
        </w:rPr>
        <w:t>关键字【数据库检索】：</w:t>
      </w:r>
      <w:r w:rsidR="00743980" w:rsidRPr="00743980">
        <w:rPr>
          <w:rFonts w:eastAsia="宋体"/>
          <w:lang w:eastAsia="zh-CN"/>
        </w:rPr>
        <w:t xml:space="preserve"> </w:t>
      </w:r>
      <w:r w:rsidR="00743980" w:rsidRPr="00743980">
        <w:rPr>
          <w:rFonts w:eastAsia="宋体"/>
          <w:lang w:eastAsia="zh-CN"/>
        </w:rPr>
        <w:t>贷款人控制权</w:t>
      </w:r>
      <w:r w:rsidR="00743980" w:rsidRPr="00743980">
        <w:rPr>
          <w:rFonts w:eastAsia="宋体"/>
          <w:lang w:eastAsia="zh-CN"/>
        </w:rPr>
        <w:t xml:space="preserve">  </w:t>
      </w:r>
      <w:r w:rsidR="00743980" w:rsidRPr="00743980">
        <w:rPr>
          <w:rFonts w:eastAsia="宋体"/>
          <w:lang w:eastAsia="zh-CN"/>
        </w:rPr>
        <w:t>技术性违约</w:t>
      </w:r>
      <w:r w:rsidR="00743980" w:rsidRPr="00743980">
        <w:rPr>
          <w:rFonts w:eastAsia="宋体"/>
          <w:lang w:eastAsia="zh-CN"/>
        </w:rPr>
        <w:t xml:space="preserve">  </w:t>
      </w:r>
      <w:r w:rsidR="00743980" w:rsidRPr="00743980">
        <w:rPr>
          <w:rFonts w:eastAsia="宋体"/>
          <w:lang w:eastAsia="zh-CN"/>
        </w:rPr>
        <w:t>普遍均衡模型</w:t>
      </w:r>
      <w:r w:rsidR="00743980" w:rsidRPr="00743980">
        <w:rPr>
          <w:rFonts w:eastAsia="宋体"/>
          <w:lang w:eastAsia="zh-CN"/>
        </w:rPr>
        <w:t xml:space="preserve">  </w:t>
      </w:r>
      <w:r w:rsidR="00743980" w:rsidRPr="00743980">
        <w:rPr>
          <w:rFonts w:eastAsia="宋体"/>
          <w:lang w:eastAsia="zh-CN"/>
        </w:rPr>
        <w:t>低风险项目</w:t>
      </w:r>
      <w:r w:rsidR="00743980" w:rsidRPr="00743980">
        <w:rPr>
          <w:rFonts w:eastAsia="宋体"/>
          <w:lang w:eastAsia="zh-CN"/>
        </w:rPr>
        <w:t xml:space="preserve">  </w:t>
      </w:r>
      <w:r w:rsidR="00743980" w:rsidRPr="00743980">
        <w:rPr>
          <w:rFonts w:eastAsia="宋体"/>
          <w:lang w:eastAsia="zh-CN"/>
        </w:rPr>
        <w:t>风险投资倾向</w:t>
      </w:r>
      <w:r w:rsidR="00743980" w:rsidRPr="00743980">
        <w:rPr>
          <w:rFonts w:eastAsia="宋体"/>
          <w:lang w:eastAsia="zh-CN"/>
        </w:rPr>
        <w:t xml:space="preserve">  </w:t>
      </w:r>
      <w:r w:rsidR="00743980" w:rsidRPr="00743980">
        <w:rPr>
          <w:rFonts w:eastAsia="宋体"/>
          <w:lang w:eastAsia="zh-CN"/>
        </w:rPr>
        <w:t>股本成本</w:t>
      </w:r>
      <w:r w:rsidR="00743980" w:rsidRPr="00743980">
        <w:rPr>
          <w:rFonts w:eastAsia="宋体"/>
          <w:lang w:eastAsia="zh-CN"/>
        </w:rPr>
        <w:t xml:space="preserve">  </w:t>
      </w:r>
      <w:r w:rsidR="00743980" w:rsidRPr="00743980">
        <w:rPr>
          <w:rFonts w:eastAsia="宋体"/>
          <w:lang w:eastAsia="zh-CN"/>
        </w:rPr>
        <w:t>宏观经济效应</w:t>
      </w:r>
      <w:r w:rsidR="00743980" w:rsidRPr="00743980">
        <w:rPr>
          <w:rFonts w:eastAsia="宋体"/>
          <w:lang w:eastAsia="zh-CN"/>
        </w:rPr>
        <w:t xml:space="preserve">  </w:t>
      </w:r>
      <w:r w:rsidR="00743980" w:rsidRPr="00743980">
        <w:rPr>
          <w:rFonts w:eastAsia="宋体"/>
          <w:lang w:eastAsia="zh-CN"/>
        </w:rPr>
        <w:t>金融加速器</w:t>
      </w:r>
      <w:r w:rsidR="00743980" w:rsidRPr="00743980">
        <w:rPr>
          <w:rFonts w:eastAsia="宋体"/>
          <w:lang w:eastAsia="zh-CN"/>
        </w:rPr>
        <w:t xml:space="preserve">  </w:t>
      </w:r>
      <w:r w:rsidR="00743980" w:rsidRPr="00743980">
        <w:rPr>
          <w:rFonts w:eastAsia="宋体"/>
          <w:lang w:eastAsia="zh-CN"/>
        </w:rPr>
        <w:t>系统性风险</w:t>
      </w:r>
      <w:r w:rsidR="00743980" w:rsidRPr="00743980">
        <w:rPr>
          <w:rFonts w:eastAsia="宋体"/>
          <w:lang w:eastAsia="zh-CN"/>
        </w:rPr>
        <w:t xml:space="preserve">  </w:t>
      </w:r>
      <w:r w:rsidR="00743980" w:rsidRPr="00743980">
        <w:rPr>
          <w:rFonts w:eastAsia="宋体"/>
          <w:lang w:eastAsia="zh-CN"/>
        </w:rPr>
        <w:t>资产价格</w:t>
      </w:r>
    </w:p>
    <w:p w:rsidR="00CB4210" w:rsidRDefault="008042AE" w:rsidP="00743980">
      <w:pPr>
        <w:rPr>
          <w:rFonts w:eastAsia="宋体"/>
          <w:lang w:eastAsia="zh-CN"/>
        </w:rPr>
      </w:pPr>
      <w:r w:rsidRPr="008042AE">
        <w:rPr>
          <w:rFonts w:eastAsia="宋体" w:hint="eastAsia"/>
          <w:lang w:eastAsia="zh-CN"/>
        </w:rPr>
        <w:t>学术要点：</w:t>
      </w:r>
    </w:p>
    <w:p w:rsidR="00CB4210" w:rsidRPr="00CB4210" w:rsidRDefault="00CB4210" w:rsidP="00CB4210">
      <w:pPr>
        <w:rPr>
          <w:rFonts w:eastAsia="宋体"/>
          <w:lang w:eastAsia="zh-CN"/>
        </w:rPr>
      </w:pPr>
      <w:r w:rsidRPr="00CB4210">
        <w:rPr>
          <w:rFonts w:eastAsia="宋体"/>
          <w:lang w:eastAsia="zh-CN"/>
        </w:rPr>
        <w:t xml:space="preserve">  </w:t>
      </w:r>
      <w:r w:rsidR="0080430B" w:rsidRPr="0080430B">
        <w:rPr>
          <w:rFonts w:eastAsia="宋体"/>
          <w:lang w:eastAsia="zh-CN"/>
        </w:rPr>
        <w:t xml:space="preserve"> </w:t>
      </w:r>
      <w:r w:rsidR="0080430B" w:rsidRPr="0080430B">
        <w:rPr>
          <w:rFonts w:eastAsia="宋体" w:hint="eastAsia"/>
          <w:lang w:eastAsia="zh-CN"/>
        </w:rPr>
        <w:t>学术要点</w:t>
      </w:r>
      <w:r w:rsidR="0080430B" w:rsidRPr="0080430B">
        <w:rPr>
          <w:rFonts w:eastAsia="宋体"/>
          <w:lang w:eastAsia="zh-CN"/>
        </w:rPr>
        <w:t>1</w:t>
      </w:r>
      <w:r w:rsidR="0080430B" w:rsidRPr="0080430B">
        <w:rPr>
          <w:rFonts w:eastAsia="宋体" w:hint="eastAsia"/>
          <w:lang w:eastAsia="zh-CN"/>
        </w:rPr>
        <w:t>：</w:t>
      </w:r>
      <w:r w:rsidRPr="00CB4210">
        <w:rPr>
          <w:rFonts w:eastAsia="宋体"/>
          <w:b/>
          <w:bCs/>
          <w:lang w:eastAsia="zh-CN"/>
        </w:rPr>
        <w:t>技术性违约扩散（</w:t>
      </w:r>
      <w:r w:rsidRPr="00CB4210">
        <w:rPr>
          <w:rFonts w:eastAsia="宋体"/>
          <w:b/>
          <w:bCs/>
          <w:lang w:eastAsia="zh-CN"/>
        </w:rPr>
        <w:t>Technical Default Spread</w:t>
      </w:r>
      <w:r w:rsidRPr="00CB4210">
        <w:rPr>
          <w:rFonts w:eastAsia="宋体"/>
          <w:b/>
          <w:bCs/>
          <w:lang w:eastAsia="zh-CN"/>
        </w:rPr>
        <w:t>）</w:t>
      </w:r>
      <w:r w:rsidRPr="00CB4210">
        <w:rPr>
          <w:rFonts w:eastAsia="宋体"/>
          <w:lang w:eastAsia="zh-CN"/>
        </w:rPr>
        <w:br/>
      </w:r>
      <w:r w:rsidRPr="00CB4210">
        <w:rPr>
          <w:rFonts w:eastAsia="宋体"/>
          <w:lang w:eastAsia="zh-CN"/>
        </w:rPr>
        <w:t>研究技术性违约对公司投资和资产价格的影响，发现技术性违约情况会导致公司平均回报率下降，并降低系统性风险暴露。</w:t>
      </w:r>
    </w:p>
    <w:p w:rsidR="00CB4210" w:rsidRPr="00CB4210" w:rsidRDefault="00CB4210" w:rsidP="00CB4210">
      <w:pPr>
        <w:rPr>
          <w:rFonts w:eastAsia="宋体"/>
          <w:lang w:eastAsia="zh-CN"/>
        </w:rPr>
      </w:pPr>
      <w:r w:rsidRPr="00CB4210">
        <w:rPr>
          <w:rFonts w:eastAsia="宋体"/>
          <w:lang w:eastAsia="zh-CN"/>
        </w:rPr>
        <w:t xml:space="preserve"> </w:t>
      </w:r>
      <w:r w:rsidR="0080430B" w:rsidRPr="0080430B">
        <w:rPr>
          <w:rFonts w:eastAsia="宋体"/>
          <w:lang w:eastAsia="zh-CN"/>
        </w:rPr>
        <w:t xml:space="preserve"> </w:t>
      </w:r>
      <w:r w:rsidR="0080430B" w:rsidRPr="0080430B">
        <w:rPr>
          <w:rFonts w:eastAsia="宋体" w:hint="eastAsia"/>
          <w:lang w:eastAsia="zh-CN"/>
        </w:rPr>
        <w:t>学术要点</w:t>
      </w:r>
      <w:r w:rsidR="0080430B">
        <w:rPr>
          <w:rFonts w:eastAsia="宋体" w:hint="eastAsia"/>
          <w:lang w:eastAsia="zh-CN"/>
        </w:rPr>
        <w:t>2</w:t>
      </w:r>
      <w:r w:rsidR="0080430B" w:rsidRPr="0080430B">
        <w:rPr>
          <w:rFonts w:eastAsia="宋体" w:hint="eastAsia"/>
          <w:lang w:eastAsia="zh-CN"/>
        </w:rPr>
        <w:t>：</w:t>
      </w:r>
      <w:r w:rsidRPr="00CB4210">
        <w:rPr>
          <w:rFonts w:eastAsia="宋体"/>
          <w:lang w:eastAsia="zh-CN"/>
        </w:rPr>
        <w:t xml:space="preserve"> </w:t>
      </w:r>
      <w:r w:rsidRPr="00CB4210">
        <w:rPr>
          <w:rFonts w:eastAsia="宋体"/>
          <w:b/>
          <w:bCs/>
          <w:lang w:eastAsia="zh-CN"/>
        </w:rPr>
        <w:t>借贷控制权分配（</w:t>
      </w:r>
      <w:r w:rsidRPr="00CB4210">
        <w:rPr>
          <w:rFonts w:eastAsia="宋体"/>
          <w:b/>
          <w:bCs/>
          <w:lang w:eastAsia="zh-CN"/>
        </w:rPr>
        <w:t>Lender Control Rights Allocation</w:t>
      </w:r>
      <w:r w:rsidRPr="00CB4210">
        <w:rPr>
          <w:rFonts w:eastAsia="宋体"/>
          <w:b/>
          <w:bCs/>
          <w:lang w:eastAsia="zh-CN"/>
        </w:rPr>
        <w:t>）</w:t>
      </w:r>
      <w:r w:rsidRPr="00CB4210">
        <w:rPr>
          <w:rFonts w:eastAsia="宋体"/>
          <w:lang w:eastAsia="zh-CN"/>
        </w:rPr>
        <w:br/>
      </w:r>
      <w:r w:rsidRPr="00CB4210">
        <w:rPr>
          <w:rFonts w:eastAsia="宋体"/>
          <w:lang w:eastAsia="zh-CN"/>
        </w:rPr>
        <w:t>在触发技术性违约条款后，投资控制权从借款人转移至贷款方，贷款方在控制下优先选择低风险项目，从而减轻金融加速器效应。</w:t>
      </w:r>
    </w:p>
    <w:p w:rsidR="00CB4210" w:rsidRPr="00CB4210" w:rsidRDefault="00CB4210" w:rsidP="00CB4210">
      <w:pPr>
        <w:rPr>
          <w:rFonts w:eastAsia="宋体"/>
          <w:lang w:eastAsia="zh-CN"/>
        </w:rPr>
      </w:pPr>
      <w:r w:rsidRPr="00CB4210">
        <w:rPr>
          <w:rFonts w:eastAsia="宋体"/>
          <w:lang w:eastAsia="zh-CN"/>
        </w:rPr>
        <w:t xml:space="preserve">  </w:t>
      </w:r>
      <w:r w:rsidR="0080430B" w:rsidRPr="0080430B">
        <w:rPr>
          <w:rFonts w:eastAsia="宋体"/>
          <w:lang w:eastAsia="zh-CN"/>
        </w:rPr>
        <w:t xml:space="preserve"> </w:t>
      </w:r>
      <w:r w:rsidR="0080430B" w:rsidRPr="0080430B">
        <w:rPr>
          <w:rFonts w:eastAsia="宋体" w:hint="eastAsia"/>
          <w:lang w:eastAsia="zh-CN"/>
        </w:rPr>
        <w:t>学术要点</w:t>
      </w:r>
      <w:r w:rsidR="0080430B">
        <w:rPr>
          <w:rFonts w:eastAsia="宋体" w:hint="eastAsia"/>
          <w:lang w:eastAsia="zh-CN"/>
        </w:rPr>
        <w:t>3</w:t>
      </w:r>
      <w:r w:rsidR="0080430B" w:rsidRPr="0080430B">
        <w:rPr>
          <w:rFonts w:eastAsia="宋体" w:hint="eastAsia"/>
          <w:lang w:eastAsia="zh-CN"/>
        </w:rPr>
        <w:t>：</w:t>
      </w:r>
      <w:r w:rsidRPr="00CB4210">
        <w:rPr>
          <w:rFonts w:eastAsia="宋体"/>
          <w:b/>
          <w:bCs/>
          <w:lang w:eastAsia="zh-CN"/>
        </w:rPr>
        <w:t>严格性与预期回报（</w:t>
      </w:r>
      <w:r w:rsidRPr="00CB4210">
        <w:rPr>
          <w:rFonts w:eastAsia="宋体"/>
          <w:b/>
          <w:bCs/>
          <w:lang w:eastAsia="zh-CN"/>
        </w:rPr>
        <w:t>Strictness and Expected Returns</w:t>
      </w:r>
      <w:r w:rsidRPr="00CB4210">
        <w:rPr>
          <w:rFonts w:eastAsia="宋体"/>
          <w:b/>
          <w:bCs/>
          <w:lang w:eastAsia="zh-CN"/>
        </w:rPr>
        <w:t>）</w:t>
      </w:r>
      <w:r w:rsidRPr="00CB4210">
        <w:rPr>
          <w:rFonts w:eastAsia="宋体"/>
          <w:lang w:eastAsia="zh-CN"/>
        </w:rPr>
        <w:br/>
      </w:r>
      <w:r w:rsidRPr="00CB4210">
        <w:rPr>
          <w:rFonts w:eastAsia="宋体"/>
          <w:lang w:eastAsia="zh-CN"/>
        </w:rPr>
        <w:t>高严格性的债务契约条款通常会导致较低的投资风险和较低的预期回报，尤其是在经济不稳定时期。</w:t>
      </w:r>
    </w:p>
    <w:p w:rsidR="00CB4210" w:rsidRPr="00CB4210" w:rsidRDefault="00CB4210" w:rsidP="00CB4210">
      <w:pPr>
        <w:rPr>
          <w:rFonts w:eastAsia="宋体"/>
          <w:lang w:eastAsia="zh-CN"/>
        </w:rPr>
      </w:pPr>
      <w:r w:rsidRPr="00CB4210">
        <w:rPr>
          <w:rFonts w:eastAsia="宋体"/>
          <w:lang w:eastAsia="zh-CN"/>
        </w:rPr>
        <w:lastRenderedPageBreak/>
        <w:t xml:space="preserve">  </w:t>
      </w:r>
      <w:r w:rsidR="0080430B" w:rsidRPr="0080430B">
        <w:rPr>
          <w:rFonts w:eastAsia="宋体"/>
          <w:lang w:eastAsia="zh-CN"/>
        </w:rPr>
        <w:t xml:space="preserve"> </w:t>
      </w:r>
      <w:r w:rsidR="0080430B" w:rsidRPr="0080430B">
        <w:rPr>
          <w:rFonts w:eastAsia="宋体" w:hint="eastAsia"/>
          <w:lang w:eastAsia="zh-CN"/>
        </w:rPr>
        <w:t>学术要点</w:t>
      </w:r>
      <w:r w:rsidR="0080430B">
        <w:rPr>
          <w:rFonts w:eastAsia="宋体" w:hint="eastAsia"/>
          <w:lang w:eastAsia="zh-CN"/>
        </w:rPr>
        <w:t>4</w:t>
      </w:r>
      <w:r w:rsidR="0080430B" w:rsidRPr="0080430B">
        <w:rPr>
          <w:rFonts w:eastAsia="宋体" w:hint="eastAsia"/>
          <w:lang w:eastAsia="zh-CN"/>
        </w:rPr>
        <w:t>：</w:t>
      </w:r>
      <w:r w:rsidRPr="00CB4210">
        <w:rPr>
          <w:rFonts w:eastAsia="宋体"/>
          <w:b/>
          <w:bCs/>
          <w:lang w:eastAsia="zh-CN"/>
        </w:rPr>
        <w:t>基于信号的投资控制（</w:t>
      </w:r>
      <w:r w:rsidRPr="00CB4210">
        <w:rPr>
          <w:rFonts w:eastAsia="宋体"/>
          <w:b/>
          <w:bCs/>
          <w:lang w:eastAsia="zh-CN"/>
        </w:rPr>
        <w:t>Signal-Based Investment Control</w:t>
      </w:r>
      <w:r w:rsidRPr="00CB4210">
        <w:rPr>
          <w:rFonts w:eastAsia="宋体"/>
          <w:b/>
          <w:bCs/>
          <w:lang w:eastAsia="zh-CN"/>
        </w:rPr>
        <w:t>）</w:t>
      </w:r>
      <w:r w:rsidRPr="00CB4210">
        <w:rPr>
          <w:rFonts w:eastAsia="宋体"/>
          <w:lang w:eastAsia="zh-CN"/>
        </w:rPr>
        <w:br/>
      </w:r>
      <w:r w:rsidRPr="00CB4210">
        <w:rPr>
          <w:rFonts w:eastAsia="宋体"/>
          <w:lang w:eastAsia="zh-CN"/>
        </w:rPr>
        <w:t>根据公司盈利信号的波动分配投资控制权，当信号低于阈值时，贷款方获取控制权并进行保守的投资决策。</w:t>
      </w:r>
    </w:p>
    <w:p w:rsidR="00CB4210" w:rsidRPr="00CB4210" w:rsidRDefault="00CB4210" w:rsidP="00CB4210">
      <w:pPr>
        <w:rPr>
          <w:rFonts w:eastAsia="宋体"/>
          <w:lang w:eastAsia="zh-CN"/>
        </w:rPr>
      </w:pPr>
      <w:r w:rsidRPr="00CB4210">
        <w:rPr>
          <w:rFonts w:eastAsia="宋体"/>
          <w:lang w:eastAsia="zh-CN"/>
        </w:rPr>
        <w:t xml:space="preserve">  </w:t>
      </w:r>
      <w:r w:rsidR="0080430B" w:rsidRPr="0080430B">
        <w:rPr>
          <w:rFonts w:eastAsia="宋体"/>
          <w:lang w:eastAsia="zh-CN"/>
        </w:rPr>
        <w:t xml:space="preserve"> </w:t>
      </w:r>
      <w:r w:rsidR="0080430B" w:rsidRPr="0080430B">
        <w:rPr>
          <w:rFonts w:eastAsia="宋体" w:hint="eastAsia"/>
          <w:lang w:eastAsia="zh-CN"/>
        </w:rPr>
        <w:t>学术要点</w:t>
      </w:r>
      <w:r w:rsidR="0080430B">
        <w:rPr>
          <w:rFonts w:eastAsia="宋体" w:hint="eastAsia"/>
          <w:lang w:eastAsia="zh-CN"/>
        </w:rPr>
        <w:t>5</w:t>
      </w:r>
      <w:r w:rsidR="0080430B" w:rsidRPr="0080430B">
        <w:rPr>
          <w:rFonts w:eastAsia="宋体" w:hint="eastAsia"/>
          <w:lang w:eastAsia="zh-CN"/>
        </w:rPr>
        <w:t>：</w:t>
      </w:r>
      <w:r w:rsidRPr="00CB4210">
        <w:rPr>
          <w:rFonts w:eastAsia="宋体"/>
          <w:b/>
          <w:bCs/>
          <w:lang w:eastAsia="zh-CN"/>
        </w:rPr>
        <w:t>贷款利差与经济冲击的关系（</w:t>
      </w:r>
      <w:r w:rsidRPr="00CB4210">
        <w:rPr>
          <w:rFonts w:eastAsia="宋体"/>
          <w:b/>
          <w:bCs/>
          <w:lang w:eastAsia="zh-CN"/>
        </w:rPr>
        <w:t>Loan Spread and Economic Shocks Relationship</w:t>
      </w:r>
      <w:r w:rsidRPr="00CB4210">
        <w:rPr>
          <w:rFonts w:eastAsia="宋体"/>
          <w:b/>
          <w:bCs/>
          <w:lang w:eastAsia="zh-CN"/>
        </w:rPr>
        <w:t>）</w:t>
      </w:r>
      <w:r w:rsidRPr="00CB4210">
        <w:rPr>
          <w:rFonts w:eastAsia="宋体"/>
          <w:lang w:eastAsia="zh-CN"/>
        </w:rPr>
        <w:br/>
      </w:r>
      <w:r w:rsidRPr="00CB4210">
        <w:rPr>
          <w:rFonts w:eastAsia="宋体"/>
          <w:lang w:eastAsia="zh-CN"/>
        </w:rPr>
        <w:t>研究发现，在负面经济冲击下，技术性违约条款允许贷款</w:t>
      </w:r>
      <w:proofErr w:type="gramStart"/>
      <w:r w:rsidRPr="00CB4210">
        <w:rPr>
          <w:rFonts w:eastAsia="宋体"/>
          <w:lang w:eastAsia="zh-CN"/>
        </w:rPr>
        <w:t>方保持</w:t>
      </w:r>
      <w:proofErr w:type="gramEnd"/>
      <w:r w:rsidRPr="00CB4210">
        <w:rPr>
          <w:rFonts w:eastAsia="宋体"/>
          <w:lang w:eastAsia="zh-CN"/>
        </w:rPr>
        <w:t>较低的贷款利差，从而缓解经济衰退对投资的影响</w:t>
      </w:r>
    </w:p>
    <w:p w:rsidR="008042AE" w:rsidRPr="008042AE" w:rsidRDefault="008042AE" w:rsidP="008042AE">
      <w:pPr>
        <w:rPr>
          <w:rFonts w:eastAsia="宋体"/>
          <w:lang w:eastAsia="zh-CN"/>
        </w:rPr>
      </w:pPr>
    </w:p>
    <w:sectPr w:rsidR="008042AE" w:rsidRPr="008042A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F449F" w:rsidRDefault="005F449F" w:rsidP="00743980">
      <w:pPr>
        <w:spacing w:after="0" w:line="240" w:lineRule="auto"/>
      </w:pPr>
      <w:r>
        <w:separator/>
      </w:r>
    </w:p>
  </w:endnote>
  <w:endnote w:type="continuationSeparator" w:id="0">
    <w:p w:rsidR="005F449F" w:rsidRDefault="005F449F" w:rsidP="00743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F449F" w:rsidRDefault="005F449F" w:rsidP="00743980">
      <w:pPr>
        <w:spacing w:after="0" w:line="240" w:lineRule="auto"/>
      </w:pPr>
      <w:r>
        <w:separator/>
      </w:r>
    </w:p>
  </w:footnote>
  <w:footnote w:type="continuationSeparator" w:id="0">
    <w:p w:rsidR="005F449F" w:rsidRDefault="005F449F" w:rsidP="007439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193593">
    <w:abstractNumId w:val="8"/>
  </w:num>
  <w:num w:numId="2" w16cid:durableId="211229997">
    <w:abstractNumId w:val="6"/>
  </w:num>
  <w:num w:numId="3" w16cid:durableId="494107422">
    <w:abstractNumId w:val="5"/>
  </w:num>
  <w:num w:numId="4" w16cid:durableId="1387267006">
    <w:abstractNumId w:val="4"/>
  </w:num>
  <w:num w:numId="5" w16cid:durableId="1338460961">
    <w:abstractNumId w:val="7"/>
  </w:num>
  <w:num w:numId="6" w16cid:durableId="1446540784">
    <w:abstractNumId w:val="3"/>
  </w:num>
  <w:num w:numId="7" w16cid:durableId="902370576">
    <w:abstractNumId w:val="2"/>
  </w:num>
  <w:num w:numId="8" w16cid:durableId="737943909">
    <w:abstractNumId w:val="1"/>
  </w:num>
  <w:num w:numId="9" w16cid:durableId="1836066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766"/>
    <w:rsid w:val="00034616"/>
    <w:rsid w:val="0006063C"/>
    <w:rsid w:val="000708A3"/>
    <w:rsid w:val="0015074B"/>
    <w:rsid w:val="001A69DD"/>
    <w:rsid w:val="00200C65"/>
    <w:rsid w:val="0029639D"/>
    <w:rsid w:val="002B4F09"/>
    <w:rsid w:val="00326F90"/>
    <w:rsid w:val="00332AD2"/>
    <w:rsid w:val="003A1B77"/>
    <w:rsid w:val="004742AB"/>
    <w:rsid w:val="005F449F"/>
    <w:rsid w:val="006432C2"/>
    <w:rsid w:val="006A3F9D"/>
    <w:rsid w:val="00727760"/>
    <w:rsid w:val="00743980"/>
    <w:rsid w:val="008042AE"/>
    <w:rsid w:val="0080430B"/>
    <w:rsid w:val="00884D52"/>
    <w:rsid w:val="00AA1D8D"/>
    <w:rsid w:val="00B47730"/>
    <w:rsid w:val="00BE6E8C"/>
    <w:rsid w:val="00C00A53"/>
    <w:rsid w:val="00CB0664"/>
    <w:rsid w:val="00CB4210"/>
    <w:rsid w:val="00D36F82"/>
    <w:rsid w:val="00DB67AB"/>
    <w:rsid w:val="00E21782"/>
    <w:rsid w:val="00E91388"/>
    <w:rsid w:val="00EC6C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F57066"/>
  <w14:defaultImageDpi w14:val="300"/>
  <w15:docId w15:val="{E4FB0192-C1F6-4E67-80F0-0238CC797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CB421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536155">
      <w:bodyDiv w:val="1"/>
      <w:marLeft w:val="0"/>
      <w:marRight w:val="0"/>
      <w:marTop w:val="0"/>
      <w:marBottom w:val="0"/>
      <w:divBdr>
        <w:top w:val="none" w:sz="0" w:space="0" w:color="auto"/>
        <w:left w:val="none" w:sz="0" w:space="0" w:color="auto"/>
        <w:bottom w:val="none" w:sz="0" w:space="0" w:color="auto"/>
        <w:right w:val="none" w:sz="0" w:space="0" w:color="auto"/>
      </w:divBdr>
    </w:div>
    <w:div w:id="113064694">
      <w:bodyDiv w:val="1"/>
      <w:marLeft w:val="0"/>
      <w:marRight w:val="0"/>
      <w:marTop w:val="0"/>
      <w:marBottom w:val="0"/>
      <w:divBdr>
        <w:top w:val="none" w:sz="0" w:space="0" w:color="auto"/>
        <w:left w:val="none" w:sz="0" w:space="0" w:color="auto"/>
        <w:bottom w:val="none" w:sz="0" w:space="0" w:color="auto"/>
        <w:right w:val="none" w:sz="0" w:space="0" w:color="auto"/>
      </w:divBdr>
    </w:div>
    <w:div w:id="275020515">
      <w:bodyDiv w:val="1"/>
      <w:marLeft w:val="0"/>
      <w:marRight w:val="0"/>
      <w:marTop w:val="0"/>
      <w:marBottom w:val="0"/>
      <w:divBdr>
        <w:top w:val="none" w:sz="0" w:space="0" w:color="auto"/>
        <w:left w:val="none" w:sz="0" w:space="0" w:color="auto"/>
        <w:bottom w:val="none" w:sz="0" w:space="0" w:color="auto"/>
        <w:right w:val="none" w:sz="0" w:space="0" w:color="auto"/>
      </w:divBdr>
    </w:div>
    <w:div w:id="718093925">
      <w:bodyDiv w:val="1"/>
      <w:marLeft w:val="0"/>
      <w:marRight w:val="0"/>
      <w:marTop w:val="0"/>
      <w:marBottom w:val="0"/>
      <w:divBdr>
        <w:top w:val="none" w:sz="0" w:space="0" w:color="auto"/>
        <w:left w:val="none" w:sz="0" w:space="0" w:color="auto"/>
        <w:bottom w:val="none" w:sz="0" w:space="0" w:color="auto"/>
        <w:right w:val="none" w:sz="0" w:space="0" w:color="auto"/>
      </w:divBdr>
    </w:div>
    <w:div w:id="722942617">
      <w:bodyDiv w:val="1"/>
      <w:marLeft w:val="0"/>
      <w:marRight w:val="0"/>
      <w:marTop w:val="0"/>
      <w:marBottom w:val="0"/>
      <w:divBdr>
        <w:top w:val="none" w:sz="0" w:space="0" w:color="auto"/>
        <w:left w:val="none" w:sz="0" w:space="0" w:color="auto"/>
        <w:bottom w:val="none" w:sz="0" w:space="0" w:color="auto"/>
        <w:right w:val="none" w:sz="0" w:space="0" w:color="auto"/>
      </w:divBdr>
    </w:div>
    <w:div w:id="1324316426">
      <w:bodyDiv w:val="1"/>
      <w:marLeft w:val="0"/>
      <w:marRight w:val="0"/>
      <w:marTop w:val="0"/>
      <w:marBottom w:val="0"/>
      <w:divBdr>
        <w:top w:val="none" w:sz="0" w:space="0" w:color="auto"/>
        <w:left w:val="none" w:sz="0" w:space="0" w:color="auto"/>
        <w:bottom w:val="none" w:sz="0" w:space="0" w:color="auto"/>
        <w:right w:val="none" w:sz="0" w:space="0" w:color="auto"/>
      </w:divBdr>
    </w:div>
    <w:div w:id="1779835463">
      <w:bodyDiv w:val="1"/>
      <w:marLeft w:val="0"/>
      <w:marRight w:val="0"/>
      <w:marTop w:val="0"/>
      <w:marBottom w:val="0"/>
      <w:divBdr>
        <w:top w:val="none" w:sz="0" w:space="0" w:color="auto"/>
        <w:left w:val="none" w:sz="0" w:space="0" w:color="auto"/>
        <w:bottom w:val="none" w:sz="0" w:space="0" w:color="auto"/>
        <w:right w:val="none" w:sz="0" w:space="0" w:color="auto"/>
      </w:divBdr>
    </w:div>
    <w:div w:id="2090496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267</Words>
  <Characters>1524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巧云 雷</cp:lastModifiedBy>
  <cp:revision>10</cp:revision>
  <dcterms:created xsi:type="dcterms:W3CDTF">2013-12-23T23:15:00Z</dcterms:created>
  <dcterms:modified xsi:type="dcterms:W3CDTF">2024-11-21T14:40:00Z</dcterms:modified>
  <cp:category/>
</cp:coreProperties>
</file>