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标题：Dynamic Competition in Negotiated Price Markets</w:t>
      </w:r>
    </w:p>
    <w:p>
      <w:r>
        <w:t>作者及机构:</w:t>
      </w:r>
    </w:p>
    <w:p>
      <w:r>
        <w:t xml:space="preserve">JASON ALLEN: </w:t>
      </w:r>
    </w:p>
    <w:p>
      <w:r>
        <w:t xml:space="preserve">SHAOTENG LI: </w:t>
      </w:r>
    </w:p>
    <w:p>
      <w:r>
        <w:t>摘要: Using contract-level data for the Canadian mortgage market, this paper provides evidence of an “invest-and-harvest” pricing pattern. We build a dynamic model of price negotiation with search and switching frictions to capture key market features. We estimate the model and use it to investigate the effects of market frictions and the resulting dynamic competition on borrowers' and banks' payoffs. We show that dynamic pricing and the presence of search and switching costs have important implications for public policies.</w:t>
      </w:r>
    </w:p>
    <w:p>
      <w:r>
        <w:t>AI标题: 动态博弈模型揭示双摩擦效应：抵押贷款"投资-收割"策略量化分析</w:t>
      </w:r>
    </w:p>
    <w:p>
      <w:r>
        <w:t>AI精炼: 这篇金融经济学论文聚焦于具有价格谈判与长期客户关系的市场（如抵押贷款行业），探讨企业如何利用搜索与转换成本实施"投资-收割"动态定价策略。传统研究多采用静态模型或孤立分析单一市场摩擦，而作者创新性地构建了结合搜索成本、转换成本与金融机构前瞻性行为的动态博弈模型，并利用加拿大抵押贷款合同级数据验证了理论——数据显示续约客户平均支付更高利率，但仅9.55%选择更换机构。通过结构估计，作者量化了两种摩擦的相互作用：当两者共存时，单一摩擦的垄断效应被削弱58%，而静态模型会错误高估政策效果。研究进一步模拟了长期合约与监管压力测试的影响，揭示动态模型能捕捉到传统方法忽略的竞争激励变化，例如压力测试意外加剧了机构对新客户的争夺。该方法为理解保险、信贷等重复谈判市场的定价机制提供了新框架。</w:t>
      </w:r>
    </w:p>
    <w:p>
      <w:r>
        <w:t>关键词:</w:t>
      </w:r>
    </w:p>
    <w:p>
      <w:r>
        <w:t>动态博弈模型</w:t>
      </w:r>
    </w:p>
    <w:p>
      <w:r>
        <w:t>搜索摩擦</w:t>
      </w:r>
    </w:p>
    <w:p>
      <w:r>
        <w:t>转换成本</w:t>
      </w:r>
    </w:p>
    <w:p>
      <w:r>
        <w:t>结构估计</w:t>
      </w:r>
    </w:p>
    <w:p>
      <w:r>
        <w:t>投资-收割策略</w:t>
      </w:r>
    </w:p>
    <w:p>
      <w:r>
        <w:t>双摩擦效应</w:t>
      </w:r>
    </w:p>
    <w:p>
      <w:r>
        <w:t>前瞻性定价</w:t>
      </w:r>
    </w:p>
    <w:p>
      <w:r>
        <w:t>宏观审慎政策</w:t>
      </w:r>
    </w:p>
    <w:p>
      <w:r>
        <w:t>学术要点: 学术要点 1：投资-收割定价（Invest-and-Harvest Pricing）|||金融机构通过初期低价吸引客户建立关系（投资阶段），随后利用客户锁定效应提高定价（收割阶段）的动态策略。|||</w:t>
        <w:br/>
        <w:t>学术要点 2：谈判阶段英语拍卖近似（English Auction Approximation in Negotiation）|||将抵押贷款谈判过程建模为英式拍卖，借款人通过连续比价迫使贷款机构报出最低可接受利率的博弈机制。|||</w:t>
        <w:br/>
        <w:t>学术要点 3：有限期博弈效应（Finite-Horizon Game Effect）|||抵押贷款固定摊销期导致的有限博弈结构，使临近摊销结束时的定价策略发生扭曲（游戏终局效应）。|||</w:t>
        <w:br/>
        <w:t>学术要点 4：异质性匹配成本离散化（Heterogeneous Match Cost Dispersion）|||不同贷款机构对同一借款人服务成本存在异质性随机冲击，其离散程度影响借款人搜索强度的决策机制。|||</w:t>
        <w:br/>
        <w:t>学术要点 5：压力测试的反向竞争激励（Adverse Competition from Stress Testing）|||宏观审慎政策通过增加转换成本，意外导致贷款机构在初始阶段采取更激进的定价策略的逆向激励效应。</w:t>
      </w:r>
    </w:p>
    <w:p>
      <w:r>
        <w:drawing>
          <wp:inline xmlns:a="http://schemas.openxmlformats.org/drawingml/2006/main" xmlns:pic="http://schemas.openxmlformats.org/drawingml/2006/picture">
            <wp:extent cx="3657600" cy="1426464"/>
            <wp:docPr id="1" name="Picture 1"/>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该图展示了动态定价模型中市场摩擦对借贷双方收益的影响机制。</w:t>
      </w:r>
    </w:p>
    <w:p>
      <w:r>
        <w:drawing>
          <wp:inline xmlns:a="http://schemas.openxmlformats.org/drawingml/2006/main" xmlns:pic="http://schemas.openxmlformats.org/drawingml/2006/picture">
            <wp:extent cx="3657600" cy="1426464"/>
            <wp:docPr id="2" name="Picture 2"/>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该图展示了动态定价模型中搜索与转换成本对市场竞争的影响机制。</w:t>
      </w:r>
    </w:p>
    <w:p>
      <w:r>
        <w:drawing>
          <wp:inline xmlns:a="http://schemas.openxmlformats.org/drawingml/2006/main" xmlns:pic="http://schemas.openxmlformats.org/drawingml/2006/picture">
            <wp:extent cx="3657600" cy="1426464"/>
            <wp:docPr id="3" name="Picture 3"/>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该图展示了动态定价模型中搜索与转换摩擦的相互作用机制。</w:t>
      </w:r>
    </w:p>
    <w:p>
      <w:r>
        <w:drawing>
          <wp:inline xmlns:a="http://schemas.openxmlformats.org/drawingml/2006/main" xmlns:pic="http://schemas.openxmlformats.org/drawingml/2006/picture">
            <wp:extent cx="3657600" cy="1426464"/>
            <wp:docPr id="4" name="Picture 4"/>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该图展示了动态定价模型中市场摩擦对借贷双方收益影响的模拟结果示意图。</w:t>
      </w:r>
    </w:p>
    <w:p>
      <w:r>
        <w:drawing>
          <wp:inline xmlns:a="http://schemas.openxmlformats.org/drawingml/2006/main" xmlns:pic="http://schemas.openxmlformats.org/drawingml/2006/picture">
            <wp:extent cx="3657600" cy="1426464"/>
            <wp:docPr id="5" name="Picture 5"/>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该图展示了动态定价模型中搜索与转换成本对抵押贷款利率的影响趋势。</w:t>
      </w:r>
    </w:p>
    <w:p>
      <w:r>
        <w:drawing>
          <wp:inline xmlns:a="http://schemas.openxmlformats.org/drawingml/2006/main" xmlns:pic="http://schemas.openxmlformats.org/drawingml/2006/picture">
            <wp:extent cx="3657600" cy="1426464"/>
            <wp:docPr id="6" name="Picture 6"/>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7" name="Picture 7"/>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8" name="Picture 8"/>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9" name="Picture 9"/>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0" name="Picture 10"/>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1" name="Picture 11"/>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2" name="Picture 12"/>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3" name="Picture 13"/>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4" name="Picture 14"/>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5" name="Picture 15"/>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6" name="Picture 16"/>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7" name="Picture 17"/>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8" name="Picture 18"/>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19" name="Picture 19"/>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0" name="Picture 20"/>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1" name="Picture 21"/>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2" name="Picture 22"/>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3" name="Picture 23"/>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4" name="Picture 24"/>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5" name="Picture 25"/>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6" name="Picture 26"/>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7" name="Picture 27"/>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26464"/>
            <wp:docPr id="28" name="Picture 28"/>
            <wp:cNvGraphicFramePr>
              <a:graphicFrameLocks noChangeAspect="1"/>
            </wp:cNvGraphicFramePr>
            <a:graphic>
              <a:graphicData uri="http://schemas.openxmlformats.org/drawingml/2006/picture">
                <pic:pic>
                  <pic:nvPicPr>
                    <pic:cNvPr id="0" name="0d83a814cecb4607845d38a13889586e.jpg"/>
                    <pic:cNvPicPr/>
                  </pic:nvPicPr>
                  <pic:blipFill>
                    <a:blip r:embed="rId9"/>
                    <a:stretch>
                      <a:fillRect/>
                    </a:stretch>
                  </pic:blipFill>
                  <pic:spPr>
                    <a:xfrm>
                      <a:off x="0" y="0"/>
                      <a:ext cx="3657600" cy="14264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933757"/>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3375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01952"/>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90195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760012"/>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76001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65069"/>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65069"/>
                    </a:xfrm>
                    <a:prstGeom prst="rect"/>
                  </pic:spPr>
                </pic:pic>
              </a:graphicData>
            </a:graphic>
          </wp:inline>
        </w:drawing>
      </w:r>
    </w:p>
    <w:p>
      <w:r>
        <w:t>未找到图片描述。</w:t>
      </w:r>
    </w:p>
    <w:p>
      <w:r>
        <w:t>原文链接: https://onlinelibrary.wiley.com/doi/full/10.1111/jofi.13408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