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C9376">
      <w:pPr>
        <w:jc w:val="center"/>
        <w:rPr>
          <w:rFonts w:hint="eastAsia" w:eastAsia="仿宋_GB2312" w:cs="宋体"/>
          <w:b/>
          <w:sz w:val="30"/>
        </w:rPr>
      </w:pPr>
      <w:sdt>
        <w:sdtPr>
          <w:rPr>
            <w:rFonts w:ascii="Cambria Math" w:hAnsi="Cambria Math" w:eastAsia="仿宋_GB2312" w:cs="宋体"/>
            <w:b/>
            <w:i/>
            <w:kern w:val="2"/>
            <w:sz w:val="30"/>
            <w:szCs w:val="24"/>
            <w:lang w:val="en-US" w:eastAsia="zh-CN" w:bidi="ar-SA"/>
          </w:rPr>
          <w:id w:val="147472978"/>
          <w:placeholder>
            <w:docPart w:val="DefaultPlaceholder_2098659788"/>
          </w:placeholder>
          <w:temporary/>
          <w:showingPlcHdr/>
          <w:equation/>
        </w:sdtPr>
        <w:sdtEndPr>
          <w:rPr>
            <w:rFonts w:ascii="Cambria Math" w:hAnsi="Cambria Math" w:eastAsia="仿宋_GB2312" w:cs="宋体"/>
            <w:b/>
            <w:i/>
            <w:kern w:val="2"/>
            <w:sz w:val="30"/>
            <w:szCs w:val="24"/>
            <w:lang w:val="en-US" w:eastAsia="zh-CN" w:bidi="ar-SA"/>
          </w:rPr>
        </w:sdtEndPr>
        <w:sdtContent>
          <m:oMath>
            <m:r>
              <m:rPr>
                <m:sty m:val="p"/>
              </m:rPr>
              <w:rPr>
                <w:rFonts w:ascii="Cambria Math" w:hAnsi="Cambria Math"/>
                <w:color w:val="808080"/>
              </w:rPr>
              <m:t>在此处键入公式。</m:t>
            </m:r>
          </m:oMath>
        </w:sdtContent>
      </w:sdt>
      <w:r>
        <w:rPr>
          <w:rFonts w:hint="eastAsia" w:eastAsia="仿宋_GB2312" w:cs="宋体"/>
          <w:b/>
          <w:sz w:val="30"/>
        </w:rPr>
        <w:t>技术交底书模板（</w:t>
      </w:r>
      <w:r>
        <w:rPr>
          <w:rFonts w:hint="eastAsia" w:eastAsia="仿宋_GB2312" w:cs="宋体"/>
          <w:b/>
          <w:sz w:val="30"/>
          <w:lang w:val="en-US" w:eastAsia="zh-CN"/>
        </w:rPr>
        <w:t>发明</w:t>
      </w:r>
      <w:r>
        <w:rPr>
          <w:rFonts w:hint="eastAsia" w:eastAsia="仿宋_GB2312" w:cs="宋体"/>
          <w:b/>
          <w:sz w:val="30"/>
        </w:rPr>
        <w:t>）</w:t>
      </w:r>
    </w:p>
    <w:p w14:paraId="56BC7615">
      <w:pPr>
        <w:autoSpaceDE w:val="0"/>
        <w:autoSpaceDN w:val="0"/>
        <w:adjustRightInd w:val="0"/>
        <w:rPr>
          <w:rFonts w:hint="eastAsia" w:ascii="楷体_GB2312" w:eastAsia="楷体_GB2312"/>
          <w:color w:val="000000"/>
          <w:sz w:val="28"/>
          <w:szCs w:val="28"/>
          <w:lang w:val="en-US" w:eastAsia="zh-CN"/>
        </w:rPr>
      </w:pPr>
      <w:r>
        <w:rPr>
          <w:rFonts w:hint="eastAsia" w:ascii="楷体_GB2312" w:hAnsi="宋体" w:eastAsia="楷体_GB2312"/>
          <w:color w:val="000000"/>
          <w:sz w:val="28"/>
          <w:szCs w:val="28"/>
          <w:lang w:val="zh-CN"/>
        </w:rPr>
        <w:t>技术联系人：</w:t>
      </w:r>
      <w:r>
        <w:rPr>
          <w:rFonts w:hint="eastAsia" w:ascii="楷体_GB2312" w:hAnsi="宋体" w:eastAsia="楷体_GB2312"/>
          <w:color w:val="000000"/>
          <w:sz w:val="28"/>
          <w:szCs w:val="28"/>
          <w:lang w:val="en-US" w:eastAsia="zh-CN"/>
        </w:rPr>
        <w:t>张鑫涛</w:t>
      </w:r>
    </w:p>
    <w:p w14:paraId="41D1DC49">
      <w:pPr>
        <w:autoSpaceDE w:val="0"/>
        <w:autoSpaceDN w:val="0"/>
        <w:adjustRightInd w:val="0"/>
        <w:rPr>
          <w:rFonts w:hint="default" w:ascii="楷体_GB2312" w:eastAsia="楷体_GB2312"/>
          <w:color w:val="000000"/>
          <w:sz w:val="28"/>
          <w:szCs w:val="28"/>
          <w:lang w:val="en-US" w:eastAsia="zh-CN"/>
        </w:rPr>
      </w:pPr>
      <w:r>
        <w:rPr>
          <w:rFonts w:hint="eastAsia" w:ascii="楷体_GB2312" w:hAnsi="宋体" w:eastAsia="楷体_GB2312"/>
          <w:color w:val="000000"/>
          <w:sz w:val="28"/>
          <w:szCs w:val="28"/>
          <w:lang w:val="zh-CN"/>
        </w:rPr>
        <w:t>电话或手机：</w:t>
      </w:r>
      <w:r>
        <w:rPr>
          <w:rFonts w:hint="eastAsia" w:ascii="楷体_GB2312" w:hAnsi="宋体" w:eastAsia="楷体_GB2312"/>
          <w:color w:val="000000"/>
          <w:sz w:val="28"/>
          <w:szCs w:val="28"/>
          <w:lang w:val="en-US" w:eastAsia="zh-CN"/>
        </w:rPr>
        <w:t>18706246317</w:t>
      </w:r>
    </w:p>
    <w:p w14:paraId="03EC6FF9">
      <w:pPr>
        <w:autoSpaceDE w:val="0"/>
        <w:autoSpaceDN w:val="0"/>
        <w:adjustRightInd w:val="0"/>
        <w:rPr>
          <w:rFonts w:hint="default" w:ascii="楷体_GB2312" w:hAnsi="宋体" w:eastAsia="楷体_GB2312"/>
          <w:color w:val="000000"/>
          <w:sz w:val="28"/>
          <w:szCs w:val="28"/>
          <w:lang w:val="en-US" w:eastAsia="zh-CN"/>
        </w:rPr>
      </w:pPr>
      <w:r>
        <w:rPr>
          <w:rFonts w:hint="eastAsia" w:ascii="楷体_GB2312" w:eastAsia="楷体_GB2312"/>
          <w:color w:val="000000"/>
          <w:sz w:val="28"/>
          <w:szCs w:val="28"/>
          <w:lang w:val="zh-CN"/>
        </w:rPr>
        <w:t>E-mail</w:t>
      </w:r>
      <w:r>
        <w:rPr>
          <w:rFonts w:hint="eastAsia" w:ascii="楷体_GB2312" w:hAnsi="宋体" w:eastAsia="楷体_GB2312"/>
          <w:color w:val="000000"/>
          <w:sz w:val="28"/>
          <w:szCs w:val="28"/>
          <w:lang w:val="zh-CN"/>
        </w:rPr>
        <w:t>：</w:t>
      </w:r>
      <w:r>
        <w:rPr>
          <w:rFonts w:hint="eastAsia" w:ascii="楷体_GB2312" w:hAnsi="宋体" w:eastAsia="楷体_GB2312"/>
          <w:color w:val="000000"/>
          <w:sz w:val="28"/>
          <w:szCs w:val="28"/>
          <w:lang w:val="en-US" w:eastAsia="zh-CN"/>
        </w:rPr>
        <w:t>1014874083@qq.com</w:t>
      </w:r>
    </w:p>
    <w:p w14:paraId="708B901C">
      <w:pPr>
        <w:rPr>
          <w:rFonts w:hint="eastAsia" w:eastAsia="仿宋_GB2312" w:cs="宋体"/>
          <w:sz w:val="28"/>
          <w:szCs w:val="28"/>
        </w:rPr>
      </w:pPr>
      <w:r>
        <w:rPr>
          <w:rFonts w:hint="eastAsia" w:eastAsia="仿宋_GB2312" w:cs="宋体"/>
          <w:sz w:val="28"/>
          <w:szCs w:val="28"/>
        </w:rPr>
        <w:t>※请申请人按要求提供以下资料，并在相应的空格内填写，谢谢。</w:t>
      </w:r>
    </w:p>
    <w:p w14:paraId="3A5BAF9B">
      <w:pPr>
        <w:rPr>
          <w:rFonts w:hint="eastAsia" w:eastAsia="仿宋_GB2312" w:cs="宋体"/>
          <w:sz w:val="28"/>
          <w:szCs w:val="28"/>
        </w:rPr>
      </w:pPr>
    </w:p>
    <w:p w14:paraId="4DAC7440">
      <w:pPr>
        <w:numPr>
          <w:ilvl w:val="0"/>
          <w:numId w:val="1"/>
        </w:numPr>
        <w:tabs>
          <w:tab w:val="left" w:pos="3060"/>
        </w:tabs>
        <w:rPr>
          <w:rFonts w:hint="eastAsia" w:eastAsia="仿宋_GB2312" w:cs="宋体"/>
          <w:sz w:val="28"/>
          <w:szCs w:val="28"/>
        </w:rPr>
      </w:pPr>
      <w:r>
        <w:rPr>
          <w:rFonts w:hint="eastAsia" w:eastAsia="仿宋_GB2312" w:cs="宋体"/>
          <w:sz w:val="28"/>
          <w:szCs w:val="28"/>
        </w:rPr>
        <w:t>填写思路：</w:t>
      </w:r>
    </w:p>
    <w:p w14:paraId="6991EE74">
      <w:pPr>
        <w:tabs>
          <w:tab w:val="left" w:pos="3060"/>
        </w:tabs>
        <w:ind w:firstLine="560" w:firstLineChars="200"/>
        <w:rPr>
          <w:rFonts w:hint="eastAsia" w:eastAsia="仿宋_GB2312" w:cs="宋体"/>
          <w:sz w:val="28"/>
          <w:szCs w:val="28"/>
        </w:rPr>
      </w:pPr>
      <w:r>
        <w:rPr>
          <w:rFonts w:hint="eastAsia" w:ascii="仿宋_GB2312" w:eastAsia="仿宋_GB2312" w:cs="宋体"/>
          <w:sz w:val="28"/>
          <w:szCs w:val="28"/>
        </w:rPr>
        <w:t>①</w:t>
      </w:r>
      <w:r>
        <w:rPr>
          <w:rFonts w:hint="eastAsia" w:eastAsia="仿宋_GB2312" w:cs="宋体"/>
          <w:sz w:val="28"/>
          <w:szCs w:val="28"/>
        </w:rPr>
        <w:t>针对现有技术的不足或问题，提出要解决的技术问题</w:t>
      </w:r>
      <w:r>
        <w:rPr>
          <w:rFonts w:hint="eastAsia" w:ascii="仿宋_GB2312" w:eastAsia="仿宋_GB2312" w:cs="宋体"/>
          <w:b/>
          <w:sz w:val="28"/>
          <w:szCs w:val="28"/>
        </w:rPr>
        <w:t>→</w:t>
      </w:r>
      <w:r>
        <w:rPr>
          <w:rFonts w:hint="eastAsia" w:ascii="仿宋_GB2312" w:eastAsia="仿宋_GB2312" w:cs="宋体"/>
          <w:sz w:val="28"/>
          <w:szCs w:val="28"/>
        </w:rPr>
        <w:t>②提供解决问题的详细技术方案及其技术参数</w:t>
      </w:r>
      <w:r>
        <w:rPr>
          <w:rFonts w:hint="eastAsia" w:ascii="仿宋_GB2312" w:eastAsia="仿宋_GB2312" w:cs="宋体"/>
          <w:b/>
          <w:sz w:val="28"/>
          <w:szCs w:val="28"/>
        </w:rPr>
        <w:t>→</w:t>
      </w:r>
      <w:r>
        <w:rPr>
          <w:rFonts w:hint="eastAsia" w:ascii="仿宋_GB2312" w:eastAsia="仿宋_GB2312" w:cs="宋体"/>
          <w:sz w:val="28"/>
          <w:szCs w:val="28"/>
        </w:rPr>
        <w:t>③所提出的技术方案带来的有益效果及效果参数。</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800"/>
        <w:gridCol w:w="5760"/>
      </w:tblGrid>
      <w:tr w14:paraId="20B35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620" w:type="dxa"/>
            <w:shd w:val="pct10" w:color="auto" w:fill="auto"/>
            <w:noWrap w:val="0"/>
            <w:vAlign w:val="center"/>
          </w:tcPr>
          <w:p w14:paraId="3DC7B83D">
            <w:pPr>
              <w:jc w:val="center"/>
              <w:rPr>
                <w:rFonts w:hint="eastAsia" w:ascii="楷体_GB2312" w:eastAsia="楷体_GB2312" w:cs="宋体"/>
                <w:b/>
                <w:sz w:val="28"/>
                <w:szCs w:val="28"/>
              </w:rPr>
            </w:pPr>
            <w:r>
              <w:rPr>
                <w:rFonts w:hint="eastAsia" w:ascii="楷体_GB2312" w:eastAsia="楷体_GB2312" w:cs="宋体"/>
                <w:b/>
                <w:sz w:val="28"/>
                <w:szCs w:val="28"/>
              </w:rPr>
              <w:t>项目</w:t>
            </w:r>
          </w:p>
        </w:tc>
        <w:tc>
          <w:tcPr>
            <w:tcW w:w="1800" w:type="dxa"/>
            <w:shd w:val="pct10" w:color="auto" w:fill="auto"/>
            <w:noWrap w:val="0"/>
            <w:vAlign w:val="center"/>
          </w:tcPr>
          <w:p w14:paraId="6B2C0737">
            <w:pPr>
              <w:jc w:val="center"/>
              <w:rPr>
                <w:rFonts w:hint="eastAsia" w:ascii="楷体_GB2312" w:eastAsia="楷体_GB2312" w:cs="宋体"/>
                <w:b/>
                <w:sz w:val="28"/>
                <w:szCs w:val="28"/>
              </w:rPr>
            </w:pPr>
            <w:r>
              <w:rPr>
                <w:rFonts w:hint="eastAsia" w:ascii="楷体_GB2312" w:eastAsia="楷体_GB2312" w:cs="宋体"/>
                <w:b/>
                <w:sz w:val="28"/>
                <w:szCs w:val="28"/>
              </w:rPr>
              <w:t>要求</w:t>
            </w:r>
          </w:p>
        </w:tc>
        <w:tc>
          <w:tcPr>
            <w:tcW w:w="5760" w:type="dxa"/>
            <w:shd w:val="pct10" w:color="auto" w:fill="auto"/>
            <w:noWrap w:val="0"/>
            <w:vAlign w:val="center"/>
          </w:tcPr>
          <w:p w14:paraId="5916FC5C">
            <w:pPr>
              <w:jc w:val="center"/>
              <w:rPr>
                <w:rFonts w:hint="eastAsia" w:ascii="楷体_GB2312" w:eastAsia="楷体_GB2312" w:cs="宋体"/>
                <w:b/>
                <w:sz w:val="28"/>
                <w:szCs w:val="28"/>
              </w:rPr>
            </w:pPr>
            <w:r>
              <w:rPr>
                <w:rFonts w:hint="eastAsia" w:ascii="楷体_GB2312" w:eastAsia="楷体_GB2312" w:cs="宋体"/>
                <w:b/>
                <w:sz w:val="28"/>
                <w:szCs w:val="28"/>
              </w:rPr>
              <w:t>内容</w:t>
            </w:r>
          </w:p>
        </w:tc>
      </w:tr>
      <w:tr w14:paraId="5823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4" w:hRule="atLeast"/>
        </w:trPr>
        <w:tc>
          <w:tcPr>
            <w:tcW w:w="1620" w:type="dxa"/>
            <w:noWrap w:val="0"/>
            <w:vAlign w:val="center"/>
          </w:tcPr>
          <w:p w14:paraId="6BDA3BED">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1.发明名称</w:t>
            </w:r>
          </w:p>
        </w:tc>
        <w:tc>
          <w:tcPr>
            <w:tcW w:w="1800" w:type="dxa"/>
            <w:noWrap w:val="0"/>
            <w:vAlign w:val="center"/>
          </w:tcPr>
          <w:p w14:paraId="5C9E280A">
            <w:pPr>
              <w:rPr>
                <w:rFonts w:hint="eastAsia" w:ascii="楷体_GB2312" w:eastAsia="楷体_GB2312" w:cs="宋体"/>
                <w:color w:val="FF0000"/>
                <w:szCs w:val="21"/>
              </w:rPr>
            </w:pPr>
            <w:r>
              <w:rPr>
                <w:rFonts w:hint="eastAsia" w:ascii="楷体_GB2312" w:eastAsia="楷体_GB2312"/>
                <w:szCs w:val="21"/>
              </w:rPr>
              <w:t>简明扼要地反映主题，20字内。</w:t>
            </w:r>
          </w:p>
        </w:tc>
        <w:tc>
          <w:tcPr>
            <w:tcW w:w="5760" w:type="dxa"/>
            <w:noWrap w:val="0"/>
            <w:vAlign w:val="center"/>
          </w:tcPr>
          <w:p w14:paraId="6902BA49">
            <w:pPr>
              <w:jc w:val="center"/>
              <w:rPr>
                <w:rFonts w:hint="eastAsia" w:ascii="楷体_GB2312" w:eastAsia="楷体_GB2312" w:cs="宋体"/>
                <w:color w:val="FF0000"/>
                <w:szCs w:val="21"/>
              </w:rPr>
            </w:pPr>
            <w:r>
              <w:rPr>
                <w:rFonts w:ascii="宋体" w:hAnsi="宋体" w:eastAsia="宋体" w:cs="宋体"/>
                <w:sz w:val="24"/>
                <w:szCs w:val="24"/>
              </w:rPr>
              <w:t>一种基于位置感知与多任务排序优化的扩散推荐方法及系统</w:t>
            </w:r>
          </w:p>
        </w:tc>
      </w:tr>
      <w:tr w14:paraId="70FF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1620" w:type="dxa"/>
            <w:noWrap w:val="0"/>
            <w:vAlign w:val="center"/>
          </w:tcPr>
          <w:p w14:paraId="4776BB21">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2.技术领域</w:t>
            </w:r>
          </w:p>
        </w:tc>
        <w:tc>
          <w:tcPr>
            <w:tcW w:w="1800" w:type="dxa"/>
            <w:noWrap w:val="0"/>
            <w:vAlign w:val="center"/>
          </w:tcPr>
          <w:p w14:paraId="06BF7B23">
            <w:pPr>
              <w:rPr>
                <w:rFonts w:hint="eastAsia" w:ascii="楷体_GB2312" w:eastAsia="楷体_GB2312"/>
                <w:szCs w:val="21"/>
              </w:rPr>
            </w:pPr>
            <w:r>
              <w:rPr>
                <w:rFonts w:hint="eastAsia" w:ascii="楷体_GB2312" w:eastAsia="楷体_GB2312"/>
                <w:szCs w:val="21"/>
              </w:rPr>
              <w:t>直接所属或直接应用的具体技术领域</w:t>
            </w:r>
          </w:p>
        </w:tc>
        <w:tc>
          <w:tcPr>
            <w:tcW w:w="5760" w:type="dxa"/>
            <w:noWrap w:val="0"/>
            <w:vAlign w:val="center"/>
          </w:tcPr>
          <w:p w14:paraId="23D889DB">
            <w:pPr>
              <w:jc w:val="center"/>
              <w:rPr>
                <w:rFonts w:hint="eastAsia" w:ascii="楷体_GB2312" w:eastAsia="楷体_GB2312" w:cs="宋体"/>
                <w:color w:val="FF0000"/>
                <w:szCs w:val="21"/>
              </w:rPr>
            </w:pPr>
            <w:r>
              <w:rPr>
                <w:rFonts w:ascii="宋体" w:hAnsi="宋体" w:eastAsia="宋体" w:cs="宋体"/>
                <w:sz w:val="24"/>
                <w:szCs w:val="24"/>
              </w:rPr>
              <w:t>本发明涉及人工智能、深度学习与推荐系统技术领域，具体涉及一种基于位置感知的自适应时间步扩散与多任务联合排序优化的顺序推荐方法及系统。</w:t>
            </w:r>
          </w:p>
        </w:tc>
      </w:tr>
      <w:tr w14:paraId="1B4F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8" w:hRule="atLeast"/>
        </w:trPr>
        <w:tc>
          <w:tcPr>
            <w:tcW w:w="1620" w:type="dxa"/>
            <w:noWrap w:val="0"/>
            <w:vAlign w:val="center"/>
          </w:tcPr>
          <w:p w14:paraId="3789F547">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3.背景技术</w:t>
            </w:r>
          </w:p>
        </w:tc>
        <w:tc>
          <w:tcPr>
            <w:tcW w:w="1800" w:type="dxa"/>
            <w:noWrap w:val="0"/>
            <w:vAlign w:val="center"/>
          </w:tcPr>
          <w:p w14:paraId="29C20A5F">
            <w:pPr>
              <w:rPr>
                <w:rFonts w:hint="eastAsia" w:ascii="楷体_GB2312" w:eastAsia="楷体_GB2312"/>
                <w:szCs w:val="21"/>
              </w:rPr>
            </w:pPr>
            <w:r>
              <w:rPr>
                <w:rFonts w:hint="eastAsia" w:ascii="楷体_GB2312" w:eastAsia="楷体_GB2312"/>
                <w:szCs w:val="21"/>
              </w:rPr>
              <w:t>立项依据，提出已有技术的组成、原理、功能等，及其不足之处；或本技术方案的原理背景。</w:t>
            </w:r>
          </w:p>
        </w:tc>
        <w:tc>
          <w:tcPr>
            <w:tcW w:w="5760" w:type="dxa"/>
            <w:noWrap w:val="0"/>
            <w:vAlign w:val="center"/>
          </w:tcPr>
          <w:p w14:paraId="5C22F383">
            <w:pPr>
              <w:pStyle w:val="6"/>
              <w:keepNext w:val="0"/>
              <w:keepLines w:val="0"/>
              <w:widowControl/>
              <w:suppressLineNumbers w:val="0"/>
            </w:pPr>
            <w:r>
              <w:t>顺序推荐（Sequential Recommendation）旨在从用户历史交互序列中挖掘动态偏好，以预测其下一个感兴趣的物品。近年来，扩散模型（Diffusion Models）凭借其强大的数据分布拟合能力被引入推荐系统中，通过将用户交互映射至连续隐空间，并执行加噪与去噪过程来学习用户表征。目前最先进的技术（如基于 Token 级别的独立扩散模型）能有效缓解长序列表示学习中的信息丢失问题。</w:t>
            </w:r>
          </w:p>
          <w:p w14:paraId="0908616A">
            <w:pPr>
              <w:pStyle w:val="6"/>
              <w:keepNext w:val="0"/>
              <w:keepLines w:val="0"/>
              <w:widowControl/>
              <w:suppressLineNumbers w:val="0"/>
            </w:pPr>
            <w:r>
              <w:rPr>
                <w:b/>
                <w:bCs/>
              </w:rPr>
              <w:t>现有技术存在的缺陷与不足：</w:t>
            </w:r>
          </w:p>
          <w:p w14:paraId="2F1F4B64">
            <w:pPr>
              <w:pStyle w:val="6"/>
              <w:keepNext w:val="0"/>
              <w:keepLines w:val="0"/>
              <w:widowControl/>
              <w:suppressLineNumbers w:val="0"/>
              <w:ind w:left="720"/>
            </w:pPr>
            <w:r>
              <w:rPr>
                <w:b/>
                <w:bCs/>
              </w:rPr>
              <w:t>时间步采样策略死板，未考虑位置重要性差异</w:t>
            </w:r>
            <w:r>
              <w:t>：现有基于 Token 的扩散推荐模型通常采用均匀的时间步采样策略（即整个序列共享相同的噪声调度期望）。然而，序列内部信息是不对称的，距离当前时刻越近的末端交互对未来预测的影响更大。均匀采样导致模型未能将“去噪学习的算力”倾斜给近期核心兴趣点。</w:t>
            </w:r>
          </w:p>
          <w:p w14:paraId="59825045">
            <w:pPr>
              <w:pStyle w:val="6"/>
              <w:keepNext w:val="0"/>
              <w:keepLines w:val="0"/>
              <w:widowControl/>
              <w:suppressLineNumbers w:val="0"/>
              <w:ind w:left="720"/>
            </w:pPr>
            <w:r>
              <w:rPr>
                <w:b/>
                <w:bCs/>
              </w:rPr>
              <w:t>单体重建目标与真实推荐排序需求脱节</w:t>
            </w:r>
            <w:r>
              <w:t>：现有扩散推荐过度依赖均方误差（MSE）或交叉熵（CE）等绝对重构误差。但推荐系统的核心评测指标（如 HR/NDCG）关注的是正负样本间的相对距离排序。单体重建目标无法拉大正负样本在隐空间中的区分度，且如果在训练中直接粗暴叠加排序损失，会引发严重的梯度冲突（Gradient Interference）。</w:t>
            </w:r>
          </w:p>
          <w:p w14:paraId="7756136F">
            <w:pPr>
              <w:jc w:val="center"/>
              <w:rPr>
                <w:rFonts w:hint="eastAsia" w:ascii="楷体_GB2312" w:eastAsia="楷体_GB2312" w:cs="宋体"/>
                <w:color w:val="FF0000"/>
                <w:szCs w:val="21"/>
              </w:rPr>
            </w:pPr>
          </w:p>
        </w:tc>
      </w:tr>
      <w:tr w14:paraId="0762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2" w:hRule="atLeast"/>
        </w:trPr>
        <w:tc>
          <w:tcPr>
            <w:tcW w:w="1620" w:type="dxa"/>
            <w:noWrap w:val="0"/>
            <w:vAlign w:val="center"/>
          </w:tcPr>
          <w:p w14:paraId="279AE8DB">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☆4.发明的目的及亮点</w:t>
            </w:r>
          </w:p>
        </w:tc>
        <w:tc>
          <w:tcPr>
            <w:tcW w:w="1800" w:type="dxa"/>
            <w:noWrap w:val="0"/>
            <w:vAlign w:val="center"/>
          </w:tcPr>
          <w:p w14:paraId="3FB36F27">
            <w:pPr>
              <w:rPr>
                <w:rFonts w:hint="eastAsia" w:ascii="楷体_GB2312" w:eastAsia="楷体_GB2312"/>
                <w:szCs w:val="21"/>
              </w:rPr>
            </w:pPr>
            <w:r>
              <w:rPr>
                <w:rFonts w:hint="eastAsia" w:ascii="楷体_GB2312" w:eastAsia="楷体_GB2312"/>
                <w:szCs w:val="21"/>
              </w:rPr>
              <w:t>指出本技术方案对已有技术进行改进的目的</w:t>
            </w:r>
          </w:p>
        </w:tc>
        <w:tc>
          <w:tcPr>
            <w:tcW w:w="5760" w:type="dxa"/>
            <w:noWrap w:val="0"/>
            <w:vAlign w:val="center"/>
          </w:tcPr>
          <w:p w14:paraId="71C27BF5">
            <w:pPr>
              <w:pStyle w:val="6"/>
              <w:keepNext w:val="0"/>
              <w:keepLines w:val="0"/>
              <w:widowControl/>
              <w:suppressLineNumbers w:val="0"/>
            </w:pPr>
            <w:r>
              <w:rPr>
                <w:b/>
                <w:bCs/>
              </w:rPr>
              <w:t>目的</w:t>
            </w:r>
            <w:r>
              <w:t>：解决现有扩散推荐模型中时间步采样权重均匀以及重建优化目标单一的问题，提升生成式推荐模型在核心排序指标上的表现。</w:t>
            </w:r>
          </w:p>
          <w:p w14:paraId="3726428F">
            <w:pPr>
              <w:pStyle w:val="6"/>
              <w:keepNext w:val="0"/>
              <w:keepLines w:val="0"/>
              <w:widowControl/>
              <w:suppressLineNumbers w:val="0"/>
            </w:pPr>
            <w:r>
              <w:rPr>
                <w:b/>
                <w:bCs/>
              </w:rPr>
              <w:t>技术亮点</w:t>
            </w:r>
            <w:r>
              <w:t>：</w:t>
            </w:r>
          </w:p>
          <w:p w14:paraId="5B905514">
            <w:pPr>
              <w:pStyle w:val="6"/>
              <w:keepNext w:val="0"/>
              <w:keepLines w:val="0"/>
              <w:widowControl/>
              <w:suppressLineNumbers w:val="0"/>
              <w:ind w:left="720"/>
            </w:pPr>
            <w:r>
              <w:rPr>
                <w:b/>
                <w:bCs/>
              </w:rPr>
              <w:t>提出位置感知重要性估计（PAIE）与自适应时间步调度器（ATS）</w:t>
            </w:r>
            <w:r>
              <w:t>：打破传统均匀分布假设，采用双阶段解耦策略量化序列节点信息熵，并自适应地为高重要性节点分配较小的期望时间步，实现细粒度的局部去噪重构。</w:t>
            </w:r>
          </w:p>
          <w:p w14:paraId="2BCB6D24">
            <w:pPr>
              <w:pStyle w:val="6"/>
              <w:keepNext w:val="0"/>
              <w:keepLines w:val="0"/>
              <w:widowControl/>
              <w:suppressLineNumbers w:val="0"/>
              <w:ind w:left="720"/>
              <w:rPr>
                <w:rFonts w:hint="eastAsia" w:ascii="楷体_GB2312" w:eastAsia="楷体_GB2312" w:cs="宋体"/>
                <w:color w:val="FF0000"/>
                <w:szCs w:val="21"/>
              </w:rPr>
            </w:pPr>
            <w:r>
              <w:rPr>
                <w:b/>
                <w:bCs/>
              </w:rPr>
              <w:t>提出基于 PCGrad 的多任务联合排序优化机制</w:t>
            </w:r>
            <w:r>
              <w:t>：在连续隐空间重构损失的基础上，引入基于单位超球面的贝叶斯个性化排序（BPR）对比损失。通过 PCGrad 梯度投影机制消除生成式重构与判别式排序之间的优化方向冲突。</w:t>
            </w:r>
          </w:p>
        </w:tc>
      </w:tr>
      <w:tr w14:paraId="1883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8" w:hRule="atLeast"/>
        </w:trPr>
        <w:tc>
          <w:tcPr>
            <w:tcW w:w="1620" w:type="dxa"/>
            <w:noWrap w:val="0"/>
            <w:vAlign w:val="center"/>
          </w:tcPr>
          <w:p w14:paraId="59CB8721">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★5.技术方案的描述</w:t>
            </w:r>
          </w:p>
        </w:tc>
        <w:tc>
          <w:tcPr>
            <w:tcW w:w="1800" w:type="dxa"/>
            <w:noWrap w:val="0"/>
            <w:vAlign w:val="center"/>
          </w:tcPr>
          <w:p w14:paraId="56A4817F">
            <w:pPr>
              <w:rPr>
                <w:rFonts w:hint="eastAsia" w:ascii="楷体_GB2312" w:eastAsia="楷体_GB2312"/>
                <w:szCs w:val="21"/>
              </w:rPr>
            </w:pPr>
            <w:r>
              <w:rPr>
                <w:rFonts w:hint="eastAsia" w:ascii="楷体_GB2312" w:eastAsia="楷体_GB2312"/>
                <w:szCs w:val="21"/>
              </w:rPr>
              <w:t>1.方法或配方的材料组成；</w:t>
            </w:r>
          </w:p>
          <w:p w14:paraId="7B01F7CB">
            <w:pPr>
              <w:rPr>
                <w:rFonts w:hint="eastAsia" w:ascii="楷体_GB2312" w:eastAsia="楷体_GB2312"/>
                <w:szCs w:val="21"/>
              </w:rPr>
            </w:pPr>
          </w:p>
          <w:p w14:paraId="418E429B">
            <w:pPr>
              <w:rPr>
                <w:rFonts w:hint="eastAsia" w:ascii="楷体_GB2312" w:eastAsia="楷体_GB2312"/>
                <w:szCs w:val="21"/>
              </w:rPr>
            </w:pPr>
            <w:r>
              <w:rPr>
                <w:rFonts w:hint="eastAsia" w:ascii="楷体_GB2312" w:eastAsia="楷体_GB2312"/>
                <w:szCs w:val="21"/>
              </w:rPr>
              <w:t>2.发生/生产步骤（如：配方原料添加步骤、条件及参数等；机械安装步骤等）；</w:t>
            </w:r>
          </w:p>
          <w:p w14:paraId="3CDBAEAC">
            <w:pPr>
              <w:rPr>
                <w:rFonts w:hint="eastAsia" w:ascii="楷体_GB2312" w:eastAsia="楷体_GB2312"/>
                <w:szCs w:val="21"/>
              </w:rPr>
            </w:pPr>
          </w:p>
          <w:p w14:paraId="0953E194">
            <w:pPr>
              <w:rPr>
                <w:rFonts w:hint="eastAsia" w:ascii="楷体_GB2312" w:eastAsia="楷体_GB2312"/>
                <w:szCs w:val="21"/>
              </w:rPr>
            </w:pPr>
            <w:r>
              <w:rPr>
                <w:rFonts w:hint="eastAsia" w:ascii="楷体_GB2312" w:eastAsia="楷体_GB2312"/>
                <w:szCs w:val="21"/>
              </w:rPr>
              <w:t>3.方法步骤流程图；</w:t>
            </w:r>
          </w:p>
          <w:p w14:paraId="38247E0C">
            <w:pPr>
              <w:rPr>
                <w:rFonts w:hint="eastAsia" w:ascii="楷体_GB2312" w:eastAsia="楷体_GB2312"/>
                <w:szCs w:val="21"/>
              </w:rPr>
            </w:pPr>
          </w:p>
          <w:p w14:paraId="1F8D8131">
            <w:pPr>
              <w:rPr>
                <w:rFonts w:hint="eastAsia" w:ascii="楷体_GB2312" w:eastAsia="楷体_GB2312"/>
                <w:szCs w:val="21"/>
              </w:rPr>
            </w:pPr>
            <w:r>
              <w:rPr>
                <w:rFonts w:hint="eastAsia" w:ascii="楷体_GB2312" w:eastAsia="楷体_GB2312"/>
                <w:szCs w:val="21"/>
              </w:rPr>
              <w:t>4.发生的原理说明；</w:t>
            </w:r>
          </w:p>
          <w:p w14:paraId="21C27869">
            <w:pPr>
              <w:rPr>
                <w:rFonts w:hint="eastAsia" w:ascii="楷体_GB2312" w:eastAsia="楷体_GB2312"/>
                <w:szCs w:val="21"/>
              </w:rPr>
            </w:pPr>
          </w:p>
          <w:p w14:paraId="56C3A831">
            <w:pPr>
              <w:rPr>
                <w:rFonts w:hint="eastAsia" w:ascii="楷体_GB2312" w:eastAsia="楷体_GB2312"/>
                <w:szCs w:val="21"/>
              </w:rPr>
            </w:pPr>
            <w:r>
              <w:rPr>
                <w:rFonts w:hint="eastAsia" w:ascii="楷体_GB2312" w:eastAsia="楷体_GB2312"/>
                <w:szCs w:val="21"/>
              </w:rPr>
              <w:t>5.参数性能的检测方法及指标；</w:t>
            </w:r>
          </w:p>
          <w:p w14:paraId="4E80491C">
            <w:pPr>
              <w:rPr>
                <w:rFonts w:hint="eastAsia" w:ascii="楷体_GB2312" w:eastAsia="楷体_GB2312"/>
                <w:szCs w:val="21"/>
              </w:rPr>
            </w:pPr>
          </w:p>
          <w:p w14:paraId="744A2328">
            <w:pPr>
              <w:rPr>
                <w:rFonts w:hint="eastAsia" w:ascii="楷体_GB2312" w:eastAsia="楷体_GB2312"/>
                <w:szCs w:val="21"/>
              </w:rPr>
            </w:pPr>
            <w:r>
              <w:rPr>
                <w:rFonts w:hint="eastAsia" w:ascii="楷体_GB2312" w:eastAsia="楷体_GB2312"/>
                <w:szCs w:val="21"/>
              </w:rPr>
              <w:t>6.其他补充。</w:t>
            </w:r>
          </w:p>
        </w:tc>
        <w:tc>
          <w:tcPr>
            <w:tcW w:w="5760" w:type="dxa"/>
            <w:noWrap w:val="0"/>
            <w:vAlign w:val="center"/>
          </w:tcPr>
          <w:p w14:paraId="0D44B70A">
            <w:pPr>
              <w:pStyle w:val="6"/>
              <w:keepNext w:val="0"/>
              <w:keepLines w:val="0"/>
              <w:widowControl/>
              <w:suppressLineNumbers w:val="0"/>
            </w:pPr>
            <w:r>
              <w:rPr>
                <w:rFonts w:hint="default"/>
              </w:rPr>
              <w:t>本发明提出的一种基于位置感知与多任务排序优化的扩散推荐方法，其特征在于，包括以下步骤：</w:t>
            </w:r>
          </w:p>
          <w:p w14:paraId="598C1688">
            <w:pPr>
              <w:pStyle w:val="6"/>
              <w:keepNext w:val="0"/>
              <w:keepLines w:val="0"/>
              <w:widowControl/>
              <w:suppressLineNumbers w:val="0"/>
              <w:rPr>
                <w:rFonts w:hint="default"/>
              </w:rPr>
            </w:pPr>
            <w:r>
              <w:rPr>
                <w:rFonts w:hint="default"/>
              </w:rPr>
              <w:t>步骤 S1：获取历史交互序列和目标序列并进行特征编码。</w:t>
            </w:r>
          </w:p>
          <w:p w14:paraId="076C71F0">
            <w:pPr>
              <w:pStyle w:val="6"/>
              <w:keepNext w:val="0"/>
              <w:keepLines w:val="0"/>
              <w:widowControl/>
              <w:suppressLineNumbers w:val="0"/>
              <w:rPr>
                <w:rFonts w:hint="default"/>
              </w:rPr>
            </w:pPr>
            <w:r>
              <w:rPr>
                <w:rFonts w:hint="default"/>
              </w:rPr>
              <w:t>获取用户的历史交互序列，将所述历史交互序列经物品嵌入层映射为历史序列嵌入，并输入至基于自注意力机制的编码器中，得到具有上下文语义特征的序列隐状态表示；同时，将目标序列经物品嵌入层映射为目标表征 </w:t>
            </w:r>
            <w:r>
              <w:t>x</w:t>
            </w:r>
            <w:r>
              <w:rPr>
                <w:rFonts w:hint="default"/>
              </w:rPr>
              <w:t>0​，作为后续扩散加噪过程的原始干净表征。</w:t>
            </w:r>
          </w:p>
          <w:p w14:paraId="727710B7">
            <w:pPr>
              <w:pStyle w:val="6"/>
              <w:keepNext w:val="0"/>
              <w:keepLines w:val="0"/>
              <w:widowControl/>
              <w:suppressLineNumbers w:val="0"/>
              <w:rPr>
                <w:rFonts w:hint="default"/>
              </w:rPr>
            </w:pPr>
            <w:r>
              <w:rPr>
                <w:rFonts w:hint="default"/>
              </w:rPr>
              <w:t>步骤 S2：基于基础重要性与动态误差引导相结合的混合评估机制评估位置重要性。</w:t>
            </w:r>
          </w:p>
          <w:p w14:paraId="524BD924">
            <w:pPr>
              <w:pStyle w:val="6"/>
              <w:keepNext w:val="0"/>
              <w:keepLines w:val="0"/>
              <w:widowControl/>
              <w:suppressLineNumbers w:val="0"/>
              <w:rPr>
                <w:rFonts w:hint="default"/>
              </w:rPr>
            </w:pPr>
            <w:r>
              <w:rPr>
                <w:rFonts w:hint="default"/>
              </w:rPr>
              <w:t>针对序列中的每个有效位置，计算其位置重要性得分。具体包括：</w:t>
            </w:r>
          </w:p>
          <w:p w14:paraId="733F8D2D">
            <w:pPr>
              <w:pStyle w:val="6"/>
              <w:keepNext w:val="0"/>
              <w:keepLines w:val="0"/>
              <w:widowControl/>
              <w:suppressLineNumbers w:val="0"/>
              <w:rPr>
                <w:rFonts w:hint="default"/>
              </w:rPr>
            </w:pPr>
            <w:r>
              <w:rPr>
                <w:rFonts w:hint="default"/>
              </w:rPr>
              <w:t>第一阶段，基础重要性计算：融合线性递增的位置权重与经过多层感知机映射得到的语义重要性，得到归一化的基础重要性得分；</w:t>
            </w:r>
          </w:p>
          <w:p w14:paraId="410F8747">
            <w:pPr>
              <w:pStyle w:val="6"/>
              <w:keepNext w:val="0"/>
              <w:keepLines w:val="0"/>
              <w:widowControl/>
              <w:suppressLineNumbers w:val="0"/>
              <w:rPr>
                <w:rFonts w:hint="default"/>
              </w:rPr>
            </w:pPr>
            <w:r>
              <w:rPr>
                <w:rFonts w:hint="default"/>
              </w:rPr>
              <w:t>第二阶段，动态误差引导：提取上一训练批次中各有效位置的预测重构误差，归一化后与基础重要性得分进行融合，得到最终的位置重要性得分；同时，引入信息熵正则化项作为附加约束，以防止重要性分布过度集中。</w:t>
            </w:r>
          </w:p>
          <w:p w14:paraId="07008749">
            <w:pPr>
              <w:pStyle w:val="6"/>
              <w:keepNext w:val="0"/>
              <w:keepLines w:val="0"/>
              <w:widowControl/>
              <w:suppressLineNumbers w:val="0"/>
              <w:rPr>
                <w:rFonts w:hint="default"/>
              </w:rPr>
            </w:pPr>
            <w:r>
              <w:rPr>
                <w:rFonts w:hint="default"/>
              </w:rPr>
              <w:t>步骤 S3：自适应时间步调度与独立扩散加噪。</w:t>
            </w:r>
          </w:p>
          <w:p w14:paraId="076E64B9">
            <w:pPr>
              <w:pStyle w:val="6"/>
              <w:keepNext w:val="0"/>
              <w:keepLines w:val="0"/>
              <w:widowControl/>
              <w:suppressLineNumbers w:val="0"/>
              <w:rPr>
                <w:rFonts w:hint="default"/>
              </w:rPr>
            </w:pPr>
            <w:r>
              <w:rPr>
                <w:rFonts w:hint="default"/>
              </w:rPr>
              <w:t>将位置重要性得分线性映射为期望时间步，并基于所述期望时间步构建带有温度系数的高斯-Softmax 时间步概率分布；对于序列中的每个有效位置，从其对应的时间步概率分布中独立采样时间步，并根据采样得到的时间步向目标表征 x0x0​ 的对应有效位置注入高斯噪声，得到加噪表征 xt。</w:t>
            </w:r>
          </w:p>
          <w:p w14:paraId="39A38E34">
            <w:pPr>
              <w:pStyle w:val="6"/>
              <w:keepNext w:val="0"/>
              <w:keepLines w:val="0"/>
              <w:widowControl/>
              <w:suppressLineNumbers w:val="0"/>
              <w:rPr>
                <w:rFonts w:hint="default"/>
              </w:rPr>
            </w:pPr>
            <w:r>
              <w:rPr>
                <w:rFonts w:hint="default"/>
              </w:rPr>
              <w:t>步骤 S4：模型去噪与多任务损失构建。</w:t>
            </w:r>
          </w:p>
          <w:p w14:paraId="46BF1BA0">
            <w:pPr>
              <w:pStyle w:val="6"/>
              <w:keepNext w:val="0"/>
              <w:keepLines w:val="0"/>
              <w:widowControl/>
              <w:suppressLineNumbers w:val="0"/>
              <w:rPr>
                <w:rFonts w:hint="default"/>
              </w:rPr>
            </w:pPr>
            <w:r>
              <w:rPr>
                <w:rFonts w:hint="default"/>
              </w:rPr>
              <w:t>将所述加噪表征 xt、对应时间步嵌入以及序列隐状态表示输入去噪神经网络进行特征重建，得到重构后的目标表征 x^0​。构建联合优化损失函数，所述联合优化损失函数包括：</w:t>
            </w:r>
          </w:p>
          <w:p w14:paraId="4AEC9F78">
            <w:pPr>
              <w:pStyle w:val="6"/>
              <w:keepNext w:val="0"/>
              <w:keepLines w:val="0"/>
              <w:widowControl/>
              <w:suppressLineNumbers w:val="0"/>
            </w:pPr>
            <w:r>
              <w:rPr>
                <w:rFonts w:hint="default"/>
              </w:rPr>
              <w:t>主任务交叉熵损失；</w:t>
            </w:r>
          </w:p>
          <w:p w14:paraId="6A9C043D">
            <w:pPr>
              <w:pStyle w:val="6"/>
              <w:keepNext w:val="0"/>
              <w:keepLines w:val="0"/>
              <w:widowControl/>
              <w:suppressLineNumbers w:val="0"/>
            </w:pPr>
            <w:r>
              <w:rPr>
                <w:rFonts w:hint="default"/>
              </w:rPr>
              <w:t>连续隐空间重构扩散损失；</w:t>
            </w:r>
          </w:p>
          <w:p w14:paraId="03CA8F7E">
            <w:pPr>
              <w:pStyle w:val="6"/>
              <w:keepNext w:val="0"/>
              <w:keepLines w:val="0"/>
              <w:widowControl/>
              <w:suppressLineNumbers w:val="0"/>
            </w:pPr>
            <w:r>
              <w:rPr>
                <w:rFonts w:hint="default"/>
              </w:rPr>
              <w:t>基于归一化嵌入余弦相似度的 BPR 风格排序损失。</w:t>
            </w:r>
          </w:p>
          <w:p w14:paraId="00704B61">
            <w:pPr>
              <w:pStyle w:val="6"/>
              <w:keepNext w:val="0"/>
              <w:keepLines w:val="0"/>
              <w:widowControl/>
              <w:suppressLineNumbers w:val="0"/>
              <w:rPr>
                <w:rFonts w:hint="default"/>
              </w:rPr>
            </w:pPr>
            <w:r>
              <w:rPr>
                <w:rFonts w:hint="default"/>
              </w:rPr>
              <w:t>其中，所述 BPR 风格排序损失通过对去噪表征、正样本物品嵌入和负样本物品嵌入进行归一化，并利用余弦相似度构建正负样本间的排序约束。</w:t>
            </w:r>
          </w:p>
          <w:p w14:paraId="0878C38F">
            <w:pPr>
              <w:pStyle w:val="6"/>
              <w:keepNext w:val="0"/>
              <w:keepLines w:val="0"/>
              <w:widowControl/>
              <w:suppressLineNumbers w:val="0"/>
              <w:rPr>
                <w:rFonts w:hint="default"/>
              </w:rPr>
            </w:pPr>
            <w:r>
              <w:rPr>
                <w:rFonts w:hint="default"/>
              </w:rPr>
              <w:t>步骤 S5：基于梯度投影的联合优化更新。</w:t>
            </w:r>
          </w:p>
          <w:p w14:paraId="00456D94">
            <w:pPr>
              <w:pStyle w:val="6"/>
              <w:keepNext w:val="0"/>
              <w:keepLines w:val="0"/>
              <w:widowControl/>
              <w:suppressLineNumbers w:val="0"/>
              <w:rPr>
                <w:rFonts w:hint="default"/>
              </w:rPr>
            </w:pPr>
            <w:r>
              <w:rPr>
                <w:rFonts w:hint="default"/>
              </w:rPr>
              <w:t>在反向传播时，检测主任务交叉熵损失、连续隐空间重构扩散损失以及排序损失对应梯度之间是否存在方向冲突；若存在冲突，则执行基于梯度投影的冲突消解，随后更新模型参数。</w:t>
            </w:r>
          </w:p>
          <w:p w14:paraId="405EA2A8">
            <w:pPr>
              <w:pStyle w:val="6"/>
              <w:keepNext w:val="0"/>
              <w:keepLines w:val="0"/>
              <w:widowControl/>
              <w:suppressLineNumbers w:val="0"/>
              <w:rPr>
                <w:rFonts w:hint="default"/>
              </w:rPr>
            </w:pPr>
            <w:r>
              <w:rPr>
                <w:rFonts w:hint="default"/>
              </w:rPr>
              <w:t>步骤 S6：推理与推荐。</w:t>
            </w:r>
          </w:p>
          <w:p w14:paraId="252ABC5E">
            <w:pPr>
              <w:pStyle w:val="6"/>
              <w:keepNext w:val="0"/>
              <w:keepLines w:val="0"/>
              <w:widowControl/>
              <w:suppressLineNumbers w:val="0"/>
              <w:rPr>
                <w:rFonts w:hint="default"/>
              </w:rPr>
            </w:pPr>
            <w:r>
              <w:rPr>
                <w:rFonts w:hint="default"/>
              </w:rPr>
              <w:t>对于在线预测请求，模型复用标准的多步马尔可夫去噪链，输出用户的预测表征，并与物品库中的物品嵌入进行内积匹配，生成 Top-K 推荐列表。</w:t>
            </w:r>
          </w:p>
          <w:p w14:paraId="6AC358D9">
            <w:pPr>
              <w:pStyle w:val="6"/>
              <w:keepNext w:val="0"/>
              <w:keepLines w:val="0"/>
              <w:widowControl/>
              <w:suppressLineNumbers w:val="0"/>
              <w:spacing w:before="0" w:beforeAutospacing="0" w:line="12" w:lineRule="atLeast"/>
              <w:ind w:left="720"/>
              <w:rPr>
                <w:rFonts w:hint="eastAsia" w:ascii="楷体_GB2312" w:eastAsia="楷体_GB2312" w:cs="宋体"/>
                <w:color w:val="FF0000"/>
                <w:szCs w:val="21"/>
              </w:rPr>
            </w:pPr>
          </w:p>
        </w:tc>
      </w:tr>
      <w:tr w14:paraId="3F3B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2" w:hRule="atLeast"/>
        </w:trPr>
        <w:tc>
          <w:tcPr>
            <w:tcW w:w="1620" w:type="dxa"/>
            <w:noWrap w:val="0"/>
            <w:vAlign w:val="center"/>
          </w:tcPr>
          <w:p w14:paraId="6E3E0DB1">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☆6.技术效果</w:t>
            </w:r>
          </w:p>
        </w:tc>
        <w:tc>
          <w:tcPr>
            <w:tcW w:w="1800" w:type="dxa"/>
            <w:noWrap w:val="0"/>
            <w:vAlign w:val="center"/>
          </w:tcPr>
          <w:p w14:paraId="739B21EB">
            <w:pPr>
              <w:rPr>
                <w:rFonts w:hint="eastAsia" w:ascii="楷体_GB2312" w:eastAsia="楷体_GB2312"/>
                <w:szCs w:val="21"/>
              </w:rPr>
            </w:pPr>
            <w:r>
              <w:rPr>
                <w:rFonts w:hint="eastAsia" w:ascii="楷体_GB2312" w:eastAsia="楷体_GB2312"/>
                <w:szCs w:val="21"/>
              </w:rPr>
              <w:t>针对已有问题，所提出技术方案带来的有益效果/效果的指标参数。</w:t>
            </w:r>
          </w:p>
        </w:tc>
        <w:tc>
          <w:tcPr>
            <w:tcW w:w="5760" w:type="dxa"/>
            <w:noWrap w:val="0"/>
            <w:vAlign w:val="center"/>
          </w:tcPr>
          <w:p w14:paraId="1E688FFD">
            <w:pPr>
              <w:pStyle w:val="6"/>
              <w:keepNext w:val="0"/>
              <w:keepLines w:val="0"/>
              <w:widowControl/>
              <w:suppressLineNumbers w:val="0"/>
            </w:pPr>
            <w:r>
              <w:rPr>
                <w:b/>
                <w:bCs/>
              </w:rPr>
              <w:t>核心排序指标显著提升</w:t>
            </w:r>
            <w:r>
              <w:t>：在 Amazon-Toys 等稀疏数据集上，该方法在不改变基础网络结构的前提下，相比现有最先进的扩散推荐模型（ADRec），HR@20 提升了 12.22%，NDCG@20 也有稳定提升。</w:t>
            </w:r>
          </w:p>
          <w:p w14:paraId="735A2946">
            <w:pPr>
              <w:pStyle w:val="6"/>
              <w:keepNext w:val="0"/>
              <w:keepLines w:val="0"/>
              <w:widowControl/>
              <w:suppressLineNumbers w:val="0"/>
            </w:pPr>
            <w:r>
              <w:rPr>
                <w:b/>
                <w:bCs/>
              </w:rPr>
              <w:t>优化了表征学习资源的分配</w:t>
            </w:r>
            <w:r>
              <w:t>：通过 PAIE 与 ATS 模块，模型主动将“重构容量”聚焦于高信息熵的关键序列节点（如近期交互），显著增强了对局部近期行为的建模能力。</w:t>
            </w:r>
          </w:p>
          <w:p w14:paraId="419E3D97">
            <w:pPr>
              <w:pStyle w:val="6"/>
              <w:keepNext w:val="0"/>
              <w:keepLines w:val="0"/>
              <w:widowControl/>
              <w:suppressLineNumbers w:val="0"/>
            </w:pPr>
            <w:r>
              <w:rPr>
                <w:b/>
                <w:bCs/>
              </w:rPr>
              <w:t>解决了训练中的多目标梯度冲突</w:t>
            </w:r>
            <w:r>
              <w:t>：引入的 PCGrad 机制确保了扩散模型的绝对特征逼近与推荐系统的相对距离拉升能够正向协同，隐空间内的正负样本区分度更加明显。</w:t>
            </w:r>
          </w:p>
          <w:p w14:paraId="4A794B84">
            <w:pPr>
              <w:pStyle w:val="6"/>
              <w:keepNext w:val="0"/>
              <w:keepLines w:val="0"/>
              <w:widowControl/>
              <w:suppressLineNumbers w:val="0"/>
              <w:rPr>
                <w:rFonts w:hint="eastAsia" w:ascii="楷体_GB2312" w:eastAsia="楷体_GB2312" w:cs="宋体"/>
                <w:color w:val="FF0000"/>
                <w:szCs w:val="21"/>
              </w:rPr>
            </w:pPr>
            <w:r>
              <w:rPr>
                <w:b/>
                <w:bCs/>
              </w:rPr>
              <w:t>零额外推理开销</w:t>
            </w:r>
            <w:r>
              <w:t>：自适应重要性采样和梯度投影仅发生在训练阶段，在推理阶段模型退化为标准的生成式流程，不增加任何线上的时间与空间复杂度，工程落地可行性极强。</w:t>
            </w:r>
          </w:p>
        </w:tc>
      </w:tr>
      <w:tr w14:paraId="0187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9" w:hRule="atLeast"/>
        </w:trPr>
        <w:tc>
          <w:tcPr>
            <w:tcW w:w="1620" w:type="dxa"/>
            <w:noWrap w:val="0"/>
            <w:vAlign w:val="center"/>
          </w:tcPr>
          <w:p w14:paraId="05F153EC">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☆7.技术实施具体方案</w:t>
            </w:r>
          </w:p>
        </w:tc>
        <w:tc>
          <w:tcPr>
            <w:tcW w:w="1800" w:type="dxa"/>
            <w:noWrap w:val="0"/>
            <w:vAlign w:val="center"/>
          </w:tcPr>
          <w:p w14:paraId="27D7F9D4">
            <w:pPr>
              <w:rPr>
                <w:rFonts w:hint="eastAsia" w:ascii="楷体_GB2312" w:eastAsia="楷体_GB2312" w:cs="宋体"/>
                <w:szCs w:val="21"/>
              </w:rPr>
            </w:pPr>
            <w:r>
              <w:rPr>
                <w:rFonts w:hint="eastAsia" w:ascii="楷体_GB2312" w:eastAsia="楷体_GB2312" w:cs="宋体"/>
                <w:szCs w:val="21"/>
              </w:rPr>
              <w:t>本技术的实施方案、替代实施方案：可以是完整的替代方案，也可是局部的替代方案。（可尽量多写，以扩大专利的保护范围，防止他人绕过本技术去实现同样的发明目的。）</w:t>
            </w:r>
          </w:p>
        </w:tc>
        <w:tc>
          <w:tcPr>
            <w:tcW w:w="5760" w:type="dxa"/>
            <w:noWrap w:val="0"/>
            <w:vAlign w:val="center"/>
          </w:tcPr>
          <w:p w14:paraId="3B1744B9">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本发明提供了一种基于位置感知与多任务排序优化的扩散推荐系统及其实施方法。该方法在训练阶段通过位置感知重要性评估和自适应时间步调度实现位置级独立扩散加噪，并通过多任务排序优化提升推荐表征的排序能力；在推理阶段复用标准扩散去噪链完成推荐预测。具体实施流程如下。</w:t>
            </w:r>
            <w:r>
              <w:rPr>
                <w:rFonts w:hint="default" w:ascii="sans-serif" w:hAnsi="sans-serif" w:eastAsia="sans-serif" w:cs="sans-serif"/>
              </w:rPr>
              <w:t>：</w:t>
            </w:r>
          </w:p>
          <w:p w14:paraId="542FE4D2">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1. 历史交互序列特征编码阶段</w:t>
            </w:r>
          </w:p>
          <w:p w14:paraId="6DF45A20">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获取用户</w:t>
            </w:r>
            <w:bookmarkStart w:id="0" w:name="_GoBack"/>
            <w:bookmarkEnd w:id="0"/>
            <w:r>
              <w:rPr>
                <w:rFonts w:hint="default" w:ascii="sans-serif" w:hAnsi="sans-serif" w:eastAsia="sans-serif" w:cs="sans-serif"/>
              </w:rPr>
              <w:t>的历史交互序列</w:t>
            </w:r>
            <m:oMath>
              <m:r>
                <m:rPr/>
                <w:rPr>
                  <w:rFonts w:hint="default" w:ascii="Cambria Math" w:hAnsi="Cambria Math" w:eastAsia="sans-serif"/>
                </w:rPr>
                <m:t>S={</m:t>
              </m:r>
              <m:sSub>
                <m:sSubPr>
                  <m:ctrlPr>
                    <w:rPr>
                      <w:rFonts w:hint="default" w:ascii="Cambria Math" w:hAnsi="Cambria Math" w:eastAsia="sans-serif"/>
                    </w:rPr>
                  </m:ctrlPr>
                </m:sSubPr>
                <m:e>
                  <m:r>
                    <m:rPr/>
                    <w:rPr>
                      <w:rFonts w:hint="default" w:ascii="Cambria Math" w:hAnsi="Cambria Math" w:eastAsia="sans-serif"/>
                    </w:rPr>
                    <m:t>s</m:t>
                  </m:r>
                  <m:ctrlPr>
                    <w:rPr>
                      <w:rFonts w:ascii="Cambria Math" w:hAnsi="Cambria Math" w:eastAsia="sans-serif"/>
                    </w:rPr>
                  </m:ctrlPr>
                </m:e>
                <m:sub>
                  <m:r>
                    <m:rPr/>
                    <w:rPr>
                      <w:rFonts w:hint="default" w:ascii="Cambria Math" w:hAnsi="Cambria Math" w:eastAsia="sans-serif"/>
                    </w:rPr>
                    <m:t>1</m:t>
                  </m:r>
                  <m:ctrlPr>
                    <w:rPr>
                      <w:rFonts w:ascii="Cambria Math" w:hAnsi="Cambria Math" w:eastAsia="sans-serif"/>
                    </w:rPr>
                  </m:ctrlPr>
                </m:sub>
              </m:sSub>
              <m:r>
                <m:rPr/>
                <w:rPr>
                  <w:rFonts w:hint="default" w:ascii="Cambria Math" w:hAnsi="Cambria Math" w:eastAsia="sans-serif"/>
                </w:rPr>
                <m:t>,</m:t>
              </m:r>
              <m:sSub>
                <m:sSubPr>
                  <m:ctrlPr>
                    <w:rPr>
                      <w:rFonts w:hint="default" w:ascii="Cambria Math" w:hAnsi="Cambria Math" w:eastAsia="sans-serif"/>
                    </w:rPr>
                  </m:ctrlPr>
                </m:sSubPr>
                <m:e>
                  <m:r>
                    <m:rPr/>
                    <w:rPr>
                      <w:rFonts w:hint="default" w:ascii="Cambria Math" w:hAnsi="Cambria Math" w:eastAsia="sans-serif"/>
                    </w:rPr>
                    <m:t>s</m:t>
                  </m:r>
                  <m:ctrlPr>
                    <w:rPr>
                      <w:rFonts w:ascii="Cambria Math" w:hAnsi="Cambria Math" w:eastAsia="sans-serif"/>
                    </w:rPr>
                  </m:ctrlPr>
                </m:e>
                <m:sub>
                  <m:r>
                    <m:rPr/>
                    <w:rPr>
                      <w:rFonts w:hint="default" w:ascii="Cambria Math" w:hAnsi="Cambria Math" w:eastAsia="sans-serif"/>
                    </w:rPr>
                    <m:t>2</m:t>
                  </m:r>
                  <m:ctrlPr>
                    <w:rPr>
                      <w:rFonts w:ascii="Cambria Math" w:hAnsi="Cambria Math" w:eastAsia="sans-serif"/>
                    </w:rPr>
                  </m:ctrlPr>
                </m:sub>
              </m:sSub>
              <m:r>
                <m:rPr/>
                <w:rPr>
                  <w:rFonts w:hint="default" w:ascii="Cambria Math" w:hAnsi="Cambria Math" w:eastAsia="sans-serif"/>
                </w:rPr>
                <m:t>,…</m:t>
              </m:r>
            </m:oMath>
            <w:r>
              <w:rPr>
                <w:rFonts w:hint="default" w:ascii="sans-serif" w:hAnsi="sans-serif" w:eastAsia="sans-serif" w:cs="sans-serif"/>
              </w:rPr>
              <w:t>, sL}，最大序列长度截断为 50 或 60。通过基于自注意力机制的 Transformer 编码器提取特征，得到具有上下文语义特征的隐状态表示</w:t>
            </w:r>
            <m:oMath>
              <m:sSub>
                <m:sSubPr>
                  <m:ctrlPr>
                    <w:rPr>
                      <w:rFonts w:hint="default" w:ascii="Cambria Math" w:hAnsi="Cambria Math" w:eastAsia="sans-serif"/>
                    </w:rPr>
                  </m:ctrlPr>
                </m:sSubPr>
                <m:e>
                  <m:r>
                    <m:rPr/>
                    <w:rPr>
                      <w:rFonts w:hint="default" w:ascii="Cambria Math" w:hAnsi="Cambria Math" w:eastAsia="sans-serif"/>
                    </w:rPr>
                    <m:t>c</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oMath>
            <w:r>
              <w:rPr>
                <w:rFonts w:hint="default" w:ascii="sans-serif" w:hAnsi="sans-serif" w:eastAsia="sans-serif" w:cs="sans-serif"/>
              </w:rPr>
              <w:t>。</w:t>
            </w:r>
          </w:p>
          <w:p w14:paraId="1F83EB8F">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2. 基于双阶段解耦策略的位置重要性评估（PAIE）阶段</w:t>
            </w:r>
          </w:p>
          <w:p w14:paraId="6AEB1DF0">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 xml:space="preserve">系统针对序列中的每个有效位置 </w:t>
            </w:r>
            <m:oMath>
              <m:r>
                <m:rPr/>
                <w:rPr>
                  <w:rFonts w:hint="default" w:ascii="Cambria Math" w:hAnsi="Cambria Math" w:eastAsia="sans-serif"/>
                </w:rPr>
                <m:t>i</m:t>
              </m:r>
            </m:oMath>
            <w:r>
              <w:rPr>
                <w:rFonts w:hint="default" w:ascii="sans-serif" w:hAnsi="sans-serif" w:eastAsia="sans-serif" w:cs="sans-serif"/>
              </w:rPr>
              <w:t xml:space="preserve"> 计算动态重要性得分</w:t>
            </w:r>
            <m:oMath>
              <m:sSub>
                <m:sSubPr>
                  <m:ctrlPr>
                    <w:rPr>
                      <w:rFonts w:hint="default" w:ascii="Cambria Math" w:hAnsi="Cambria Math" w:eastAsia="sans-serif"/>
                    </w:rPr>
                  </m:ctrlPr>
                </m:sSubPr>
                <m:e>
                  <m:r>
                    <m:rPr/>
                    <w:rPr>
                      <w:rFonts w:hint="default" w:ascii="Cambria Math" w:hAnsi="Cambria Math" w:eastAsia="sans-serif"/>
                    </w:rPr>
                    <m:t>π</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r>
                <m:rPr/>
                <w:rPr>
                  <w:rFonts w:hint="default" w:ascii="Cambria Math" w:hAnsi="Cambria Math" w:eastAsia="sans-serif"/>
                </w:rPr>
                <m:t>∈[0,1]</m:t>
              </m:r>
            </m:oMath>
            <w:r>
              <w:rPr>
                <w:rFonts w:hint="default" w:ascii="sans-serif" w:hAnsi="sans-serif" w:eastAsia="sans-serif" w:cs="sans-serif"/>
              </w:rPr>
              <w:t>。</w:t>
            </w:r>
          </w:p>
          <w:p w14:paraId="769E26FF">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基础先验融合</w:t>
            </w:r>
            <w:r>
              <w:rPr>
                <w:rFonts w:hint="default" w:ascii="sans-serif" w:hAnsi="sans-serif" w:eastAsia="sans-serif" w:cs="sans-serif"/>
              </w:rPr>
              <w:t>：构造线性递增的归一化位置权重</w:t>
            </w:r>
            <m:oMath>
              <m:sSub>
                <m:sSubPr>
                  <m:ctrlPr>
                    <w:rPr>
                      <w:rFonts w:hint="default" w:ascii="Cambria Math" w:hAnsi="Cambria Math" w:eastAsia="sans-serif"/>
                    </w:rPr>
                  </m:ctrlPr>
                </m:sSubPr>
                <m:e>
                  <m:r>
                    <m:rPr/>
                    <w:rPr>
                      <w:rFonts w:hint="default" w:ascii="Cambria Math" w:hAnsi="Cambria Math" w:eastAsia="sans-serif"/>
                    </w:rPr>
                    <m:t>p</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oMath>
            <w:r>
              <w:rPr>
                <w:rFonts w:hint="default" w:ascii="sans-serif" w:hAnsi="sans-serif" w:eastAsia="sans-serif" w:cs="sans-serif"/>
              </w:rPr>
              <w:t>，并通过多层感知机映射得到语义重要性得分</w:t>
            </w:r>
            <m:oMath>
              <m:sSub>
                <m:sSubPr>
                  <m:ctrlPr>
                    <w:rPr>
                      <w:rFonts w:hint="default" w:ascii="Cambria Math" w:hAnsi="Cambria Math" w:eastAsia="sans-serif"/>
                    </w:rPr>
                  </m:ctrlPr>
                </m:sSubPr>
                <m:e>
                  <m:r>
                    <m:rPr/>
                    <w:rPr>
                      <w:rFonts w:hint="default" w:ascii="Cambria Math" w:hAnsi="Cambria Math" w:eastAsia="sans-serif"/>
                    </w:rPr>
                    <m:t>l</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r>
                <m:rPr/>
                <w:rPr>
                  <w:rFonts w:hint="default" w:ascii="Cambria Math" w:hAnsi="Cambria Math" w:eastAsia="sans-serif"/>
                </w:rPr>
                <m:t>=</m:t>
              </m:r>
              <m:r>
                <m:rPr>
                  <m:sty m:val="p"/>
                </m:rPr>
                <w:rPr>
                  <w:rFonts w:hint="default" w:ascii="Cambria Math" w:hAnsi="Cambria Math" w:eastAsia="sans-serif"/>
                </w:rPr>
                <m:t>MLP</m:t>
              </m:r>
              <m:r>
                <m:rPr/>
                <w:rPr>
                  <w:rFonts w:hint="default" w:ascii="Cambria Math" w:hAnsi="Cambria Math" w:eastAsia="sans-serif"/>
                </w:rPr>
                <m:t>(</m:t>
              </m:r>
              <m:sSub>
                <m:sSubPr>
                  <m:ctrlPr>
                    <w:rPr>
                      <w:rFonts w:hint="default" w:ascii="Cambria Math" w:hAnsi="Cambria Math" w:eastAsia="sans-serif"/>
                    </w:rPr>
                  </m:ctrlPr>
                </m:sSubPr>
                <m:e>
                  <m:r>
                    <m:rPr/>
                    <w:rPr>
                      <w:rFonts w:hint="default" w:ascii="Cambria Math" w:hAnsi="Cambria Math" w:eastAsia="sans-serif"/>
                    </w:rPr>
                    <m:t>c</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r>
                <m:rPr/>
                <w:rPr>
                  <w:rFonts w:hint="default" w:ascii="Cambria Math" w:hAnsi="Cambria Math" w:eastAsia="sans-serif"/>
                </w:rPr>
                <m:t>)</m:t>
              </m:r>
            </m:oMath>
            <w:r>
              <w:rPr>
                <w:rFonts w:hint="default" w:ascii="sans-serif" w:hAnsi="sans-serif" w:eastAsia="sans-serif" w:cs="sans-serif"/>
              </w:rPr>
              <w:t xml:space="preserve">。将二者进行加权融合（设定先验权重比例超参数 </w:t>
            </w:r>
            <m:oMath>
              <m:r>
                <m:rPr/>
                <w:rPr>
                  <w:rFonts w:hint="default" w:ascii="Cambria Math" w:hAnsi="Cambria Math" w:eastAsia="sans-serif"/>
                </w:rPr>
                <m:t>α=0.5</m:t>
              </m:r>
              <m:r>
                <m:rPr>
                  <m:sty m:val="p"/>
                </m:rPr>
                <w:rPr>
                  <w:rFonts w:hint="default" w:ascii="Cambria Math" w:hAnsi="Cambria Math" w:eastAsia="sans-serif"/>
                </w:rPr>
                <m:t>）</m:t>
              </m:r>
            </m:oMath>
            <w:r>
              <w:rPr>
                <w:rFonts w:hint="default" w:ascii="sans-serif" w:hAnsi="sans-serif" w:eastAsia="sans-serif" w:cs="sans-serif"/>
              </w:rPr>
              <w:t xml:space="preserve">，得到基础重要性 </w:t>
            </w:r>
            <m:oMath>
              <m:sSubSup>
                <m:sSubSupPr>
                  <m:ctrlPr>
                    <w:rPr>
                      <w:rFonts w:hint="default" w:ascii="Cambria Math" w:hAnsi="Cambria Math" w:eastAsia="sans-serif"/>
                    </w:rPr>
                  </m:ctrlPr>
                </m:sSubSupPr>
                <m:e>
                  <m:r>
                    <m:rPr/>
                    <w:rPr>
                      <w:rFonts w:hint="default" w:ascii="Cambria Math" w:hAnsi="Cambria Math" w:eastAsia="sans-serif"/>
                    </w:rPr>
                    <m:t>π</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up>
                  <m:r>
                    <m:rPr>
                      <m:sty m:val="p"/>
                    </m:rPr>
                    <w:rPr>
                      <w:rFonts w:hint="default" w:ascii="Cambria Math" w:hAnsi="Cambria Math" w:eastAsia="sans-serif"/>
                    </w:rPr>
                    <m:t>base</m:t>
                  </m:r>
                  <m:ctrlPr>
                    <w:rPr>
                      <w:rFonts w:ascii="Cambria Math" w:hAnsi="Cambria Math" w:eastAsia="sans-serif"/>
                    </w:rPr>
                  </m:ctrlPr>
                </m:sup>
              </m:sSubSup>
            </m:oMath>
            <w:r>
              <w:rPr>
                <w:rFonts w:hint="default" w:ascii="sans-serif" w:hAnsi="sans-serif" w:eastAsia="sans-serif" w:cs="sans-serif"/>
              </w:rPr>
              <w:t>。</w:t>
            </w:r>
          </w:p>
          <w:p w14:paraId="02AA0CCA">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动态误差反馈</w:t>
            </w:r>
            <w:r>
              <w:rPr>
                <w:rFonts w:hint="default" w:ascii="sans-serif" w:hAnsi="sans-serif" w:eastAsia="sans-serif" w:cs="sans-serif"/>
              </w:rPr>
              <w:t>：利用模型在上一训练步中的逐节点均方误差</w:t>
            </w:r>
            <m:oMath>
              <m:sSub>
                <m:sSubPr>
                  <m:ctrlPr>
                    <w:rPr>
                      <w:rFonts w:hint="default" w:ascii="Cambria Math" w:hAnsi="Cambria Math" w:eastAsia="sans-serif"/>
                    </w:rPr>
                  </m:ctrlPr>
                </m:sSubPr>
                <m:e>
                  <m:r>
                    <m:rPr>
                      <m:scr m:val="script"/>
                    </m:rPr>
                    <w:rPr>
                      <w:rFonts w:hint="default" w:ascii="Cambria Math" w:hAnsi="Cambria Math" w:eastAsia="MS Mincho"/>
                    </w:rPr>
                    <m:t>ℰ</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oMath>
            <w:r>
              <w:rPr>
                <w:rFonts w:hint="default" w:ascii="sans-serif" w:hAnsi="sans-serif" w:eastAsia="sans-serif" w:cs="sans-serif"/>
              </w:rPr>
              <w:t xml:space="preserve">进行比例归一化，得到误差引导重要性 </w:t>
            </w:r>
            <m:oMath>
              <m:sSubSup>
                <m:sSubSupPr>
                  <m:ctrlPr>
                    <w:rPr>
                      <w:rFonts w:hint="default" w:ascii="Cambria Math" w:hAnsi="Cambria Math" w:eastAsia="sans-serif"/>
                    </w:rPr>
                  </m:ctrlPr>
                </m:sSubSupPr>
                <m:e>
                  <m:r>
                    <m:rPr/>
                    <w:rPr>
                      <w:rFonts w:hint="default" w:ascii="Cambria Math" w:hAnsi="Cambria Math" w:eastAsia="sans-serif"/>
                    </w:rPr>
                    <m:t>π</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up>
                  <m:r>
                    <m:rPr>
                      <m:sty m:val="p"/>
                    </m:rPr>
                    <w:rPr>
                      <w:rFonts w:hint="default" w:ascii="Cambria Math" w:hAnsi="Cambria Math" w:eastAsia="sans-serif"/>
                    </w:rPr>
                    <m:t>err</m:t>
                  </m:r>
                  <m:ctrlPr>
                    <w:rPr>
                      <w:rFonts w:ascii="Cambria Math" w:hAnsi="Cambria Math" w:eastAsia="sans-serif"/>
                    </w:rPr>
                  </m:ctrlPr>
                </m:sup>
              </m:sSubSup>
            </m:oMath>
            <w:r>
              <w:rPr>
                <w:rFonts w:hint="default" w:ascii="sans-serif" w:hAnsi="sans-serif" w:eastAsia="sans-serif" w:cs="sans-serif"/>
              </w:rPr>
              <w:t>。</w:t>
            </w:r>
          </w:p>
          <w:p w14:paraId="2BA273B4">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最终融合与正则化</w:t>
            </w:r>
            <w:r>
              <w:rPr>
                <w:rFonts w:hint="default" w:ascii="sans-serif" w:hAnsi="sans-serif" w:eastAsia="sans-serif" w:cs="sans-serif"/>
              </w:rPr>
              <w:t xml:space="preserve">：通过校准系数（优选为 </w:t>
            </w:r>
            <m:oMath>
              <m:r>
                <m:rPr/>
                <w:rPr>
                  <w:rFonts w:hint="default" w:ascii="Cambria Math" w:hAnsi="Cambria Math" w:eastAsia="sans-serif"/>
                </w:rPr>
                <m:t>γ=0.6</m:t>
              </m:r>
              <m:r>
                <m:rPr>
                  <m:sty m:val="p"/>
                </m:rPr>
                <w:rPr>
                  <w:rFonts w:hint="default" w:ascii="Cambria Math" w:hAnsi="Cambria Math" w:eastAsia="sans-serif"/>
                </w:rPr>
                <m:t>）</m:t>
              </m:r>
            </m:oMath>
            <w:r>
              <w:rPr>
                <w:rFonts w:hint="default" w:ascii="sans-serif" w:hAnsi="sans-serif" w:eastAsia="sans-serif" w:cs="sans-serif"/>
              </w:rPr>
              <w:t>融合上述两项得分：</w:t>
            </w:r>
          </w:p>
          <w:p w14:paraId="0D6B6A5C">
            <w:pPr>
              <w:pStyle w:val="6"/>
              <w:keepNext w:val="0"/>
              <w:keepLines w:val="0"/>
              <w:widowControl/>
              <w:suppressLineNumbers w:val="0"/>
              <w:spacing w:before="0" w:beforeAutospacing="0" w:line="12" w:lineRule="atLeast"/>
              <w:ind w:left="720"/>
              <w:rPr>
                <w:rFonts w:hint="default" w:ascii="sans-serif" w:hAnsi="sans-serif" w:eastAsia="sans-serif" w:cs="sans-serif"/>
              </w:rPr>
            </w:pPr>
            <m:oMath>
              <m:sSub>
                <m:sSubPr>
                  <m:ctrlPr>
                    <w:rPr>
                      <w:rFonts w:hint="default" w:ascii="Cambria Math" w:hAnsi="Cambria Math" w:eastAsia="sans-serif"/>
                      <w:sz w:val="24"/>
                    </w:rPr>
                  </m:ctrlPr>
                </m:sSub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=γ</m:t>
              </m:r>
              <m:r>
                <m:rPr>
                  <m:sty m:val="p"/>
                </m:rPr>
                <w:rPr>
                  <w:rFonts w:hint="default" w:ascii="Cambria Math" w:hAnsi="Cambria Math" w:eastAsia="sans-serif"/>
                  <w:sz w:val="24"/>
                </w:rPr>
                <m:t>·</m:t>
              </m:r>
              <m:sSubSup>
                <m:sSubSupPr>
                  <m:ctrlPr>
                    <w:rPr>
                      <w:rFonts w:hint="default" w:ascii="Cambria Math" w:hAnsi="Cambria Math" w:eastAsia="sans-serif"/>
                      <w:sz w:val="24"/>
                    </w:rPr>
                  </m:ctrlPr>
                </m:sSubSup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up>
                  <m:r>
                    <m:rPr/>
                    <w:rPr>
                      <w:rFonts w:hint="default" w:ascii="Cambria Math" w:hAnsi="Cambria Math" w:eastAsia="sans-serif"/>
                      <w:sz w:val="24"/>
                    </w:rPr>
                    <m:t>base</m:t>
                  </m:r>
                  <m:ctrlPr>
                    <w:rPr>
                      <w:rFonts w:ascii="Cambria Math" w:hAnsi="Cambria Math" w:eastAsia="sans-serif"/>
                      <w:sz w:val="24"/>
                    </w:rPr>
                  </m:ctrlPr>
                </m:sup>
              </m:sSubSup>
              <m:r>
                <m:rPr/>
                <w:rPr>
                  <w:rFonts w:hint="default" w:ascii="Cambria Math" w:hAnsi="Cambria Math" w:eastAsia="sans-serif"/>
                  <w:sz w:val="24"/>
                </w:rPr>
                <m:t>+(1−γ)</m:t>
              </m:r>
              <m:r>
                <m:rPr>
                  <m:sty m:val="p"/>
                </m:rPr>
                <w:rPr>
                  <w:rFonts w:hint="default" w:ascii="Cambria Math" w:hAnsi="Cambria Math" w:eastAsia="sans-serif"/>
                  <w:sz w:val="24"/>
                </w:rPr>
                <m:t>·</m:t>
              </m:r>
              <m:sSubSup>
                <m:sSubSupPr>
                  <m:ctrlPr>
                    <w:rPr>
                      <w:rFonts w:hint="default" w:ascii="Cambria Math" w:hAnsi="Cambria Math" w:eastAsia="sans-serif"/>
                      <w:sz w:val="24"/>
                    </w:rPr>
                  </m:ctrlPr>
                </m:sSubSup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up>
                  <m:r>
                    <m:rPr/>
                    <w:rPr>
                      <w:rFonts w:hint="default" w:ascii="Cambria Math" w:hAnsi="Cambria Math" w:eastAsia="sans-serif"/>
                      <w:sz w:val="24"/>
                    </w:rPr>
                    <m:t>err</m:t>
                  </m:r>
                  <m:ctrlPr>
                    <w:rPr>
                      <w:rFonts w:ascii="Cambria Math" w:hAnsi="Cambria Math" w:eastAsia="sans-serif"/>
                      <w:sz w:val="24"/>
                    </w:rPr>
                  </m:ctrlPr>
                </m:sup>
              </m:sSubSup>
            </m:oMath>
            <w:r>
              <w:rPr>
                <w:rFonts w:hint="default" w:ascii="sans-serif" w:hAnsi="sans-serif" w:eastAsia="sans-serif" w:cs="sans-serif"/>
              </w:rPr>
              <w:t xml:space="preserve">。为防止重要性分布过度集中，在总损失中引入最大化香农熵的信息熵正则化项 </w:t>
            </w:r>
            <m:oMath>
              <m:sSub>
                <m:sSubPr>
                  <m:ctrlPr>
                    <w:rPr>
                      <w:rFonts w:hint="default" w:ascii="Cambria Math" w:hAnsi="Cambria Math" w:eastAsia="sans-serif"/>
                    </w:rPr>
                  </m:ctrlPr>
                </m:sSubPr>
                <m:e>
                  <m:r>
                    <m:rPr>
                      <m:scr m:val="script"/>
                    </m:rPr>
                    <w:rPr>
                      <w:rFonts w:hint="default" w:ascii="Cambria Math" w:hAnsi="Cambria Math" w:eastAsia="MS Mincho"/>
                    </w:rPr>
                    <m:t>ℒ</m:t>
                  </m:r>
                  <m:ctrlPr>
                    <w:rPr>
                      <w:rFonts w:ascii="Cambria Math" w:hAnsi="Cambria Math" w:eastAsia="sans-serif"/>
                    </w:rPr>
                  </m:ctrlPr>
                </m:e>
                <m:sub>
                  <m:r>
                    <m:rPr>
                      <m:sty m:val="p"/>
                    </m:rPr>
                    <w:rPr>
                      <w:rFonts w:hint="default" w:ascii="Cambria Math" w:hAnsi="Cambria Math" w:eastAsia="sans-serif"/>
                    </w:rPr>
                    <m:t>ent</m:t>
                  </m:r>
                  <m:ctrlPr>
                    <w:rPr>
                      <w:rFonts w:ascii="Cambria Math" w:hAnsi="Cambria Math" w:eastAsia="sans-serif"/>
                    </w:rPr>
                  </m:ctrlPr>
                </m:sub>
              </m:sSub>
            </m:oMath>
            <w:r>
              <w:rPr>
                <w:rFonts w:hint="default" w:ascii="sans-serif" w:hAnsi="sans-serif" w:eastAsia="sans-serif" w:cs="sans-serif"/>
              </w:rPr>
              <w:t>。</w:t>
            </w:r>
          </w:p>
          <w:p w14:paraId="47ECFDFC">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3. 自适应时间步调度与独立扩散加噪（ATS）阶段</w:t>
            </w:r>
          </w:p>
          <w:p w14:paraId="30BE40B0">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将重要性得分映射为对应位置的期望时间步：</w:t>
            </w:r>
            <m:oMath>
              <m:sSub>
                <m:sSubPr>
                  <m:ctrlPr>
                    <w:rPr>
                      <w:rFonts w:hint="default" w:ascii="Cambria Math" w:hAnsi="Cambria Math" w:eastAsia="sans-serif"/>
                    </w:rPr>
                  </m:ctrlPr>
                </m:sSubPr>
                <m:e>
                  <m:acc>
                    <m:accPr>
                      <m:chr m:val="̄"/>
                      <m:ctrlPr>
                        <w:rPr>
                          <w:rFonts w:hint="default" w:ascii="Cambria Math" w:hAnsi="Cambria Math" w:eastAsia="sans-serif"/>
                        </w:rPr>
                      </m:ctrlPr>
                    </m:accPr>
                    <m:e>
                      <m:r>
                        <m:rPr/>
                        <w:rPr>
                          <w:rFonts w:hint="default" w:ascii="Cambria Math" w:hAnsi="Cambria Math" w:eastAsia="sans-serif"/>
                        </w:rPr>
                        <m:t>t</m:t>
                      </m:r>
                      <m:ctrlPr>
                        <w:rPr>
                          <w:rFonts w:ascii="Cambria Math" w:hAnsi="Cambria Math" w:eastAsia="sans-serif"/>
                        </w:rPr>
                      </m:ctrlPr>
                    </m:e>
                  </m:acc>
                  <m:ctrlPr>
                    <w:rPr>
                      <w:rFonts w:hint="default" w:ascii="Cambria Math" w:hAnsi="Cambria Math" w:eastAsia="sans-serif"/>
                    </w:rPr>
                  </m:ctrlPr>
                </m:e>
                <m:sub>
                  <m:r>
                    <m:rPr/>
                    <w:rPr>
                      <w:rFonts w:hint="default" w:ascii="Cambria Math" w:hAnsi="Cambria Math" w:eastAsia="sans-serif"/>
                    </w:rPr>
                    <m:t>i</m:t>
                  </m:r>
                  <m:ctrlPr>
                    <w:rPr>
                      <w:rFonts w:hint="default" w:ascii="Cambria Math" w:hAnsi="Cambria Math" w:eastAsia="sans-serif"/>
                    </w:rPr>
                  </m:ctrlPr>
                </m:sub>
              </m:sSub>
              <m:r>
                <m:rPr/>
                <w:rPr>
                  <w:rFonts w:hint="default" w:ascii="Cambria Math" w:hAnsi="Cambria Math" w:eastAsia="sans-serif"/>
                </w:rPr>
                <m:t>=(1−</m:t>
              </m:r>
              <m:sSub>
                <m:sSubPr>
                  <m:ctrlPr>
                    <w:rPr>
                      <w:rFonts w:hint="default" w:ascii="Cambria Math" w:hAnsi="Cambria Math" w:eastAsia="sans-serif"/>
                    </w:rPr>
                  </m:ctrlPr>
                </m:sSubPr>
                <m:e>
                  <m:r>
                    <m:rPr/>
                    <w:rPr>
                      <w:rFonts w:hint="default" w:ascii="Cambria Math" w:hAnsi="Cambria Math" w:eastAsia="sans-serif"/>
                    </w:rPr>
                    <m:t>π</m:t>
                  </m:r>
                  <m:ctrlPr>
                    <w:rPr>
                      <w:rFonts w:hint="default" w:ascii="Cambria Math" w:hAnsi="Cambria Math" w:eastAsia="sans-serif"/>
                    </w:rPr>
                  </m:ctrlPr>
                </m:e>
                <m:sub>
                  <m:r>
                    <m:rPr/>
                    <w:rPr>
                      <w:rFonts w:hint="default" w:ascii="Cambria Math" w:hAnsi="Cambria Math" w:eastAsia="sans-serif"/>
                    </w:rPr>
                    <m:t>i</m:t>
                  </m:r>
                  <m:ctrlPr>
                    <w:rPr>
                      <w:rFonts w:hint="default" w:ascii="Cambria Math" w:hAnsi="Cambria Math" w:eastAsia="sans-serif"/>
                    </w:rPr>
                  </m:ctrlPr>
                </m:sub>
              </m:sSub>
              <m:r>
                <m:rPr/>
                <w:rPr>
                  <w:rFonts w:hint="default" w:ascii="Cambria Math" w:hAnsi="Cambria Math" w:eastAsia="sans-serif"/>
                </w:rPr>
                <m:t>)⋅(T−1)</m:t>
              </m:r>
            </m:oMath>
            <w:r>
              <w:rPr>
                <w:rFonts w:hint="default" w:ascii="sans-serif" w:hAnsi="sans-serif" w:eastAsia="sans-serif" w:cs="sans-serif"/>
              </w:rPr>
              <w:t xml:space="preserve">，其中 </w:t>
            </w:r>
            <m:oMath>
              <m:r>
                <m:rPr/>
                <w:rPr>
                  <w:rFonts w:hint="default" w:ascii="Cambria Math" w:hAnsi="Cambria Math" w:eastAsia="sans-serif"/>
                </w:rPr>
                <m:t>T</m:t>
              </m:r>
            </m:oMath>
            <w:r>
              <w:rPr>
                <w:rFonts w:hint="default" w:ascii="sans-serif" w:hAnsi="sans-serif" w:eastAsia="sans-serif" w:cs="sans-serif"/>
              </w:rPr>
              <w:t>为最大扩散步数（优选为 32 步）。</w:t>
            </w:r>
          </w:p>
          <w:p w14:paraId="12D68745">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构建带有温度系数的高斯-Softmax 概率分布来进行重要性采样：</w:t>
            </w:r>
          </w:p>
          <w:p w14:paraId="24C8E09A">
            <w:pPr>
              <w:pStyle w:val="6"/>
              <w:keepNext w:val="0"/>
              <w:keepLines w:val="0"/>
              <w:widowControl/>
              <w:suppressLineNumbers w:val="0"/>
              <w:spacing w:before="0" w:beforeAutospacing="0" w:line="12" w:lineRule="atLeast"/>
              <w:ind w:left="720"/>
              <w:rPr>
                <w:rFonts w:hint="default" w:hAnsi="Cambria Math" w:eastAsia="sans-serif"/>
                <w:i w:val="0"/>
                <w:sz w:val="24"/>
              </w:rPr>
            </w:pPr>
            <m:oMathPara>
              <m:oMath>
                <m:r>
                  <m:rPr/>
                  <w:rPr>
                    <w:rFonts w:hint="default" w:ascii="Cambria Math" w:hAnsi="Cambria Math" w:eastAsia="sans-serif"/>
                    <w:sz w:val="24"/>
                  </w:rPr>
                  <m:t>p(</m:t>
                </m:r>
                <m:sSub>
                  <m:sSubPr>
                    <m:ctrlPr>
                      <w:rPr>
                        <w:rFonts w:hint="default" w:ascii="Cambria Math" w:hAnsi="Cambria Math" w:eastAsia="sans-serif"/>
                        <w:sz w:val="24"/>
                      </w:rPr>
                    </m:ctrlPr>
                  </m:sSubPr>
                  <m:e>
                    <m:r>
                      <m:rPr/>
                      <w:rPr>
                        <w:rFonts w:hint="default" w:ascii="Cambria Math" w:hAnsi="Cambria Math" w:eastAsia="sans-serif"/>
                        <w:sz w:val="24"/>
                      </w:rPr>
                      <m:t>t</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func>
                      <m:funcPr>
                        <m:ctrlPr>
                          <w:rPr>
                            <w:rFonts w:hint="default" w:ascii="Cambria Math" w:hAnsi="Cambria Math" w:eastAsia="sans-serif"/>
                            <w:sz w:val="24"/>
                          </w:rPr>
                        </m:ctrlPr>
                      </m:funcPr>
                      <m:fName>
                        <m:r>
                          <m:rPr>
                            <m:sty m:val="p"/>
                          </m:rPr>
                          <w:rPr>
                            <w:rFonts w:hint="default" w:ascii="Cambria Math" w:hAnsi="Cambria Math" w:eastAsia="sans-serif"/>
                            <w:sz w:val="24"/>
                          </w:rPr>
                          <m:t>exp</m:t>
                        </m:r>
                        <m:ctrlPr>
                          <w:rPr>
                            <w:rFonts w:ascii="Cambria Math" w:hAnsi="Cambria Math" w:eastAsia="sans-serif"/>
                            <w:sz w:val="24"/>
                          </w:rPr>
                        </m:ctrlPr>
                      </m:fName>
                      <m:e>
                        <m:d>
                          <m:dPr>
                            <m:ctrlPr>
                              <w:rPr>
                                <w:rFonts w:hint="default" w:ascii="Cambria Math" w:hAnsi="Cambria Math" w:eastAsia="sans-serif"/>
                                <w:i/>
                                <w:sz w:val="24"/>
                              </w:rPr>
                            </m:ctrlPr>
                          </m:dPr>
                          <m:e>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(t−</m:t>
                                </m:r>
                                <m:sSub>
                                  <m:sSubPr>
                                    <m:ctrlPr>
                                      <w:rPr>
                                        <w:rFonts w:hint="default" w:ascii="Cambria Math" w:hAnsi="Cambria Math" w:eastAsia="sans-serif"/>
                                        <w:sz w:val="24"/>
                                      </w:rPr>
                                    </m:ctrlPr>
                                  </m:sSubPr>
                                  <m:e>
                                    <m:acc>
                                      <m:accPr>
                                        <m:chr m:val="̄"/>
                                        <m:ctrlPr>
                                          <w:rPr>
                                            <w:rFonts w:hint="default" w:ascii="Cambria Math" w:hAnsi="Cambria Math" w:eastAsia="sans-serif"/>
                                            <w:sz w:val="24"/>
                                          </w:rPr>
                                        </m:ctrlPr>
                                      </m:accPr>
                                      <m:e>
                                        <m:r>
                                          <m:rPr/>
                                          <w:rPr>
                                            <w:rFonts w:hint="default" w:ascii="Cambria Math" w:hAnsi="Cambria Math" w:eastAsia="sans-serif"/>
                                            <w:sz w:val="24"/>
                                          </w:rPr>
                                          <m:t>t</m:t>
                                        </m:r>
                                        <m:ctrlPr>
                                          <w:rPr>
                                            <w:rFonts w:ascii="Cambria Math" w:hAnsi="Cambria Math" w:eastAsia="sans-serif"/>
                                            <w:sz w:val="24"/>
                                          </w:rPr>
                                        </m:ctrlPr>
                                      </m:e>
                                    </m:acc>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sSup>
                                  <m:sSupPr>
                                    <m:ctrlPr>
                                      <w:rPr>
                                        <w:rFonts w:hint="default" w:ascii="Cambria Math" w:hAnsi="Cambria Math" w:eastAsia="sans-serif"/>
                                        <w:sz w:val="24"/>
                                      </w:rPr>
                                    </m:ctrlPr>
                                  </m:sSupPr>
                                  <m:e>
                                    <m:r>
                                      <m:rPr/>
                                      <w:rPr>
                                        <w:rFonts w:hint="default" w:ascii="Cambria Math" w:hAnsi="Cambria Math" w:eastAsia="sans-serif"/>
                                        <w:sz w:val="24"/>
                                      </w:rPr>
                                      <m:t>)</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ctrlPr>
                                  <w:rPr>
                                    <w:rFonts w:hint="default" w:ascii="Cambria Math" w:hAnsi="Cambria Math" w:eastAsia="sans-serif"/>
                                    <w:sz w:val="24"/>
                                  </w:rPr>
                                </m:ctrlPr>
                              </m:num>
                              <m:den>
                                <m:r>
                                  <m:rPr/>
                                  <w:rPr>
                                    <w:rFonts w:hint="default" w:ascii="Cambria Math" w:hAnsi="Cambria Math" w:eastAsia="sans-serif"/>
                                    <w:sz w:val="24"/>
                                  </w:rPr>
                                  <m:t>2</m:t>
                                </m:r>
                                <m:sSup>
                                  <m:sSupPr>
                                    <m:ctrlPr>
                                      <w:rPr>
                                        <w:rFonts w:hint="default" w:ascii="Cambria Math" w:hAnsi="Cambria Math" w:eastAsia="sans-serif"/>
                                        <w:sz w:val="24"/>
                                      </w:rPr>
                                    </m:ctrlPr>
                                  </m:sSupPr>
                                  <m:e>
                                    <m:r>
                                      <m:rPr/>
                                      <w:rPr>
                                        <w:rFonts w:hint="default" w:ascii="Cambria Math" w:hAnsi="Cambria Math" w:eastAsia="sans-serif"/>
                                        <w:sz w:val="24"/>
                                      </w:rPr>
                                      <m:t>ς</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r>
                                  <m:rPr/>
                                  <w:rPr>
                                    <w:rFonts w:hint="default" w:ascii="Cambria Math" w:hAnsi="Cambria Math" w:eastAsia="sans-serif"/>
                                    <w:sz w:val="24"/>
                                  </w:rPr>
                                  <m:t> τ</m:t>
                                </m:r>
                                <m:ctrlPr>
                                  <w:rPr>
                                    <w:rFonts w:hint="default" w:ascii="Cambria Math" w:hAnsi="Cambria Math" w:eastAsia="sans-serif"/>
                                    <w:sz w:val="24"/>
                                  </w:rPr>
                                </m:ctrlPr>
                              </m:den>
                            </m:f>
                            <m:ctrlPr>
                              <w:rPr>
                                <w:rFonts w:hint="default" w:ascii="Cambria Math" w:hAnsi="Cambria Math" w:eastAsia="sans-serif"/>
                                <w:i/>
                                <w:sz w:val="24"/>
                              </w:rPr>
                            </m:ctrlPr>
                          </m:e>
                        </m:d>
                        <m:ctrlPr>
                          <w:rPr>
                            <w:rFonts w:hint="default" w:ascii="Cambria Math" w:hAnsi="Cambria Math" w:eastAsia="sans-serif"/>
                            <w:i/>
                            <w:sz w:val="24"/>
                          </w:rPr>
                        </m:ctrlPr>
                      </m:e>
                    </m:func>
                    <m:ctrlPr>
                      <w:rPr>
                        <w:rFonts w:hint="default" w:ascii="Cambria Math" w:hAnsi="Cambria Math" w:eastAsia="sans-serif"/>
                        <w:sz w:val="24"/>
                      </w:rPr>
                    </m:ctrlPr>
                  </m:num>
                  <m:den>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k=0</m:t>
                        </m:r>
                        <m:ctrlPr>
                          <w:rPr>
                            <w:rFonts w:hint="default" w:ascii="Cambria Math" w:hAnsi="Cambria Math" w:eastAsia="sans-serif"/>
                            <w:i/>
                            <w:sz w:val="24"/>
                          </w:rPr>
                        </m:ctrlPr>
                      </m:sub>
                      <m:sup>
                        <m:r>
                          <m:rPr/>
                          <w:rPr>
                            <w:rFonts w:hint="default" w:ascii="Cambria Math" w:hAnsi="Cambria Math" w:eastAsia="sans-serif"/>
                            <w:sz w:val="24"/>
                          </w:rPr>
                          <m:t>T−1</m:t>
                        </m:r>
                        <m:ctrlPr>
                          <w:rPr>
                            <w:rFonts w:hint="default" w:ascii="Cambria Math" w:hAnsi="Cambria Math" w:eastAsia="sans-serif"/>
                            <w:i/>
                            <w:sz w:val="24"/>
                          </w:rPr>
                        </m:ctrlPr>
                      </m:sup>
                      <m:e>
                        <m:func>
                          <m:funcPr>
                            <m:ctrlPr>
                              <w:rPr>
                                <w:rFonts w:hint="default" w:ascii="Cambria Math" w:hAnsi="Cambria Math" w:eastAsia="sans-serif"/>
                                <w:sz w:val="24"/>
                              </w:rPr>
                            </m:ctrlPr>
                          </m:funcPr>
                          <m:fName>
                            <m:r>
                              <m:rPr>
                                <m:sty m:val="p"/>
                              </m:rPr>
                              <w:rPr>
                                <w:rFonts w:hint="default" w:ascii="Cambria Math" w:hAnsi="Cambria Math" w:eastAsia="sans-serif"/>
                                <w:sz w:val="24"/>
                              </w:rPr>
                              <m:t>exp</m:t>
                            </m:r>
                            <m:ctrlPr>
                              <w:rPr>
                                <w:rFonts w:hint="default" w:ascii="Cambria Math" w:hAnsi="Cambria Math" w:eastAsia="sans-serif"/>
                                <w:i/>
                                <w:sz w:val="24"/>
                              </w:rPr>
                            </m:ctrlPr>
                          </m:fName>
                          <m:e>
                            <m:d>
                              <m:dPr>
                                <m:ctrlPr>
                                  <w:rPr>
                                    <w:rFonts w:hint="default" w:ascii="Cambria Math" w:hAnsi="Cambria Math" w:eastAsia="sans-serif"/>
                                    <w:i/>
                                    <w:sz w:val="24"/>
                                  </w:rPr>
                                </m:ctrlPr>
                              </m:dPr>
                              <m:e>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(k−</m:t>
                                    </m:r>
                                    <m:sSub>
                                      <m:sSubPr>
                                        <m:ctrlPr>
                                          <w:rPr>
                                            <w:rFonts w:hint="default" w:ascii="Cambria Math" w:hAnsi="Cambria Math" w:eastAsia="sans-serif"/>
                                            <w:sz w:val="24"/>
                                          </w:rPr>
                                        </m:ctrlPr>
                                      </m:sSubPr>
                                      <m:e>
                                        <m:acc>
                                          <m:accPr>
                                            <m:chr m:val="̄"/>
                                            <m:ctrlPr>
                                              <w:rPr>
                                                <w:rFonts w:hint="default" w:ascii="Cambria Math" w:hAnsi="Cambria Math" w:eastAsia="sans-serif"/>
                                                <w:sz w:val="24"/>
                                              </w:rPr>
                                            </m:ctrlPr>
                                          </m:accPr>
                                          <m:e>
                                            <m:r>
                                              <m:rPr/>
                                              <w:rPr>
                                                <w:rFonts w:hint="default" w:ascii="Cambria Math" w:hAnsi="Cambria Math" w:eastAsia="sans-serif"/>
                                                <w:sz w:val="24"/>
                                              </w:rPr>
                                              <m:t>t</m:t>
                                            </m:r>
                                            <m:ctrlPr>
                                              <w:rPr>
                                                <w:rFonts w:ascii="Cambria Math" w:hAnsi="Cambria Math" w:eastAsia="sans-serif"/>
                                                <w:sz w:val="24"/>
                                              </w:rPr>
                                            </m:ctrlPr>
                                          </m:e>
                                        </m:acc>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sSup>
                                      <m:sSupPr>
                                        <m:ctrlPr>
                                          <w:rPr>
                                            <w:rFonts w:hint="default" w:ascii="Cambria Math" w:hAnsi="Cambria Math" w:eastAsia="sans-serif"/>
                                            <w:sz w:val="24"/>
                                          </w:rPr>
                                        </m:ctrlPr>
                                      </m:sSupPr>
                                      <m:e>
                                        <m:r>
                                          <m:rPr/>
                                          <w:rPr>
                                            <w:rFonts w:hint="default" w:ascii="Cambria Math" w:hAnsi="Cambria Math" w:eastAsia="sans-serif"/>
                                            <w:sz w:val="24"/>
                                          </w:rPr>
                                          <m:t>)</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ctrlPr>
                                      <w:rPr>
                                        <w:rFonts w:hint="default" w:ascii="Cambria Math" w:hAnsi="Cambria Math" w:eastAsia="sans-serif"/>
                                        <w:sz w:val="24"/>
                                      </w:rPr>
                                    </m:ctrlPr>
                                  </m:num>
                                  <m:den>
                                    <m:r>
                                      <m:rPr/>
                                      <w:rPr>
                                        <w:rFonts w:hint="default" w:ascii="Cambria Math" w:hAnsi="Cambria Math" w:eastAsia="sans-serif"/>
                                        <w:sz w:val="24"/>
                                      </w:rPr>
                                      <m:t>2</m:t>
                                    </m:r>
                                    <m:sSup>
                                      <m:sSupPr>
                                        <m:ctrlPr>
                                          <w:rPr>
                                            <w:rFonts w:hint="default" w:ascii="Cambria Math" w:hAnsi="Cambria Math" w:eastAsia="sans-serif"/>
                                            <w:sz w:val="24"/>
                                          </w:rPr>
                                        </m:ctrlPr>
                                      </m:sSupPr>
                                      <m:e>
                                        <m:r>
                                          <m:rPr/>
                                          <w:rPr>
                                            <w:rFonts w:hint="default" w:ascii="Cambria Math" w:hAnsi="Cambria Math" w:eastAsia="sans-serif"/>
                                            <w:sz w:val="24"/>
                                          </w:rPr>
                                          <m:t>ς</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r>
                                      <m:rPr/>
                                      <w:rPr>
                                        <w:rFonts w:hint="default" w:ascii="Cambria Math" w:hAnsi="Cambria Math" w:eastAsia="sans-serif"/>
                                        <w:sz w:val="24"/>
                                      </w:rPr>
                                      <m:t> τ</m:t>
                                    </m:r>
                                    <m:ctrlPr>
                                      <w:rPr>
                                        <w:rFonts w:hint="default" w:ascii="Cambria Math" w:hAnsi="Cambria Math" w:eastAsia="sans-serif"/>
                                        <w:sz w:val="24"/>
                                      </w:rPr>
                                    </m:ctrlPr>
                                  </m:den>
                                </m:f>
                                <m:ctrlPr>
                                  <w:rPr>
                                    <w:rFonts w:hint="default" w:ascii="Cambria Math" w:hAnsi="Cambria Math" w:eastAsia="sans-serif"/>
                                    <w:i/>
                                    <w:sz w:val="24"/>
                                  </w:rPr>
                                </m:ctrlPr>
                              </m:e>
                            </m:d>
                            <m:ctrlPr>
                              <w:rPr>
                                <w:rFonts w:hint="default" w:ascii="Cambria Math" w:hAnsi="Cambria Math" w:eastAsia="sans-serif"/>
                                <w:i/>
                                <w:sz w:val="24"/>
                              </w:rPr>
                            </m:ctrlPr>
                          </m:e>
                        </m:func>
                        <m:ctrlPr>
                          <w:rPr>
                            <w:rFonts w:hint="default" w:ascii="Cambria Math" w:hAnsi="Cambria Math" w:eastAsia="sans-serif"/>
                            <w:sz w:val="24"/>
                          </w:rPr>
                        </m:ctrlPr>
                      </m:e>
                    </m:nary>
                    <m:ctrlPr>
                      <w:rPr>
                        <w:rFonts w:hint="default" w:ascii="Cambria Math" w:hAnsi="Cambria Math" w:eastAsia="sans-serif"/>
                        <w:i/>
                        <w:sz w:val="24"/>
                      </w:rPr>
                    </m:ctrlPr>
                  </m:den>
                </m:f>
              </m:oMath>
            </m:oMathPara>
          </w:p>
          <w:p w14:paraId="2404ACD1">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其中</w:t>
            </w:r>
            <m:oMath>
              <m:r>
                <m:rPr/>
                <w:rPr>
                  <w:rFonts w:hint="default" w:ascii="Cambria Math" w:hAnsi="Cambria Math" w:eastAsia="sans-serif"/>
                </w:rPr>
                <m:t>ς</m:t>
              </m:r>
            </m:oMath>
            <w:r>
              <w:rPr>
                <w:rFonts w:hint="default" w:ascii="sans-serif" w:hAnsi="sans-serif" w:eastAsia="sans-serif" w:cs="sans-serif"/>
              </w:rPr>
              <w:t>为带宽系数，</w:t>
            </w:r>
            <m:oMath>
              <m:r>
                <m:rPr/>
                <w:rPr>
                  <w:rFonts w:hint="default" w:ascii="Cambria Math" w:hAnsi="Cambria Math" w:eastAsia="sans-serif"/>
                </w:rPr>
                <m:t>τ</m:t>
              </m:r>
            </m:oMath>
            <w:r>
              <w:rPr>
                <w:rFonts w:hint="default" w:ascii="sans-serif" w:hAnsi="sans-serif" w:eastAsia="sans-serif" w:cs="sans-serif"/>
              </w:rPr>
              <w:t>为温度参数（优选为 1.0）。系统根据此分布独立采样时间步并注入噪声。</w:t>
            </w:r>
          </w:p>
          <w:p w14:paraId="158B4E1D">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4. 基于 PCGrad 的多任务联合优化与模型更新阶段</w:t>
            </w:r>
          </w:p>
          <w:p w14:paraId="1F978AFC">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在解码端，除均方误差（MSE）重构损失外，显式引入贝叶斯个性化排序（BPR）损失。</w:t>
            </w:r>
          </w:p>
          <w:p w14:paraId="4A1981C5">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超球面投影</w:t>
            </w:r>
            <w:r>
              <w:rPr>
                <w:rFonts w:hint="default" w:ascii="sans-serif" w:hAnsi="sans-serif" w:eastAsia="sans-serif" w:cs="sans-serif"/>
              </w:rPr>
              <w:t>：将去噪后的隐向量与候选物品嵌入进行 L2 归一化，投影至单位超球面上，利用余弦相似度计算正负样本得分。</w:t>
            </w:r>
          </w:p>
          <w:p w14:paraId="7AC73732">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PCGrad 梯度投影</w:t>
            </w:r>
            <w:r>
              <w:rPr>
                <w:rFonts w:hint="default" w:ascii="sans-serif" w:hAnsi="sans-serif" w:eastAsia="sans-serif" w:cs="sans-serif"/>
              </w:rPr>
              <w:t xml:space="preserve">：在每次反向传播更新参数时，系统实时监控重构梯度 </w:t>
            </w:r>
            <m:oMath>
              <m:sSub>
                <m:sSubPr>
                  <m:ctrlPr>
                    <w:rPr>
                      <w:rFonts w:hint="default" w:ascii="Cambria Math" w:hAnsi="Cambria Math" w:eastAsia="sans-serif"/>
                    </w:rPr>
                  </m:ctrlPr>
                </m:sSubPr>
                <m:e>
                  <m:r>
                    <m:rPr/>
                    <w:rPr>
                      <w:rFonts w:hint="default" w:ascii="Cambria Math" w:hAnsi="Cambria Math" w:eastAsia="sans-serif"/>
                    </w:rPr>
                    <m:t>g</m:t>
                  </m:r>
                  <m:ctrlPr>
                    <w:rPr>
                      <w:rFonts w:ascii="Cambria Math" w:hAnsi="Cambria Math" w:eastAsia="sans-serif"/>
                    </w:rPr>
                  </m:ctrlPr>
                </m:e>
                <m:sub>
                  <m:r>
                    <m:rPr>
                      <m:sty m:val="p"/>
                    </m:rPr>
                    <w:rPr>
                      <w:rFonts w:hint="default" w:ascii="Cambria Math" w:hAnsi="Cambria Math" w:eastAsia="sans-serif"/>
                    </w:rPr>
                    <m:t>diff</m:t>
                  </m:r>
                  <m:ctrlPr>
                    <w:rPr>
                      <w:rFonts w:ascii="Cambria Math" w:hAnsi="Cambria Math" w:eastAsia="sans-serif"/>
                    </w:rPr>
                  </m:ctrlPr>
                </m:sub>
              </m:sSub>
            </m:oMath>
            <w:r>
              <w:rPr>
                <w:rFonts w:hint="default" w:ascii="sans-serif" w:hAnsi="sans-serif" w:eastAsia="sans-serif" w:cs="sans-serif"/>
              </w:rPr>
              <w:t xml:space="preserve"> 与排序梯度 </w:t>
            </w:r>
            <m:oMath>
              <m:sSub>
                <m:sSubPr>
                  <m:ctrlPr>
                    <w:rPr>
                      <w:rFonts w:hint="default" w:ascii="Cambria Math" w:hAnsi="Cambria Math" w:eastAsia="sans-serif"/>
                    </w:rPr>
                  </m:ctrlPr>
                </m:sSubPr>
                <m:e>
                  <m:r>
                    <m:rPr/>
                    <w:rPr>
                      <w:rFonts w:hint="default" w:ascii="Cambria Math" w:hAnsi="Cambria Math" w:eastAsia="sans-serif"/>
                    </w:rPr>
                    <m:t>g</m:t>
                  </m:r>
                  <m:ctrlPr>
                    <w:rPr>
                      <w:rFonts w:ascii="Cambria Math" w:hAnsi="Cambria Math" w:eastAsia="sans-serif"/>
                    </w:rPr>
                  </m:ctrlPr>
                </m:e>
                <m:sub>
                  <m:r>
                    <m:rPr>
                      <m:sty m:val="p"/>
                    </m:rPr>
                    <w:rPr>
                      <w:rFonts w:hint="default" w:ascii="Cambria Math" w:hAnsi="Cambria Math" w:eastAsia="sans-serif"/>
                    </w:rPr>
                    <m:t>rank</m:t>
                  </m:r>
                  <m:ctrlPr>
                    <w:rPr>
                      <w:rFonts w:ascii="Cambria Math" w:hAnsi="Cambria Math" w:eastAsia="sans-serif"/>
                    </w:rPr>
                  </m:ctrlPr>
                </m:sub>
              </m:sSub>
            </m:oMath>
            <w:r>
              <w:rPr>
                <w:rFonts w:hint="default" w:ascii="sans-serif" w:hAnsi="sans-serif" w:eastAsia="sans-serif" w:cs="sans-serif"/>
              </w:rPr>
              <w:t xml:space="preserve"> 之间的夹角。如果夹角呈钝角（存在优化冲突），则将其中一个梯度投影到另一个梯度的法平面上，使得两者的余弦相似度非负，从而消除梯度方向冲突。</w:t>
            </w:r>
          </w:p>
          <w:p w14:paraId="5A6509CD">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5. 线上推理阶段</w:t>
            </w:r>
          </w:p>
          <w:p w14:paraId="0477FB66">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在在线推荐推理时，模型关闭 PAIE 与 ATS 模块，直接复用标准的</w:t>
            </w:r>
            <m:oMath>
              <m:r>
                <m:rPr/>
                <w:rPr>
                  <w:rFonts w:hint="default" w:ascii="Cambria Math" w:hAnsi="Cambria Math" w:eastAsia="sans-serif"/>
                </w:rPr>
                <m:t>T</m:t>
              </m:r>
            </m:oMath>
            <w:r>
              <w:rPr>
                <w:rFonts w:hint="default" w:ascii="sans-serif" w:hAnsi="sans-serif" w:eastAsia="sans-serif" w:cs="sans-serif"/>
              </w:rPr>
              <w:t>步自回归扩散马尔可夫链进行去噪，不引入任何额外的计算复杂度与推理延迟。</w:t>
            </w:r>
          </w:p>
          <w:p w14:paraId="6FF54E92">
            <w:pPr>
              <w:pStyle w:val="6"/>
              <w:keepNext w:val="0"/>
              <w:keepLines w:val="0"/>
              <w:widowControl/>
              <w:suppressLineNumbers w:val="0"/>
              <w:spacing w:before="0" w:beforeAutospacing="0" w:line="12" w:lineRule="atLeast"/>
              <w:ind w:left="720"/>
              <w:rPr>
                <w:rFonts w:hint="eastAsia" w:ascii="楷体_GB2312" w:eastAsia="楷体_GB2312" w:cs="宋体"/>
                <w:color w:val="FF0000"/>
                <w:szCs w:val="21"/>
              </w:rPr>
            </w:pPr>
          </w:p>
        </w:tc>
      </w:tr>
      <w:tr w14:paraId="1D7A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7" w:hRule="atLeast"/>
        </w:trPr>
        <w:tc>
          <w:tcPr>
            <w:tcW w:w="1620" w:type="dxa"/>
            <w:noWrap w:val="0"/>
            <w:vAlign w:val="center"/>
          </w:tcPr>
          <w:p w14:paraId="07A5E0A0">
            <w:pPr>
              <w:jc w:val="center"/>
              <w:rPr>
                <w:rFonts w:hint="eastAsia" w:ascii="楷体_GB2312" w:eastAsia="楷体_GB2312" w:cs="宋体"/>
                <w:color w:val="0000FF"/>
                <w:sz w:val="28"/>
                <w:szCs w:val="28"/>
              </w:rPr>
            </w:pPr>
            <w:r>
              <w:rPr>
                <w:rFonts w:hint="eastAsia" w:ascii="楷体_GB2312" w:eastAsia="楷体_GB2312" w:cs="宋体"/>
                <w:color w:val="0000FF"/>
                <w:sz w:val="28"/>
                <w:szCs w:val="28"/>
              </w:rPr>
              <w:t>8.附图/公式</w:t>
            </w:r>
          </w:p>
        </w:tc>
        <w:tc>
          <w:tcPr>
            <w:tcW w:w="1800" w:type="dxa"/>
            <w:noWrap w:val="0"/>
            <w:vAlign w:val="center"/>
          </w:tcPr>
          <w:p w14:paraId="5FC6F12A">
            <w:pPr>
              <w:rPr>
                <w:rFonts w:hint="eastAsia" w:ascii="楷体_GB2312" w:eastAsia="楷体_GB2312" w:cs="宋体"/>
                <w:szCs w:val="21"/>
              </w:rPr>
            </w:pPr>
            <w:r>
              <w:rPr>
                <w:rFonts w:hint="eastAsia" w:ascii="楷体_GB2312" w:eastAsia="楷体_GB2312" w:cs="宋体"/>
                <w:szCs w:val="21"/>
              </w:rPr>
              <w:t>方法流程图；</w:t>
            </w:r>
          </w:p>
        </w:tc>
        <w:tc>
          <w:tcPr>
            <w:tcW w:w="5760" w:type="dxa"/>
            <w:noWrap w:val="0"/>
            <w:vAlign w:val="center"/>
          </w:tcPr>
          <w:p w14:paraId="7C908ADE">
            <w:pPr>
              <w:pStyle w:val="6"/>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b/>
                <w:bCs/>
              </w:rPr>
              <w:t>一、 附图及图面说明</w:t>
            </w:r>
          </w:p>
          <w:p w14:paraId="730FB84A">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附图1：本发明实施例提供的一种基于位置感知与多任务排序优化的扩散推荐系统整体架构图。</w:t>
            </w:r>
          </w:p>
          <w:p w14:paraId="25955716">
            <w:pPr>
              <w:pStyle w:val="6"/>
              <w:keepNext w:val="0"/>
              <w:keepLines w:val="0"/>
              <w:widowControl/>
              <w:suppressLineNumbers w:val="0"/>
              <w:spacing w:before="0" w:beforeAutospacing="0" w:line="12" w:lineRule="atLeast"/>
              <w:ind w:left="1440"/>
              <w:rPr>
                <w:rFonts w:hint="default" w:ascii="sans-serif" w:hAnsi="sans-serif" w:eastAsia="sans-serif" w:cs="sans-serif"/>
              </w:rPr>
            </w:pPr>
            <w:r>
              <w:rPr>
                <w:rFonts w:hint="eastAsia" w:ascii="sans-serif" w:hAnsi="sans-serif" w:eastAsia="宋体" w:cs="sans-serif"/>
                <w:lang w:eastAsia="zh-CN"/>
              </w:rPr>
              <w:drawing>
                <wp:anchor distT="0" distB="0" distL="114300" distR="114300" simplePos="0" relativeHeight="251659264" behindDoc="0" locked="0" layoutInCell="1" allowOverlap="1">
                  <wp:simplePos x="0" y="0"/>
                  <wp:positionH relativeFrom="column">
                    <wp:posOffset>635</wp:posOffset>
                  </wp:positionH>
                  <wp:positionV relativeFrom="paragraph">
                    <wp:posOffset>1443990</wp:posOffset>
                  </wp:positionV>
                  <wp:extent cx="3513455" cy="1916430"/>
                  <wp:effectExtent l="0" t="0" r="4445" b="1270"/>
                  <wp:wrapNone/>
                  <wp:docPr id="1" name="图片 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named"/>
                          <pic:cNvPicPr>
                            <a:picLocks noChangeAspect="1"/>
                          </pic:cNvPicPr>
                        </pic:nvPicPr>
                        <pic:blipFill>
                          <a:blip r:embed="rId10"/>
                          <a:stretch>
                            <a:fillRect/>
                          </a:stretch>
                        </pic:blipFill>
                        <pic:spPr>
                          <a:xfrm>
                            <a:off x="0" y="0"/>
                            <a:ext cx="3513455" cy="1916430"/>
                          </a:xfrm>
                          <a:prstGeom prst="rect">
                            <a:avLst/>
                          </a:prstGeom>
                        </pic:spPr>
                      </pic:pic>
                    </a:graphicData>
                  </a:graphic>
                </wp:anchor>
              </w:drawing>
            </w:r>
            <w:r>
              <w:rPr>
                <w:rFonts w:hint="default" w:ascii="sans-serif" w:hAnsi="sans-serif" w:eastAsia="sans-serif" w:cs="sans-serif"/>
                <w:b/>
                <w:bCs/>
              </w:rPr>
              <w:t>图注说明</w:t>
            </w:r>
            <w:r>
              <w:rPr>
                <w:rFonts w:hint="default" w:ascii="sans-serif" w:hAnsi="sans-serif" w:eastAsia="sans-serif" w:cs="sans-serif"/>
              </w:rPr>
              <w:t>（该图展示了在逐 token 扩散框架之上，引入位置感知重要性估计模块（PAIE）与自适应时间步调度器（ATS），从而实现位置依赖的独立扩散加噪与去噪过程，以及基于超球面 BPR 与 PCGrad 的多任务联合优化模块</w:t>
            </w:r>
            <w:r>
              <w:rPr>
                <w:rFonts w:hint="eastAsia" w:ascii="sans-serif" w:hAnsi="sans-serif" w:cs="sans-serif"/>
                <w:lang w:val="en-US" w:eastAsia="zh-CN"/>
              </w:rPr>
              <w:t>)</w:t>
            </w:r>
            <w:r>
              <w:rPr>
                <w:rFonts w:hint="default" w:ascii="sans-serif" w:hAnsi="sans-serif" w:eastAsia="sans-serif" w:cs="sans-serif"/>
              </w:rPr>
              <w:t>。</w:t>
            </w:r>
          </w:p>
          <w:p w14:paraId="0D4E6139">
            <w:pPr>
              <w:pStyle w:val="6"/>
              <w:keepNext w:val="0"/>
              <w:keepLines w:val="0"/>
              <w:widowControl/>
              <w:suppressLineNumbers w:val="0"/>
              <w:spacing w:before="0" w:beforeAutospacing="0" w:line="12" w:lineRule="atLeast"/>
              <w:ind w:left="1440"/>
              <w:rPr>
                <w:rFonts w:hint="default" w:ascii="sans-serif" w:hAnsi="sans-serif" w:eastAsia="sans-serif" w:cs="sans-serif"/>
              </w:rPr>
            </w:pPr>
          </w:p>
          <w:p w14:paraId="3C53BF5C">
            <w:pPr>
              <w:pStyle w:val="6"/>
              <w:keepNext w:val="0"/>
              <w:keepLines w:val="0"/>
              <w:widowControl/>
              <w:suppressLineNumbers w:val="0"/>
              <w:spacing w:before="0" w:beforeAutospacing="0" w:line="12" w:lineRule="atLeast"/>
              <w:ind w:left="1440"/>
              <w:rPr>
                <w:rFonts w:hint="eastAsia" w:ascii="sans-serif" w:hAnsi="sans-serif" w:eastAsia="宋体" w:cs="sans-serif"/>
                <w:lang w:eastAsia="zh-CN"/>
              </w:rPr>
            </w:pPr>
          </w:p>
          <w:p w14:paraId="77D59A6E">
            <w:pPr>
              <w:pStyle w:val="6"/>
              <w:keepNext w:val="0"/>
              <w:keepLines w:val="0"/>
              <w:widowControl/>
              <w:suppressLineNumbers w:val="0"/>
              <w:spacing w:before="0" w:beforeAutospacing="0" w:line="12" w:lineRule="atLeast"/>
              <w:ind w:left="1440"/>
              <w:rPr>
                <w:rFonts w:hint="default" w:ascii="sans-serif" w:hAnsi="sans-serif" w:eastAsia="sans-serif" w:cs="sans-serif"/>
              </w:rPr>
            </w:pPr>
          </w:p>
          <w:p w14:paraId="47E922A7">
            <w:pPr>
              <w:pStyle w:val="6"/>
              <w:keepNext w:val="0"/>
              <w:keepLines w:val="0"/>
              <w:widowControl/>
              <w:suppressLineNumbers w:val="0"/>
              <w:spacing w:before="0" w:beforeAutospacing="0" w:line="12" w:lineRule="atLeast"/>
              <w:ind w:left="1440"/>
              <w:rPr>
                <w:rFonts w:hint="default" w:ascii="sans-serif" w:hAnsi="sans-serif" w:eastAsia="sans-serif" w:cs="sans-serif"/>
              </w:rPr>
            </w:pPr>
          </w:p>
          <w:p w14:paraId="722284B2">
            <w:pPr>
              <w:pStyle w:val="6"/>
              <w:keepNext w:val="0"/>
              <w:keepLines w:val="0"/>
              <w:widowControl/>
              <w:suppressLineNumbers w:val="0"/>
              <w:spacing w:before="0" w:beforeAutospacing="0" w:line="12" w:lineRule="atLeast"/>
              <w:ind w:left="1440"/>
              <w:rPr>
                <w:rFonts w:hint="default" w:ascii="sans-serif" w:hAnsi="sans-serif" w:eastAsia="sans-serif" w:cs="sans-serif"/>
              </w:rPr>
            </w:pPr>
          </w:p>
          <w:p w14:paraId="37A6D6DD">
            <w:pPr>
              <w:pStyle w:val="6"/>
              <w:keepNext w:val="0"/>
              <w:keepLines w:val="0"/>
              <w:widowControl/>
              <w:suppressLineNumbers w:val="0"/>
              <w:spacing w:before="0" w:beforeAutospacing="0" w:line="12" w:lineRule="atLeast"/>
              <w:rPr>
                <w:rFonts w:hint="default" w:ascii="sans-serif" w:hAnsi="sans-serif" w:eastAsia="sans-serif" w:cs="sans-serif"/>
              </w:rPr>
            </w:pPr>
          </w:p>
          <w:p w14:paraId="281E17D1">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r>
              <w:rPr>
                <w:rFonts w:hint="eastAsia" w:ascii="sans-serif" w:hAnsi="sans-serif" w:eastAsia="宋体" w:cs="sans-serif"/>
                <w:lang w:eastAsia="zh-CN"/>
              </w:rPr>
              <w:drawing>
                <wp:anchor distT="0" distB="0" distL="114300" distR="114300" simplePos="0" relativeHeight="251660288" behindDoc="0" locked="0" layoutInCell="1" allowOverlap="1">
                  <wp:simplePos x="0" y="0"/>
                  <wp:positionH relativeFrom="column">
                    <wp:posOffset>-17145</wp:posOffset>
                  </wp:positionH>
                  <wp:positionV relativeFrom="paragraph">
                    <wp:posOffset>449580</wp:posOffset>
                  </wp:positionV>
                  <wp:extent cx="3512820" cy="1960245"/>
                  <wp:effectExtent l="0" t="0" r="5080" b="8255"/>
                  <wp:wrapNone/>
                  <wp:docPr id="2" name="图片 2" descr="改进模型训练推理阶段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改进模型训练推理阶段图片"/>
                          <pic:cNvPicPr>
                            <a:picLocks noChangeAspect="1"/>
                          </pic:cNvPicPr>
                        </pic:nvPicPr>
                        <pic:blipFill>
                          <a:blip r:embed="rId11"/>
                          <a:stretch>
                            <a:fillRect/>
                          </a:stretch>
                        </pic:blipFill>
                        <pic:spPr>
                          <a:xfrm>
                            <a:off x="0" y="0"/>
                            <a:ext cx="3512820" cy="1960245"/>
                          </a:xfrm>
                          <a:prstGeom prst="rect">
                            <a:avLst/>
                          </a:prstGeom>
                        </pic:spPr>
                      </pic:pic>
                    </a:graphicData>
                  </a:graphic>
                </wp:anchor>
              </w:drawing>
            </w:r>
            <w:r>
              <w:rPr>
                <w:rFonts w:hint="default" w:ascii="sans-serif" w:hAnsi="sans-serif" w:eastAsia="sans-serif" w:cs="sans-serif"/>
                <w:b/>
                <w:bCs/>
              </w:rPr>
              <w:t>附图2：本发明实施例提供的一种扩散推荐方法的训练与推理阶段流程示意图。</w:t>
            </w:r>
          </w:p>
          <w:p w14:paraId="4839E6F9">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0F59B693">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29973641">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06353B57">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195229EB">
            <w:pPr>
              <w:pStyle w:val="6"/>
              <w:keepNext w:val="0"/>
              <w:keepLines w:val="0"/>
              <w:widowControl/>
              <w:suppressLineNumbers w:val="0"/>
              <w:spacing w:before="0" w:beforeAutospacing="0" w:line="12" w:lineRule="atLeast"/>
              <w:rPr>
                <w:rFonts w:hint="default" w:ascii="sans-serif" w:hAnsi="sans-serif" w:eastAsia="sans-serif" w:cs="sans-serif"/>
                <w:b/>
                <w:bCs/>
              </w:rPr>
            </w:pPr>
          </w:p>
          <w:p w14:paraId="3A586B93">
            <w:pPr>
              <w:pStyle w:val="6"/>
              <w:keepNext w:val="0"/>
              <w:keepLines w:val="0"/>
              <w:widowControl/>
              <w:suppressLineNumbers w:val="0"/>
              <w:spacing w:before="0" w:beforeAutospacing="0" w:line="12" w:lineRule="atLeast"/>
              <w:rPr>
                <w:rFonts w:hint="default" w:ascii="sans-serif" w:hAnsi="sans-serif" w:eastAsia="sans-serif" w:cs="sans-serif"/>
                <w:b/>
                <w:bCs/>
              </w:rPr>
            </w:pPr>
          </w:p>
          <w:p w14:paraId="4B92560C">
            <w:pPr>
              <w:pStyle w:val="6"/>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b/>
                <w:bCs/>
              </w:rPr>
              <w:t>图注说明</w:t>
            </w:r>
            <w:r>
              <w:rPr>
                <w:rFonts w:hint="default" w:ascii="sans-serif" w:hAnsi="sans-serif" w:eastAsia="sans-serif" w:cs="sans-serif"/>
              </w:rPr>
              <w:t>（该图说明了模型的基础预热阶段（阶段2）、包含 PAIE 与 ATS 的多任务联合训练阶段（阶段3），以及推理阶段（阶段4）直接基于干净历史序列执行扩散式预测的完整流程步骤</w:t>
            </w:r>
            <w:r>
              <w:rPr>
                <w:rFonts w:hint="eastAsia" w:ascii="sans-serif" w:hAnsi="sans-serif" w:cs="sans-serif"/>
                <w:lang w:val="en-US" w:eastAsia="zh-CN"/>
              </w:rPr>
              <w:t>)</w:t>
            </w:r>
            <w:r>
              <w:rPr>
                <w:rFonts w:hint="default" w:ascii="sans-serif" w:hAnsi="sans-serif" w:eastAsia="sans-serif" w:cs="sans-serif"/>
              </w:rPr>
              <w:t>。</w:t>
            </w:r>
          </w:p>
          <w:p w14:paraId="22316046">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r>
              <w:rPr>
                <w:rFonts w:hint="eastAsia" w:ascii="sans-serif" w:hAnsi="sans-serif" w:eastAsia="宋体" w:cs="sans-serif"/>
                <w:b/>
                <w:bCs/>
                <w:lang w:eastAsia="zh-CN"/>
              </w:rPr>
              <w:drawing>
                <wp:anchor distT="0" distB="0" distL="114300" distR="114300" simplePos="0" relativeHeight="251661312" behindDoc="0" locked="0" layoutInCell="1" allowOverlap="1">
                  <wp:simplePos x="0" y="0"/>
                  <wp:positionH relativeFrom="column">
                    <wp:posOffset>2540</wp:posOffset>
                  </wp:positionH>
                  <wp:positionV relativeFrom="paragraph">
                    <wp:posOffset>506095</wp:posOffset>
                  </wp:positionV>
                  <wp:extent cx="3510915" cy="1147445"/>
                  <wp:effectExtent l="0" t="0" r="6985" b="8255"/>
                  <wp:wrapNone/>
                  <wp:docPr id="3" name="图片 3" descr="toys_plot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oys_plot_hd"/>
                          <pic:cNvPicPr>
                            <a:picLocks noChangeAspect="1"/>
                          </pic:cNvPicPr>
                        </pic:nvPicPr>
                        <pic:blipFill>
                          <a:blip r:embed="rId12"/>
                          <a:stretch>
                            <a:fillRect/>
                          </a:stretch>
                        </pic:blipFill>
                        <pic:spPr>
                          <a:xfrm>
                            <a:off x="0" y="0"/>
                            <a:ext cx="3510915" cy="1147445"/>
                          </a:xfrm>
                          <a:prstGeom prst="rect">
                            <a:avLst/>
                          </a:prstGeom>
                        </pic:spPr>
                      </pic:pic>
                    </a:graphicData>
                  </a:graphic>
                </wp:anchor>
              </w:drawing>
            </w:r>
            <w:r>
              <w:rPr>
                <w:rFonts w:hint="default" w:ascii="sans-serif" w:hAnsi="sans-serif" w:eastAsia="sans-serif" w:cs="sans-serif"/>
                <w:b/>
                <w:bCs/>
              </w:rPr>
              <w:t>附图3：本发明实施例中逐位置重要性得分与期望时间步分配的效果折线图。</w:t>
            </w:r>
          </w:p>
          <w:p w14:paraId="483F40DD">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2CAFE483">
            <w:pPr>
              <w:pStyle w:val="6"/>
              <w:keepNext w:val="0"/>
              <w:keepLines w:val="0"/>
              <w:widowControl/>
              <w:suppressLineNumbers w:val="0"/>
              <w:spacing w:before="0" w:beforeAutospacing="0" w:line="12" w:lineRule="atLeast"/>
              <w:ind w:left="720"/>
              <w:rPr>
                <w:rFonts w:hint="eastAsia" w:ascii="sans-serif" w:hAnsi="sans-serif" w:eastAsia="宋体" w:cs="sans-serif"/>
                <w:b/>
                <w:bCs/>
                <w:lang w:eastAsia="zh-CN"/>
              </w:rPr>
            </w:pPr>
          </w:p>
          <w:p w14:paraId="0CC36613">
            <w:pPr>
              <w:pStyle w:val="6"/>
              <w:keepNext w:val="0"/>
              <w:keepLines w:val="0"/>
              <w:widowControl/>
              <w:suppressLineNumbers w:val="0"/>
              <w:spacing w:before="0" w:beforeAutospacing="0" w:line="12" w:lineRule="atLeast"/>
              <w:rPr>
                <w:rFonts w:hint="default" w:ascii="sans-serif" w:hAnsi="sans-serif" w:eastAsia="sans-serif" w:cs="sans-serif"/>
                <w:b/>
                <w:bCs/>
              </w:rPr>
            </w:pPr>
          </w:p>
          <w:p w14:paraId="2789FD37">
            <w:pPr>
              <w:pStyle w:val="6"/>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b/>
                <w:bCs/>
              </w:rPr>
              <w:t>图注说明</w:t>
            </w:r>
            <w:r>
              <w:rPr>
                <w:rFonts w:hint="default" w:ascii="sans-serif" w:hAnsi="sans-serif" w:eastAsia="sans-serif" w:cs="sans-serif"/>
              </w:rPr>
              <w:t>（展示了随着序列位置向末端靠近（近期交互），重要性得分呈指数级上升；图3(b)展示了经过 ATS 调度后，序列末端被自适应地分配了较小的期望时间步（较小噪声）</w:t>
            </w:r>
            <w:r>
              <w:rPr>
                <w:rFonts w:hint="eastAsia" w:ascii="sans-serif" w:hAnsi="sans-serif" w:cs="sans-serif"/>
                <w:lang w:val="en-US" w:eastAsia="zh-CN"/>
              </w:rPr>
              <w:t>)</w:t>
            </w:r>
            <w:r>
              <w:rPr>
                <w:rFonts w:hint="default" w:ascii="sans-serif" w:hAnsi="sans-serif" w:eastAsia="sans-serif" w:cs="sans-serif"/>
              </w:rPr>
              <w:t>。</w:t>
            </w:r>
          </w:p>
          <w:p w14:paraId="32721966">
            <w:pPr>
              <w:pStyle w:val="6"/>
              <w:keepNext w:val="0"/>
              <w:keepLines w:val="0"/>
              <w:widowControl/>
              <w:suppressLineNumbers w:val="0"/>
              <w:spacing w:before="0" w:beforeAutospacing="0" w:line="12" w:lineRule="atLeast"/>
              <w:rPr>
                <w:rFonts w:hint="default" w:ascii="sans-serif" w:hAnsi="sans-serif" w:eastAsia="sans-serif" w:cs="sans-serif"/>
              </w:rPr>
            </w:pPr>
          </w:p>
          <w:p w14:paraId="1014513F">
            <w:pPr>
              <w:pStyle w:val="6"/>
              <w:keepNext w:val="0"/>
              <w:keepLines w:val="0"/>
              <w:widowControl/>
              <w:suppressLineNumbers w:val="0"/>
              <w:spacing w:before="0" w:beforeAutospacing="0" w:line="12" w:lineRule="atLeast"/>
              <w:rPr>
                <w:rFonts w:hint="default" w:ascii="sans-serif" w:hAnsi="sans-serif" w:eastAsia="sans-serif" w:cs="sans-serif"/>
              </w:rPr>
            </w:pPr>
          </w:p>
          <w:p w14:paraId="7239ED4E">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r>
              <w:rPr>
                <w:rFonts w:hint="default" w:ascii="sans-serif" w:hAnsi="sans-serif" w:eastAsia="sans-serif" w:cs="sans-serif"/>
                <w:b/>
                <w:bCs/>
              </w:rPr>
              <w:t>附图4：本发明实施例中序列头部（Head）与尾部（Tail）的时间步采样概率分布对比图。</w:t>
            </w:r>
          </w:p>
          <w:p w14:paraId="619E9A0D">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r>
              <w:rPr>
                <w:rFonts w:hint="eastAsia" w:ascii="sans-serif" w:hAnsi="sans-serif" w:eastAsia="宋体" w:cs="sans-serif"/>
                <w:b/>
                <w:bCs/>
                <w:lang w:eastAsia="zh-CN"/>
              </w:rPr>
              <w:drawing>
                <wp:anchor distT="0" distB="0" distL="114300" distR="114300" simplePos="0" relativeHeight="251662336" behindDoc="0" locked="0" layoutInCell="1" allowOverlap="1">
                  <wp:simplePos x="0" y="0"/>
                  <wp:positionH relativeFrom="column">
                    <wp:posOffset>-40640</wp:posOffset>
                  </wp:positionH>
                  <wp:positionV relativeFrom="paragraph">
                    <wp:posOffset>44450</wp:posOffset>
                  </wp:positionV>
                  <wp:extent cx="3510915" cy="1704975"/>
                  <wp:effectExtent l="0" t="0" r="6985" b="9525"/>
                  <wp:wrapNone/>
                  <wp:docPr id="4" name="图片 4" descr="toys_head_tail_timestep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oys_head_tail_timestep_dist"/>
                          <pic:cNvPicPr>
                            <a:picLocks noChangeAspect="1"/>
                          </pic:cNvPicPr>
                        </pic:nvPicPr>
                        <pic:blipFill>
                          <a:blip r:embed="rId13"/>
                          <a:stretch>
                            <a:fillRect/>
                          </a:stretch>
                        </pic:blipFill>
                        <pic:spPr>
                          <a:xfrm>
                            <a:off x="0" y="0"/>
                            <a:ext cx="3510915" cy="1704975"/>
                          </a:xfrm>
                          <a:prstGeom prst="rect">
                            <a:avLst/>
                          </a:prstGeom>
                        </pic:spPr>
                      </pic:pic>
                    </a:graphicData>
                  </a:graphic>
                </wp:anchor>
              </w:drawing>
            </w:r>
          </w:p>
          <w:p w14:paraId="59B670F2">
            <w:pPr>
              <w:pStyle w:val="6"/>
              <w:keepNext w:val="0"/>
              <w:keepLines w:val="0"/>
              <w:widowControl/>
              <w:suppressLineNumbers w:val="0"/>
              <w:spacing w:before="0" w:beforeAutospacing="0" w:line="12" w:lineRule="atLeast"/>
              <w:ind w:left="720"/>
              <w:rPr>
                <w:rFonts w:hint="eastAsia" w:ascii="sans-serif" w:hAnsi="sans-serif" w:eastAsia="宋体" w:cs="sans-serif"/>
                <w:b/>
                <w:bCs/>
                <w:lang w:eastAsia="zh-CN"/>
              </w:rPr>
            </w:pPr>
          </w:p>
          <w:p w14:paraId="5C5E0209">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46FAEFCA">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365A7C31">
            <w:pPr>
              <w:pStyle w:val="6"/>
              <w:keepNext w:val="0"/>
              <w:keepLines w:val="0"/>
              <w:widowControl/>
              <w:suppressLineNumbers w:val="0"/>
              <w:spacing w:before="0" w:beforeAutospacing="0" w:line="12" w:lineRule="atLeast"/>
              <w:ind w:left="720"/>
              <w:rPr>
                <w:rFonts w:hint="default" w:ascii="sans-serif" w:hAnsi="sans-serif" w:eastAsia="sans-serif" w:cs="sans-serif"/>
                <w:b/>
                <w:bCs/>
              </w:rPr>
            </w:pPr>
          </w:p>
          <w:p w14:paraId="3CF6E00E">
            <w:pPr>
              <w:pStyle w:val="6"/>
              <w:keepNext w:val="0"/>
              <w:keepLines w:val="0"/>
              <w:widowControl/>
              <w:suppressLineNumbers w:val="0"/>
              <w:spacing w:before="0" w:beforeAutospacing="0" w:line="12" w:lineRule="atLeast"/>
              <w:ind w:left="1440"/>
              <w:rPr>
                <w:rFonts w:hint="default" w:ascii="sans-serif" w:hAnsi="sans-serif" w:eastAsia="sans-serif" w:cs="sans-serif"/>
              </w:rPr>
            </w:pPr>
            <w:r>
              <w:rPr>
                <w:rFonts w:hint="default" w:ascii="sans-serif" w:hAnsi="sans-serif" w:eastAsia="sans-serif" w:cs="sans-serif"/>
                <w:b/>
                <w:bCs/>
              </w:rPr>
              <w:t>图注说明</w:t>
            </w:r>
            <w:r>
              <w:rPr>
                <w:rFonts w:hint="default" w:ascii="sans-serif" w:hAnsi="sans-serif" w:eastAsia="sans-serif" w:cs="sans-serif"/>
              </w:rPr>
              <w:t>（该图进一步从概率分布的维度，证明了通过高斯-Softmax分布，序列尾部（近期交互）相比头部，其采样概率显著向较小时间步区域集中</w:t>
            </w:r>
            <w:r>
              <w:rPr>
                <w:rFonts w:hint="eastAsia" w:ascii="sans-serif" w:hAnsi="sans-serif" w:cs="sans-serif"/>
                <w:lang w:val="en-US" w:eastAsia="zh-CN"/>
              </w:rPr>
              <w:t>)</w:t>
            </w:r>
            <w:r>
              <w:rPr>
                <w:rFonts w:hint="default" w:ascii="sans-serif" w:hAnsi="sans-serif" w:eastAsia="sans-serif" w:cs="sans-serif"/>
              </w:rPr>
              <w:t>。</w:t>
            </w:r>
          </w:p>
          <w:p w14:paraId="7260BF55">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二、 核心保护公式</w:t>
            </w:r>
          </w:p>
          <w:p w14:paraId="0414380C">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1. 动态位置重要性得分融合公式（PAIE模块）：</w:t>
            </w:r>
          </w:p>
          <w:p w14:paraId="024578D8">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针对序列中的有效位置</w:t>
            </w:r>
            <m:oMath>
              <m:r>
                <m:rPr/>
                <w:rPr>
                  <w:rFonts w:hint="default" w:ascii="Cambria Math" w:hAnsi="Cambria Math" w:eastAsia="sans-serif"/>
                </w:rPr>
                <m:t>i</m:t>
              </m:r>
            </m:oMath>
            <w:r>
              <w:rPr>
                <w:rFonts w:hint="default" w:ascii="sans-serif" w:hAnsi="sans-serif" w:eastAsia="sans-serif" w:cs="sans-serif"/>
              </w:rPr>
              <w:t xml:space="preserve">，其最终重要性得分 </w:t>
            </w:r>
            <m:oMath>
              <m:sSub>
                <m:sSubPr>
                  <m:ctrlPr>
                    <w:rPr>
                      <w:rFonts w:hint="default" w:ascii="Cambria Math" w:hAnsi="Cambria Math" w:eastAsia="sans-serif"/>
                    </w:rPr>
                  </m:ctrlPr>
                </m:sSubPr>
                <m:e>
                  <m:r>
                    <m:rPr/>
                    <w:rPr>
                      <w:rFonts w:hint="default" w:ascii="Cambria Math" w:hAnsi="Cambria Math" w:eastAsia="sans-serif"/>
                    </w:rPr>
                    <m:t>π</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Sub>
            </m:oMath>
            <w:r>
              <w:rPr>
                <w:rFonts w:hint="default" w:ascii="sans-serif" w:hAnsi="sans-serif" w:eastAsia="sans-serif" w:cs="sans-serif"/>
              </w:rPr>
              <w:t xml:space="preserve"> 由基础重要性</w:t>
            </w:r>
            <m:oMath>
              <m:sSubSup>
                <m:sSubSupPr>
                  <m:ctrlPr>
                    <w:rPr>
                      <w:rFonts w:hint="default" w:ascii="Cambria Math" w:hAnsi="Cambria Math" w:eastAsia="sans-serif"/>
                    </w:rPr>
                  </m:ctrlPr>
                </m:sSubSupPr>
                <m:e>
                  <m:r>
                    <m:rPr/>
                    <w:rPr>
                      <w:rFonts w:hint="default" w:ascii="Cambria Math" w:hAnsi="Cambria Math" w:eastAsia="sans-serif"/>
                    </w:rPr>
                    <m:t>π</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up>
                  <m:r>
                    <m:rPr>
                      <m:sty m:val="p"/>
                    </m:rPr>
                    <w:rPr>
                      <w:rFonts w:hint="default" w:ascii="Cambria Math" w:hAnsi="Cambria Math" w:eastAsia="sans-serif"/>
                    </w:rPr>
                    <m:t>base</m:t>
                  </m:r>
                  <m:ctrlPr>
                    <w:rPr>
                      <w:rFonts w:ascii="Cambria Math" w:hAnsi="Cambria Math" w:eastAsia="sans-serif"/>
                    </w:rPr>
                  </m:ctrlPr>
                </m:sup>
              </m:sSubSup>
            </m:oMath>
            <w:r>
              <w:rPr>
                <w:rFonts w:hint="default" w:ascii="sans-serif" w:hAnsi="sans-serif" w:eastAsia="sans-serif" w:cs="sans-serif"/>
              </w:rPr>
              <w:t xml:space="preserve">与动态误差引导重要性 </w:t>
            </w:r>
            <m:oMath>
              <m:sSubSup>
                <m:sSubSupPr>
                  <m:ctrlPr>
                    <w:rPr>
                      <w:rFonts w:hint="default" w:ascii="Cambria Math" w:hAnsi="Cambria Math" w:eastAsia="sans-serif"/>
                    </w:rPr>
                  </m:ctrlPr>
                </m:sSubSupPr>
                <m:e>
                  <m:r>
                    <m:rPr/>
                    <w:rPr>
                      <w:rFonts w:hint="default" w:ascii="Cambria Math" w:hAnsi="Cambria Math" w:eastAsia="sans-serif"/>
                    </w:rPr>
                    <m:t>π</m:t>
                  </m:r>
                  <m:ctrlPr>
                    <w:rPr>
                      <w:rFonts w:ascii="Cambria Math" w:hAnsi="Cambria Math" w:eastAsia="sans-serif"/>
                    </w:rPr>
                  </m:ctrlPr>
                </m:e>
                <m:sub>
                  <m:r>
                    <m:rPr/>
                    <w:rPr>
                      <w:rFonts w:hint="default" w:ascii="Cambria Math" w:hAnsi="Cambria Math" w:eastAsia="sans-serif"/>
                    </w:rPr>
                    <m:t>i</m:t>
                  </m:r>
                  <m:ctrlPr>
                    <w:rPr>
                      <w:rFonts w:ascii="Cambria Math" w:hAnsi="Cambria Math" w:eastAsia="sans-serif"/>
                    </w:rPr>
                  </m:ctrlPr>
                </m:sub>
                <m:sup>
                  <m:r>
                    <m:rPr>
                      <m:sty m:val="p"/>
                    </m:rPr>
                    <w:rPr>
                      <w:rFonts w:hint="default" w:ascii="Cambria Math" w:hAnsi="Cambria Math" w:eastAsia="sans-serif"/>
                    </w:rPr>
                    <m:t>err</m:t>
                  </m:r>
                  <m:ctrlPr>
                    <w:rPr>
                      <w:rFonts w:ascii="Cambria Math" w:hAnsi="Cambria Math" w:eastAsia="sans-serif"/>
                    </w:rPr>
                  </m:ctrlPr>
                </m:sup>
              </m:sSubSup>
            </m:oMath>
            <w:r>
              <w:rPr>
                <w:rFonts w:hint="default" w:ascii="sans-serif" w:hAnsi="sans-serif" w:eastAsia="sans-serif" w:cs="sans-serif"/>
              </w:rPr>
              <w:t xml:space="preserve"> 加权融合得到：</w:t>
            </w:r>
          </w:p>
          <w:p w14:paraId="2EBFD09A">
            <w:pPr>
              <w:pStyle w:val="6"/>
              <w:keepNext w:val="0"/>
              <w:keepLines w:val="0"/>
              <w:widowControl/>
              <w:suppressLineNumbers w:val="0"/>
              <w:spacing w:before="0" w:beforeAutospacing="0" w:line="12" w:lineRule="atLeast"/>
              <w:rPr>
                <w:rFonts w:hAnsi="Cambria Math" w:eastAsia="sans-serif"/>
                <w:i w:val="0"/>
                <w:sz w:val="24"/>
              </w:rPr>
            </w:pPr>
            <m:oMathPara>
              <m:oMath>
                <m:sSub>
                  <m:sSubPr>
                    <m:ctrlPr>
                      <w:rPr>
                        <w:rFonts w:hint="default" w:ascii="Cambria Math" w:hAnsi="Cambria Math" w:eastAsia="sans-serif"/>
                        <w:sz w:val="24"/>
                      </w:rPr>
                    </m:ctrlPr>
                  </m:sSub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=γ⋅</m:t>
                </m:r>
                <m:sSubSup>
                  <m:sSubSupPr>
                    <m:ctrlPr>
                      <w:rPr>
                        <w:rFonts w:hint="default" w:ascii="Cambria Math" w:hAnsi="Cambria Math" w:eastAsia="sans-serif"/>
                        <w:sz w:val="24"/>
                      </w:rPr>
                    </m:ctrlPr>
                  </m:sSubSup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up>
                    <m:r>
                      <m:rPr>
                        <m:sty m:val="p"/>
                      </m:rPr>
                      <w:rPr>
                        <w:rFonts w:hint="default" w:ascii="Cambria Math" w:hAnsi="Cambria Math" w:eastAsia="sans-serif"/>
                        <w:sz w:val="24"/>
                      </w:rPr>
                      <m:t>base</m:t>
                    </m:r>
                    <m:ctrlPr>
                      <w:rPr>
                        <w:rFonts w:ascii="Cambria Math" w:hAnsi="Cambria Math" w:eastAsia="sans-serif"/>
                        <w:sz w:val="24"/>
                      </w:rPr>
                    </m:ctrlPr>
                  </m:sup>
                </m:sSubSup>
                <m:r>
                  <m:rPr/>
                  <w:rPr>
                    <w:rFonts w:hint="default" w:ascii="Cambria Math" w:hAnsi="Cambria Math" w:eastAsia="sans-serif"/>
                    <w:sz w:val="24"/>
                  </w:rPr>
                  <m:t>+(1−γ)⋅</m:t>
                </m:r>
                <m:sSubSup>
                  <m:sSubSupPr>
                    <m:ctrlPr>
                      <w:rPr>
                        <w:rFonts w:hint="default" w:ascii="Cambria Math" w:hAnsi="Cambria Math" w:eastAsia="sans-serif"/>
                        <w:sz w:val="24"/>
                      </w:rPr>
                    </m:ctrlPr>
                  </m:sSubSup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up>
                    <m:r>
                      <m:rPr>
                        <m:sty m:val="p"/>
                      </m:rPr>
                      <w:rPr>
                        <w:rFonts w:hint="default" w:ascii="Cambria Math" w:hAnsi="Cambria Math" w:eastAsia="sans-serif"/>
                        <w:sz w:val="24"/>
                      </w:rPr>
                      <m:t>err</m:t>
                    </m:r>
                    <m:ctrlPr>
                      <w:rPr>
                        <w:rFonts w:ascii="Cambria Math" w:hAnsi="Cambria Math" w:eastAsia="sans-serif"/>
                        <w:sz w:val="24"/>
                      </w:rPr>
                    </m:ctrlPr>
                  </m:sup>
                </m:sSubSup>
              </m:oMath>
            </m:oMathPara>
          </w:p>
          <w:p w14:paraId="65264232">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其中，</w:t>
            </w:r>
            <m:oMath>
              <m:r>
                <m:rPr/>
                <w:rPr>
                  <w:rFonts w:hint="default" w:ascii="Cambria Math" w:hAnsi="Cambria Math" w:eastAsia="sans-serif"/>
                </w:rPr>
                <m:t>γ</m:t>
              </m:r>
            </m:oMath>
            <w:r>
              <w:rPr>
                <w:rFonts w:hint="default" w:ascii="sans-serif" w:hAnsi="sans-serif" w:eastAsia="sans-serif" w:cs="sans-serif"/>
              </w:rPr>
              <w:t>为校准系数。</w:t>
            </w:r>
          </w:p>
          <w:p w14:paraId="521E1923">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2. 自适应时间步采样的概率分布公式（ATS模块）：</w:t>
            </w:r>
          </w:p>
          <w:p w14:paraId="7EAB218F">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根据重要性得分映射出的期望时间步</w:t>
            </w:r>
            <m:oMath>
              <m:sSub>
                <m:sSubPr>
                  <m:ctrlPr>
                    <w:rPr>
                      <w:rFonts w:hint="default" w:ascii="Cambria Math" w:hAnsi="Cambria Math" w:eastAsia="sans-serif"/>
                    </w:rPr>
                  </m:ctrlPr>
                </m:sSubPr>
                <m:e>
                  <m:acc>
                    <m:accPr>
                      <m:chr m:val="̄"/>
                      <m:ctrlPr>
                        <w:rPr>
                          <w:rFonts w:hint="default" w:ascii="Cambria Math" w:hAnsi="Cambria Math" w:eastAsia="sans-serif"/>
                        </w:rPr>
                      </m:ctrlPr>
                    </m:accPr>
                    <m:e>
                      <m:r>
                        <m:rPr/>
                        <w:rPr>
                          <w:rFonts w:hint="default" w:ascii="Cambria Math" w:hAnsi="Cambria Math" w:eastAsia="sans-serif"/>
                        </w:rPr>
                        <m:t>t</m:t>
                      </m:r>
                      <m:ctrlPr>
                        <w:rPr>
                          <w:rFonts w:ascii="Cambria Math" w:hAnsi="Cambria Math" w:eastAsia="sans-serif"/>
                        </w:rPr>
                      </m:ctrlPr>
                    </m:e>
                  </m:acc>
                  <m:ctrlPr>
                    <w:rPr>
                      <w:rFonts w:hint="default" w:ascii="Cambria Math" w:hAnsi="Cambria Math" w:eastAsia="sans-serif"/>
                    </w:rPr>
                  </m:ctrlPr>
                </m:e>
                <m:sub>
                  <m:r>
                    <m:rPr/>
                    <w:rPr>
                      <w:rFonts w:hint="default" w:ascii="Cambria Math" w:hAnsi="Cambria Math" w:eastAsia="sans-serif"/>
                    </w:rPr>
                    <m:t>i</m:t>
                  </m:r>
                  <m:ctrlPr>
                    <w:rPr>
                      <w:rFonts w:hint="default" w:ascii="Cambria Math" w:hAnsi="Cambria Math" w:eastAsia="sans-serif"/>
                    </w:rPr>
                  </m:ctrlPr>
                </m:sub>
              </m:sSub>
            </m:oMath>
            <w:r>
              <w:rPr>
                <w:rFonts w:hint="default" w:ascii="sans-serif" w:hAnsi="sans-serif" w:eastAsia="sans-serif" w:cs="sans-serif"/>
              </w:rPr>
              <w:t>，构建带有温度系数</w:t>
            </w:r>
            <m:oMath>
              <m:r>
                <m:rPr/>
                <w:rPr>
                  <w:rFonts w:hint="default" w:ascii="Cambria Math" w:hAnsi="Cambria Math" w:eastAsia="sans-serif"/>
                </w:rPr>
                <m:t>τ</m:t>
              </m:r>
            </m:oMath>
            <w:r>
              <w:rPr>
                <w:rFonts w:hint="default" w:ascii="sans-serif" w:hAnsi="sans-serif" w:eastAsia="sans-serif" w:cs="sans-serif"/>
              </w:rPr>
              <w:t xml:space="preserve"> 与带宽系数 </w:t>
            </w:r>
            <m:oMath>
              <m:r>
                <m:rPr/>
                <w:rPr>
                  <w:rFonts w:hint="default" w:ascii="Cambria Math" w:hAnsi="Cambria Math" w:eastAsia="sans-serif"/>
                </w:rPr>
                <m:t>ς</m:t>
              </m:r>
            </m:oMath>
            <w:r>
              <w:rPr>
                <w:rFonts w:hint="default" w:ascii="sans-serif" w:hAnsi="sans-serif" w:eastAsia="sans-serif" w:cs="sans-serif"/>
              </w:rPr>
              <w:t xml:space="preserve"> 的高斯-Softmax概率分布，用于特定位置的时间步独立采样：</w:t>
            </w:r>
          </w:p>
          <w:p w14:paraId="6CE24CC5">
            <w:pPr>
              <w:pStyle w:val="6"/>
              <w:keepNext w:val="0"/>
              <w:keepLines w:val="0"/>
              <w:widowControl/>
              <w:suppressLineNumbers w:val="0"/>
              <w:spacing w:before="0" w:beforeAutospacing="0" w:line="12" w:lineRule="atLeast"/>
              <w:rPr>
                <w:rFonts w:hint="default" w:hAnsi="Cambria Math" w:eastAsia="sans-serif"/>
                <w:i w:val="0"/>
                <w:sz w:val="24"/>
              </w:rPr>
            </w:pPr>
            <m:oMathPara>
              <m:oMath>
                <m:r>
                  <m:rPr/>
                  <w:rPr>
                    <w:rFonts w:hint="default" w:ascii="Cambria Math" w:hAnsi="Cambria Math" w:eastAsia="sans-serif"/>
                    <w:sz w:val="24"/>
                  </w:rPr>
                  <m:t>p(</m:t>
                </m:r>
                <m:sSub>
                  <m:sSubPr>
                    <m:ctrlPr>
                      <w:rPr>
                        <w:rFonts w:hint="default" w:ascii="Cambria Math" w:hAnsi="Cambria Math" w:eastAsia="sans-serif"/>
                        <w:sz w:val="24"/>
                      </w:rPr>
                    </m:ctrlPr>
                  </m:sSubPr>
                  <m:e>
                    <m:r>
                      <m:rPr/>
                      <w:rPr>
                        <w:rFonts w:hint="default" w:ascii="Cambria Math" w:hAnsi="Cambria Math" w:eastAsia="sans-serif"/>
                        <w:sz w:val="24"/>
                      </w:rPr>
                      <m:t>t</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π</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func>
                      <m:funcPr>
                        <m:ctrlPr>
                          <w:rPr>
                            <w:rFonts w:hint="default" w:ascii="Cambria Math" w:hAnsi="Cambria Math" w:eastAsia="sans-serif"/>
                            <w:sz w:val="24"/>
                          </w:rPr>
                        </m:ctrlPr>
                      </m:funcPr>
                      <m:fName>
                        <m:r>
                          <m:rPr>
                            <m:sty m:val="p"/>
                          </m:rPr>
                          <w:rPr>
                            <w:rFonts w:hint="default" w:ascii="Cambria Math" w:hAnsi="Cambria Math" w:eastAsia="sans-serif"/>
                            <w:sz w:val="24"/>
                          </w:rPr>
                          <m:t>exp</m:t>
                        </m:r>
                        <m:ctrlPr>
                          <w:rPr>
                            <w:rFonts w:ascii="Cambria Math" w:hAnsi="Cambria Math" w:eastAsia="sans-serif"/>
                            <w:sz w:val="24"/>
                          </w:rPr>
                        </m:ctrlPr>
                      </m:fName>
                      <m:e>
                        <m:d>
                          <m:dPr>
                            <m:ctrlPr>
                              <w:rPr>
                                <w:rFonts w:hint="default" w:ascii="Cambria Math" w:hAnsi="Cambria Math" w:eastAsia="sans-serif"/>
                                <w:i/>
                                <w:sz w:val="24"/>
                              </w:rPr>
                            </m:ctrlPr>
                          </m:dPr>
                          <m:e>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(t−</m:t>
                                </m:r>
                                <m:sSub>
                                  <m:sSubPr>
                                    <m:ctrlPr>
                                      <w:rPr>
                                        <w:rFonts w:hint="default" w:ascii="Cambria Math" w:hAnsi="Cambria Math" w:eastAsia="sans-serif"/>
                                        <w:sz w:val="24"/>
                                      </w:rPr>
                                    </m:ctrlPr>
                                  </m:sSubPr>
                                  <m:e>
                                    <m:acc>
                                      <m:accPr>
                                        <m:chr m:val="̄"/>
                                        <m:ctrlPr>
                                          <w:rPr>
                                            <w:rFonts w:hint="default" w:ascii="Cambria Math" w:hAnsi="Cambria Math" w:eastAsia="sans-serif"/>
                                            <w:sz w:val="24"/>
                                          </w:rPr>
                                        </m:ctrlPr>
                                      </m:accPr>
                                      <m:e>
                                        <m:r>
                                          <m:rPr/>
                                          <w:rPr>
                                            <w:rFonts w:hint="default" w:ascii="Cambria Math" w:hAnsi="Cambria Math" w:eastAsia="sans-serif"/>
                                            <w:sz w:val="24"/>
                                          </w:rPr>
                                          <m:t>t</m:t>
                                        </m:r>
                                        <m:ctrlPr>
                                          <w:rPr>
                                            <w:rFonts w:ascii="Cambria Math" w:hAnsi="Cambria Math" w:eastAsia="sans-serif"/>
                                            <w:sz w:val="24"/>
                                          </w:rPr>
                                        </m:ctrlPr>
                                      </m:e>
                                    </m:acc>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sSup>
                                  <m:sSupPr>
                                    <m:ctrlPr>
                                      <w:rPr>
                                        <w:rFonts w:hint="default" w:ascii="Cambria Math" w:hAnsi="Cambria Math" w:eastAsia="sans-serif"/>
                                        <w:sz w:val="24"/>
                                      </w:rPr>
                                    </m:ctrlPr>
                                  </m:sSupPr>
                                  <m:e>
                                    <m:r>
                                      <m:rPr/>
                                      <w:rPr>
                                        <w:rFonts w:hint="default" w:ascii="Cambria Math" w:hAnsi="Cambria Math" w:eastAsia="sans-serif"/>
                                        <w:sz w:val="24"/>
                                      </w:rPr>
                                      <m:t>)</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ctrlPr>
                                  <w:rPr>
                                    <w:rFonts w:hint="default" w:ascii="Cambria Math" w:hAnsi="Cambria Math" w:eastAsia="sans-serif"/>
                                    <w:sz w:val="24"/>
                                  </w:rPr>
                                </m:ctrlPr>
                              </m:num>
                              <m:den>
                                <m:r>
                                  <m:rPr/>
                                  <w:rPr>
                                    <w:rFonts w:hint="default" w:ascii="Cambria Math" w:hAnsi="Cambria Math" w:eastAsia="sans-serif"/>
                                    <w:sz w:val="24"/>
                                  </w:rPr>
                                  <m:t>2</m:t>
                                </m:r>
                                <m:sSup>
                                  <m:sSupPr>
                                    <m:ctrlPr>
                                      <w:rPr>
                                        <w:rFonts w:hint="default" w:ascii="Cambria Math" w:hAnsi="Cambria Math" w:eastAsia="sans-serif"/>
                                        <w:sz w:val="24"/>
                                      </w:rPr>
                                    </m:ctrlPr>
                                  </m:sSupPr>
                                  <m:e>
                                    <m:r>
                                      <m:rPr/>
                                      <w:rPr>
                                        <w:rFonts w:hint="default" w:ascii="Cambria Math" w:hAnsi="Cambria Math" w:eastAsia="sans-serif"/>
                                        <w:sz w:val="24"/>
                                      </w:rPr>
                                      <m:t>ς</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r>
                                  <m:rPr/>
                                  <w:rPr>
                                    <w:rFonts w:hint="default" w:ascii="Cambria Math" w:hAnsi="Cambria Math" w:eastAsia="sans-serif"/>
                                    <w:sz w:val="24"/>
                                  </w:rPr>
                                  <m:t> τ</m:t>
                                </m:r>
                                <m:ctrlPr>
                                  <w:rPr>
                                    <w:rFonts w:hint="default" w:ascii="Cambria Math" w:hAnsi="Cambria Math" w:eastAsia="sans-serif"/>
                                    <w:sz w:val="24"/>
                                  </w:rPr>
                                </m:ctrlPr>
                              </m:den>
                            </m:f>
                            <m:ctrlPr>
                              <w:rPr>
                                <w:rFonts w:hint="default" w:ascii="Cambria Math" w:hAnsi="Cambria Math" w:eastAsia="sans-serif"/>
                                <w:i/>
                                <w:sz w:val="24"/>
                              </w:rPr>
                            </m:ctrlPr>
                          </m:e>
                        </m:d>
                        <m:ctrlPr>
                          <w:rPr>
                            <w:rFonts w:hint="default" w:ascii="Cambria Math" w:hAnsi="Cambria Math" w:eastAsia="sans-serif"/>
                            <w:i/>
                            <w:sz w:val="24"/>
                          </w:rPr>
                        </m:ctrlPr>
                      </m:e>
                    </m:func>
                    <m:ctrlPr>
                      <w:rPr>
                        <w:rFonts w:hint="default" w:ascii="Cambria Math" w:hAnsi="Cambria Math" w:eastAsia="sans-serif"/>
                        <w:sz w:val="24"/>
                      </w:rPr>
                    </m:ctrlPr>
                  </m:num>
                  <m:den>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k=0</m:t>
                        </m:r>
                        <m:ctrlPr>
                          <w:rPr>
                            <w:rFonts w:hint="default" w:ascii="Cambria Math" w:hAnsi="Cambria Math" w:eastAsia="sans-serif"/>
                            <w:i/>
                            <w:sz w:val="24"/>
                          </w:rPr>
                        </m:ctrlPr>
                      </m:sub>
                      <m:sup>
                        <m:r>
                          <m:rPr/>
                          <w:rPr>
                            <w:rFonts w:hint="default" w:ascii="Cambria Math" w:hAnsi="Cambria Math" w:eastAsia="sans-serif"/>
                            <w:sz w:val="24"/>
                          </w:rPr>
                          <m:t>T−1</m:t>
                        </m:r>
                        <m:ctrlPr>
                          <w:rPr>
                            <w:rFonts w:hint="default" w:ascii="Cambria Math" w:hAnsi="Cambria Math" w:eastAsia="sans-serif"/>
                            <w:i/>
                            <w:sz w:val="24"/>
                          </w:rPr>
                        </m:ctrlPr>
                      </m:sup>
                      <m:e>
                        <m:func>
                          <m:funcPr>
                            <m:ctrlPr>
                              <w:rPr>
                                <w:rFonts w:hint="default" w:ascii="Cambria Math" w:hAnsi="Cambria Math" w:eastAsia="sans-serif"/>
                                <w:sz w:val="24"/>
                              </w:rPr>
                            </m:ctrlPr>
                          </m:funcPr>
                          <m:fName>
                            <m:r>
                              <m:rPr>
                                <m:sty m:val="p"/>
                              </m:rPr>
                              <w:rPr>
                                <w:rFonts w:hint="default" w:ascii="Cambria Math" w:hAnsi="Cambria Math" w:eastAsia="sans-serif"/>
                                <w:sz w:val="24"/>
                              </w:rPr>
                              <m:t>exp</m:t>
                            </m:r>
                            <m:ctrlPr>
                              <w:rPr>
                                <w:rFonts w:hint="default" w:ascii="Cambria Math" w:hAnsi="Cambria Math" w:eastAsia="sans-serif"/>
                                <w:i/>
                                <w:sz w:val="24"/>
                              </w:rPr>
                            </m:ctrlPr>
                          </m:fName>
                          <m:e>
                            <m:d>
                              <m:dPr>
                                <m:ctrlPr>
                                  <w:rPr>
                                    <w:rFonts w:hint="default" w:ascii="Cambria Math" w:hAnsi="Cambria Math" w:eastAsia="sans-serif"/>
                                    <w:i/>
                                    <w:sz w:val="24"/>
                                  </w:rPr>
                                </m:ctrlPr>
                              </m:dPr>
                              <m:e>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(k−</m:t>
                                    </m:r>
                                    <m:sSub>
                                      <m:sSubPr>
                                        <m:ctrlPr>
                                          <w:rPr>
                                            <w:rFonts w:hint="default" w:ascii="Cambria Math" w:hAnsi="Cambria Math" w:eastAsia="sans-serif"/>
                                            <w:sz w:val="24"/>
                                          </w:rPr>
                                        </m:ctrlPr>
                                      </m:sSubPr>
                                      <m:e>
                                        <m:acc>
                                          <m:accPr>
                                            <m:chr m:val="̄"/>
                                            <m:ctrlPr>
                                              <w:rPr>
                                                <w:rFonts w:hint="default" w:ascii="Cambria Math" w:hAnsi="Cambria Math" w:eastAsia="sans-serif"/>
                                                <w:sz w:val="24"/>
                                              </w:rPr>
                                            </m:ctrlPr>
                                          </m:accPr>
                                          <m:e>
                                            <m:r>
                                              <m:rPr/>
                                              <w:rPr>
                                                <w:rFonts w:hint="default" w:ascii="Cambria Math" w:hAnsi="Cambria Math" w:eastAsia="sans-serif"/>
                                                <w:sz w:val="24"/>
                                              </w:rPr>
                                              <m:t>t</m:t>
                                            </m:r>
                                            <m:ctrlPr>
                                              <w:rPr>
                                                <w:rFonts w:ascii="Cambria Math" w:hAnsi="Cambria Math" w:eastAsia="sans-serif"/>
                                                <w:sz w:val="24"/>
                                              </w:rPr>
                                            </m:ctrlPr>
                                          </m:e>
                                        </m:acc>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sSup>
                                      <m:sSupPr>
                                        <m:ctrlPr>
                                          <w:rPr>
                                            <w:rFonts w:hint="default" w:ascii="Cambria Math" w:hAnsi="Cambria Math" w:eastAsia="sans-serif"/>
                                            <w:sz w:val="24"/>
                                          </w:rPr>
                                        </m:ctrlPr>
                                      </m:sSupPr>
                                      <m:e>
                                        <m:r>
                                          <m:rPr/>
                                          <w:rPr>
                                            <w:rFonts w:hint="default" w:ascii="Cambria Math" w:hAnsi="Cambria Math" w:eastAsia="sans-serif"/>
                                            <w:sz w:val="24"/>
                                          </w:rPr>
                                          <m:t>)</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ctrlPr>
                                      <w:rPr>
                                        <w:rFonts w:hint="default" w:ascii="Cambria Math" w:hAnsi="Cambria Math" w:eastAsia="sans-serif"/>
                                        <w:sz w:val="24"/>
                                      </w:rPr>
                                    </m:ctrlPr>
                                  </m:num>
                                  <m:den>
                                    <m:r>
                                      <m:rPr/>
                                      <w:rPr>
                                        <w:rFonts w:hint="default" w:ascii="Cambria Math" w:hAnsi="Cambria Math" w:eastAsia="sans-serif"/>
                                        <w:sz w:val="24"/>
                                      </w:rPr>
                                      <m:t>2</m:t>
                                    </m:r>
                                    <m:sSup>
                                      <m:sSupPr>
                                        <m:ctrlPr>
                                          <w:rPr>
                                            <w:rFonts w:hint="default" w:ascii="Cambria Math" w:hAnsi="Cambria Math" w:eastAsia="sans-serif"/>
                                            <w:sz w:val="24"/>
                                          </w:rPr>
                                        </m:ctrlPr>
                                      </m:sSupPr>
                                      <m:e>
                                        <m:r>
                                          <m:rPr/>
                                          <w:rPr>
                                            <w:rFonts w:hint="default" w:ascii="Cambria Math" w:hAnsi="Cambria Math" w:eastAsia="sans-serif"/>
                                            <w:sz w:val="24"/>
                                          </w:rPr>
                                          <m:t>ς</m:t>
                                        </m:r>
                                        <m:ctrlPr>
                                          <w:rPr>
                                            <w:rFonts w:hint="default" w:ascii="Cambria Math" w:hAnsi="Cambria Math" w:eastAsia="sans-serif"/>
                                            <w:sz w:val="24"/>
                                          </w:rPr>
                                        </m:ctrlPr>
                                      </m:e>
                                      <m:sup>
                                        <m:r>
                                          <m:rPr/>
                                          <w:rPr>
                                            <w:rFonts w:hint="default" w:ascii="Cambria Math" w:hAnsi="Cambria Math" w:eastAsia="sans-serif"/>
                                            <w:sz w:val="24"/>
                                          </w:rPr>
                                          <m:t>2</m:t>
                                        </m:r>
                                        <m:ctrlPr>
                                          <w:rPr>
                                            <w:rFonts w:hint="default" w:ascii="Cambria Math" w:hAnsi="Cambria Math" w:eastAsia="sans-serif"/>
                                            <w:sz w:val="24"/>
                                          </w:rPr>
                                        </m:ctrlPr>
                                      </m:sup>
                                    </m:sSup>
                                    <m:r>
                                      <m:rPr/>
                                      <w:rPr>
                                        <w:rFonts w:hint="default" w:ascii="Cambria Math" w:hAnsi="Cambria Math" w:eastAsia="sans-serif"/>
                                        <w:sz w:val="24"/>
                                      </w:rPr>
                                      <m:t> τ</m:t>
                                    </m:r>
                                    <m:ctrlPr>
                                      <w:rPr>
                                        <w:rFonts w:hint="default" w:ascii="Cambria Math" w:hAnsi="Cambria Math" w:eastAsia="sans-serif"/>
                                        <w:sz w:val="24"/>
                                      </w:rPr>
                                    </m:ctrlPr>
                                  </m:den>
                                </m:f>
                                <m:ctrlPr>
                                  <w:rPr>
                                    <w:rFonts w:hint="default" w:ascii="Cambria Math" w:hAnsi="Cambria Math" w:eastAsia="sans-serif"/>
                                    <w:i/>
                                    <w:sz w:val="24"/>
                                  </w:rPr>
                                </m:ctrlPr>
                              </m:e>
                            </m:d>
                            <m:ctrlPr>
                              <w:rPr>
                                <w:rFonts w:hint="default" w:ascii="Cambria Math" w:hAnsi="Cambria Math" w:eastAsia="sans-serif"/>
                                <w:i/>
                                <w:sz w:val="24"/>
                              </w:rPr>
                            </m:ctrlPr>
                          </m:e>
                        </m:func>
                        <m:ctrlPr>
                          <w:rPr>
                            <w:rFonts w:hint="default" w:ascii="Cambria Math" w:hAnsi="Cambria Math" w:eastAsia="sans-serif"/>
                            <w:sz w:val="24"/>
                          </w:rPr>
                        </m:ctrlPr>
                      </m:e>
                    </m:nary>
                    <m:ctrlPr>
                      <w:rPr>
                        <w:rFonts w:hint="default" w:ascii="Cambria Math" w:hAnsi="Cambria Math" w:eastAsia="sans-serif"/>
                        <w:i/>
                        <w:sz w:val="24"/>
                      </w:rPr>
                    </m:ctrlPr>
                  </m:den>
                </m:f>
              </m:oMath>
            </m:oMathPara>
          </w:p>
          <w:p w14:paraId="7E3129EA">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 xml:space="preserve">其中 </w:t>
            </w:r>
            <m:oMath>
              <m:r>
                <m:rPr/>
                <w:rPr>
                  <w:rFonts w:hint="default" w:ascii="Cambria Math" w:hAnsi="Cambria Math" w:eastAsia="sans-serif"/>
                </w:rPr>
                <m:t>t∈{0,…,T−1}</m:t>
              </m:r>
            </m:oMath>
            <w:r>
              <w:rPr>
                <w:rFonts w:hint="default" w:ascii="sans-serif" w:hAnsi="sans-serif" w:eastAsia="sans-serif" w:cs="sans-serif"/>
              </w:rPr>
              <w:t>，</w:t>
            </w:r>
            <m:oMath>
              <m:r>
                <m:rPr/>
                <w:rPr>
                  <w:rFonts w:hint="default" w:ascii="Cambria Math" w:hAnsi="Cambria Math" w:eastAsia="sans-serif"/>
                </w:rPr>
                <m:t>T</m:t>
              </m:r>
            </m:oMath>
            <w:r>
              <w:rPr>
                <w:rFonts w:hint="default" w:ascii="sans-serif" w:hAnsi="sans-serif" w:eastAsia="sans-serif" w:cs="sans-serif"/>
              </w:rPr>
              <w:t xml:space="preserve"> 为最大扩散步数。</w:t>
            </w:r>
          </w:p>
          <w:p w14:paraId="2D0439F6">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3. 基于单位超球面的对比排序损失公式（多任务优化模块）：</w:t>
            </w:r>
          </w:p>
          <w:p w14:paraId="6FC1D165">
            <w:pPr>
              <w:pStyle w:val="6"/>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将去噪表征与候选物品投影至单位超球面后，利用余弦相似度（正样本相似度</w:t>
            </w:r>
            <m:oMath>
              <m:sSub>
                <m:sSubPr>
                  <m:ctrlPr>
                    <w:rPr>
                      <w:rFonts w:hint="default" w:ascii="Cambria Math" w:hAnsi="Cambria Math" w:eastAsia="sans-serif"/>
                    </w:rPr>
                  </m:ctrlPr>
                </m:sSubPr>
                <m:e>
                  <m:r>
                    <m:rPr/>
                    <w:rPr>
                      <w:rFonts w:hint="default" w:ascii="Cambria Math" w:hAnsi="Cambria Math" w:eastAsia="sans-serif"/>
                    </w:rPr>
                    <m:t>s</m:t>
                  </m:r>
                  <m:ctrlPr>
                    <w:rPr>
                      <w:rFonts w:ascii="Cambria Math" w:hAnsi="Cambria Math" w:eastAsia="sans-serif"/>
                    </w:rPr>
                  </m:ctrlPr>
                </m:e>
                <m:sub>
                  <m:r>
                    <m:rPr>
                      <m:sty m:val="p"/>
                    </m:rPr>
                    <w:rPr>
                      <w:rFonts w:hint="default" w:ascii="Cambria Math" w:hAnsi="Cambria Math" w:eastAsia="sans-serif"/>
                    </w:rPr>
                    <m:t>pos</m:t>
                  </m:r>
                  <m:ctrlPr>
                    <w:rPr>
                      <w:rFonts w:ascii="Cambria Math" w:hAnsi="Cambria Math" w:eastAsia="sans-serif"/>
                    </w:rPr>
                  </m:ctrlPr>
                </m:sub>
              </m:sSub>
            </m:oMath>
            <w:r>
              <w:rPr>
                <w:rFonts w:hint="default" w:ascii="sans-serif" w:hAnsi="sans-serif" w:eastAsia="sans-serif" w:cs="sans-serif"/>
              </w:rPr>
              <w:t xml:space="preserve"> 和负样本相似度 </w:t>
            </w:r>
            <m:oMath>
              <m:sSub>
                <m:sSubPr>
                  <m:ctrlPr>
                    <w:rPr>
                      <w:rFonts w:hint="default" w:ascii="Cambria Math" w:hAnsi="Cambria Math" w:eastAsia="sans-serif"/>
                    </w:rPr>
                  </m:ctrlPr>
                </m:sSubPr>
                <m:e>
                  <m:r>
                    <m:rPr/>
                    <w:rPr>
                      <w:rFonts w:hint="default" w:ascii="Cambria Math" w:hAnsi="Cambria Math" w:eastAsia="sans-serif"/>
                    </w:rPr>
                    <m:t>s</m:t>
                  </m:r>
                  <m:ctrlPr>
                    <w:rPr>
                      <w:rFonts w:ascii="Cambria Math" w:hAnsi="Cambria Math" w:eastAsia="sans-serif"/>
                    </w:rPr>
                  </m:ctrlPr>
                </m:e>
                <m:sub>
                  <m:r>
                    <m:rPr>
                      <m:sty m:val="p"/>
                    </m:rPr>
                    <w:rPr>
                      <w:rFonts w:hint="default" w:ascii="Cambria Math" w:hAnsi="Cambria Math" w:eastAsia="sans-serif"/>
                    </w:rPr>
                    <m:t>neg</m:t>
                  </m:r>
                  <m:r>
                    <m:rPr/>
                    <w:rPr>
                      <w:rFonts w:hint="default" w:ascii="Cambria Math" w:hAnsi="Cambria Math" w:eastAsia="sans-serif"/>
                    </w:rPr>
                    <m:t>,k</m:t>
                  </m:r>
                  <m:ctrlPr>
                    <w:rPr>
                      <w:rFonts w:ascii="Cambria Math" w:hAnsi="Cambria Math" w:eastAsia="sans-serif"/>
                    </w:rPr>
                  </m:ctrlPr>
                </m:sub>
              </m:sSub>
              <m:r>
                <m:rPr>
                  <m:sty m:val="p"/>
                </m:rPr>
                <w:rPr>
                  <w:rFonts w:hint="default" w:ascii="Cambria Math" w:hAnsi="Cambria Math" w:eastAsia="sans-serif"/>
                </w:rPr>
                <m:t>）</m:t>
              </m:r>
            </m:oMath>
            <w:r>
              <w:rPr>
                <w:rFonts w:hint="default" w:ascii="sans-serif" w:hAnsi="sans-serif" w:eastAsia="sans-serif" w:cs="sans-serif"/>
              </w:rPr>
              <w:t>构建贝叶斯个性化排序损失：</w:t>
            </w:r>
          </w:p>
          <w:p w14:paraId="1260A322">
            <w:pPr>
              <w:pStyle w:val="6"/>
              <w:keepNext w:val="0"/>
              <w:keepLines w:val="0"/>
              <w:widowControl/>
              <w:suppressLineNumbers w:val="0"/>
              <w:spacing w:before="0" w:beforeAutospacing="0" w:line="12" w:lineRule="atLeast"/>
              <w:rPr>
                <w:rFonts w:hint="default" w:ascii="sans-serif" w:hAnsi="sans-serif" w:eastAsia="sans-serif" w:cs="sans-serif"/>
              </w:rPr>
            </w:pPr>
            <m:oMath>
              <m:sSub>
                <m:sSubPr>
                  <m:ctrlPr>
                    <w:rPr>
                      <w:rFonts w:hint="default" w:ascii="Cambria Math" w:hAnsi="Cambria Math" w:eastAsia="sans-serif"/>
                      <w:sz w:val="24"/>
                    </w:rPr>
                  </m:ctrlPr>
                </m:sSubPr>
                <m:e>
                  <m:r>
                    <m:rPr>
                      <m:scr m:val="script"/>
                    </m:rPr>
                    <w:rPr>
                      <w:rFonts w:hint="default" w:ascii="Cambria Math" w:hAnsi="Cambria Math" w:eastAsia="MS Mincho"/>
                      <w:sz w:val="24"/>
                    </w:rPr>
                    <m:t>ℒ</m:t>
                  </m:r>
                  <m:ctrlPr>
                    <w:rPr>
                      <w:rFonts w:ascii="Cambria Math" w:hAnsi="Cambria Math" w:eastAsia="sans-serif"/>
                      <w:sz w:val="24"/>
                    </w:rPr>
                  </m:ctrlPr>
                </m:e>
                <m:sub>
                  <m:r>
                    <m:rPr>
                      <m:sty m:val="p"/>
                    </m:rPr>
                    <w:rPr>
                      <w:rFonts w:hint="default" w:ascii="Cambria Math" w:hAnsi="Cambria Math" w:eastAsia="sans-serif"/>
                      <w:sz w:val="24"/>
                    </w:rPr>
                    <m:t>rank</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m:t>
                  </m:r>
                  <m:ctrlPr>
                    <w:rPr>
                      <w:rFonts w:ascii="Cambria Math" w:hAnsi="Cambria Math" w:eastAsia="sans-serif"/>
                      <w:sz w:val="24"/>
                    </w:rPr>
                  </m:ctrlPr>
                </m:num>
                <m:den>
                  <m:r>
                    <m:rPr/>
                    <w:rPr>
                      <w:rFonts w:hint="default" w:ascii="Cambria Math" w:hAnsi="Cambria Math" w:eastAsia="sans-serif"/>
                      <w:sz w:val="24"/>
                    </w:rPr>
                    <m:t>|</m:t>
                  </m:r>
                  <m:r>
                    <m:rPr>
                      <m:scr m:val="script"/>
                    </m:rPr>
                    <w:rPr>
                      <w:rFonts w:hint="default" w:ascii="Cambria Math" w:hAnsi="Cambria Math" w:eastAsia="MS Mincho"/>
                      <w:sz w:val="24"/>
                    </w:rPr>
                    <m:t>ℬ</m:t>
                  </m:r>
                  <m:r>
                    <m:rPr/>
                    <w:rPr>
                      <w:rFonts w:hint="default" w:ascii="Cambria Math" w:hAnsi="Cambria Math" w:eastAsia="sans-serif"/>
                      <w:sz w:val="24"/>
                    </w:rPr>
                    <m:t>|LK</m:t>
                  </m:r>
                  <m:ctrlPr>
                    <w:rPr>
                      <w:rFonts w:ascii="Cambria Math" w:hAnsi="Cambria Math" w:eastAsia="sans-serif"/>
                      <w:sz w:val="24"/>
                    </w:rPr>
                  </m:ctrlPr>
                </m:den>
              </m:f>
              <m:nary>
                <m:naryPr>
                  <m:chr m:val="∑"/>
                  <m:limLoc m:val="undOvr"/>
                  <m:supHide m:val="1"/>
                  <m:ctrlPr>
                    <w:rPr>
                      <w:rFonts w:hint="default" w:ascii="Cambria Math" w:hAnsi="Cambria Math" w:eastAsia="sans-serif"/>
                      <w:i/>
                      <w:sz w:val="24"/>
                    </w:rPr>
                  </m:ctrlPr>
                </m:naryPr>
                <m:sub>
                  <m:r>
                    <m:rPr/>
                    <w:rPr>
                      <w:rFonts w:hint="default" w:ascii="Cambria Math" w:hAnsi="Cambria Math" w:eastAsia="sans-serif"/>
                      <w:sz w:val="24"/>
                    </w:rPr>
                    <m:t>b∈</m:t>
                  </m:r>
                  <m:r>
                    <m:rPr>
                      <m:scr m:val="script"/>
                    </m:rPr>
                    <w:rPr>
                      <w:rFonts w:hint="default" w:ascii="Cambria Math" w:hAnsi="Cambria Math" w:eastAsia="MS Mincho"/>
                      <w:sz w:val="24"/>
                    </w:rPr>
                    <m:t>ℬ</m:t>
                  </m:r>
                  <m:ctrlPr>
                    <w:rPr>
                      <w:rFonts w:ascii="Cambria Math" w:hAnsi="Cambria Math" w:eastAsia="sans-serif"/>
                      <w:sz w:val="24"/>
                    </w:rPr>
                  </m:ctrlPr>
                </m:sub>
                <m:sup>
                  <m:ctrlPr>
                    <w:rPr>
                      <w:rFonts w:ascii="Cambria Math" w:hAnsi="Cambria Math" w:eastAsia="sans-serif"/>
                      <w:sz w:val="24"/>
                    </w:rPr>
                  </m:ctrlPr>
                </m:sup>
                <m:e>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L</m:t>
                      </m:r>
                      <m:ctrlPr>
                        <w:rPr>
                          <w:rFonts w:ascii="Cambria Math" w:hAnsi="Cambria Math" w:eastAsia="sans-serif"/>
                          <w:sz w:val="24"/>
                        </w:rPr>
                      </m:ctrlPr>
                    </m:sup>
                    <m:e>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k=1</m:t>
                          </m:r>
                          <m:ctrlPr>
                            <w:rPr>
                              <w:rFonts w:ascii="Cambria Math" w:hAnsi="Cambria Math" w:eastAsia="sans-serif"/>
                              <w:sz w:val="24"/>
                            </w:rPr>
                          </m:ctrlPr>
                        </m:sub>
                        <m:sup>
                          <m:r>
                            <m:rPr/>
                            <w:rPr>
                              <w:rFonts w:hint="default" w:ascii="Cambria Math" w:hAnsi="Cambria Math" w:eastAsia="sans-serif"/>
                              <w:sz w:val="24"/>
                            </w:rPr>
                            <m:t>K</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m</m:t>
                              </m:r>
                              <m:ctrlPr>
                                <w:rPr>
                                  <w:rFonts w:ascii="Cambria Math" w:hAnsi="Cambria Math" w:eastAsia="sans-serif"/>
                                  <w:sz w:val="24"/>
                                </w:rPr>
                              </m:ctrlPr>
                            </m:e>
                            <m:sub>
                              <m:r>
                                <m:rPr/>
                                <w:rPr>
                                  <w:rFonts w:hint="default" w:ascii="Cambria Math" w:hAnsi="Cambria Math" w:eastAsia="sans-serif"/>
                                  <w:sz w:val="24"/>
                                </w:rPr>
                                <m:t>b,i</m:t>
                              </m:r>
                              <m:ctrlPr>
                                <w:rPr>
                                  <w:rFonts w:ascii="Cambria Math" w:hAnsi="Cambria Math" w:eastAsia="sans-serif"/>
                                  <w:sz w:val="24"/>
                                </w:rPr>
                              </m:ctrlPr>
                            </m:sub>
                          </m:sSub>
                          <m:ctrlPr>
                            <w:rPr>
                              <w:rFonts w:hint="default" w:ascii="Cambria Math" w:hAnsi="Cambria Math" w:eastAsia="sans-serif"/>
                              <w:sz w:val="24"/>
                            </w:rPr>
                          </m:ctrlPr>
                        </m:e>
                      </m:nary>
                      <m:ctrlPr>
                        <w:rPr>
                          <w:rFonts w:hint="default" w:ascii="Cambria Math" w:hAnsi="Cambria Math" w:eastAsia="sans-serif"/>
                          <w:i/>
                          <w:sz w:val="24"/>
                        </w:rPr>
                      </m:ctrlPr>
                    </m:e>
                  </m:nary>
                  <m:ctrlPr>
                    <w:rPr>
                      <w:rFonts w:hint="default" w:ascii="Cambria Math" w:hAnsi="Cambria Math" w:eastAsia="sans-serif"/>
                      <w:i/>
                      <w:sz w:val="24"/>
                    </w:rPr>
                  </m:ctrlPr>
                </m:e>
              </m:nary>
              <m:func>
                <m:funcPr>
                  <m:ctrlPr>
                    <w:rPr>
                      <w:rFonts w:hint="default" w:ascii="Cambria Math" w:hAnsi="Cambria Math" w:eastAsia="sans-serif"/>
                      <w:sz w:val="24"/>
                    </w:rPr>
                  </m:ctrlPr>
                </m:funcPr>
                <m:fName>
                  <m:r>
                    <m:rPr>
                      <m:sty m:val="p"/>
                    </m:rPr>
                    <w:rPr>
                      <w:rFonts w:hint="default" w:ascii="Cambria Math" w:hAnsi="Cambria Math" w:eastAsia="sans-serif"/>
                      <w:sz w:val="24"/>
                    </w:rPr>
                    <m:t>log</m:t>
                  </m:r>
                  <m:ctrlPr>
                    <w:rPr>
                      <w:rFonts w:hint="default" w:ascii="Cambria Math" w:hAnsi="Cambria Math" w:eastAsia="sans-serif"/>
                      <w:i/>
                      <w:sz w:val="24"/>
                    </w:rPr>
                  </m:ctrlPr>
                </m:fName>
                <m:e>
                  <m:r>
                    <m:rPr/>
                    <w:rPr>
                      <w:rFonts w:hint="default" w:ascii="Cambria Math" w:hAnsi="Cambria Math" w:eastAsia="sans-serif"/>
                      <w:sz w:val="24"/>
                    </w:rPr>
                    <m:t>σ</m:t>
                  </m:r>
                  <m:ctrlPr>
                    <w:rPr>
                      <w:rFonts w:hint="default" w:ascii="Cambria Math" w:hAnsi="Cambria Math" w:eastAsia="sans-serif"/>
                      <w:i/>
                      <w:sz w:val="24"/>
                    </w:rPr>
                  </m:ctrlPr>
                </m:e>
              </m:func>
              <m:r>
                <m:rPr/>
                <w:rPr>
                  <w:rFonts w:hint="default" w:ascii="Cambria Math" w:hAnsi="Cambria Math" w:eastAsia="sans-serif"/>
                  <w:sz w:val="24"/>
                </w:rPr>
                <m:t>(</m:t>
              </m:r>
              <m:sSubSup>
                <m:sSubSupPr>
                  <m:ctrlPr>
                    <w:rPr>
                      <w:rFonts w:hint="default" w:ascii="Cambria Math" w:hAnsi="Cambria Math" w:eastAsia="sans-serif"/>
                      <w:sz w:val="24"/>
                    </w:rPr>
                  </m:ctrlPr>
                </m:sSubSupPr>
                <m:e>
                  <m:r>
                    <m:rPr/>
                    <w:rPr>
                      <w:rFonts w:hint="default" w:ascii="Cambria Math" w:hAnsi="Cambria Math" w:eastAsia="sans-serif"/>
                      <w:sz w:val="24"/>
                    </w:rPr>
                    <m:t>s</m:t>
                  </m:r>
                  <m:ctrlPr>
                    <w:rPr>
                      <w:rFonts w:hint="default" w:ascii="Cambria Math" w:hAnsi="Cambria Math" w:eastAsia="sans-serif"/>
                      <w:i/>
                      <w:sz w:val="24"/>
                    </w:rPr>
                  </m:ctrlPr>
                </m:e>
                <m:sub>
                  <m:r>
                    <m:rPr>
                      <m:sty m:val="p"/>
                    </m:rPr>
                    <w:rPr>
                      <w:rFonts w:hint="default" w:ascii="Cambria Math" w:hAnsi="Cambria Math" w:eastAsia="sans-serif"/>
                      <w:sz w:val="24"/>
                    </w:rPr>
                    <m:t>pos</m:t>
                  </m:r>
                  <m:ctrlPr>
                    <w:rPr>
                      <w:rFonts w:hint="default" w:ascii="Cambria Math" w:hAnsi="Cambria Math" w:eastAsia="sans-serif"/>
                      <w:i/>
                      <w:sz w:val="24"/>
                    </w:rPr>
                  </m:ctrlPr>
                </m:sub>
                <m:sup>
                  <m:r>
                    <m:rPr/>
                    <w:rPr>
                      <w:rFonts w:hint="default" w:ascii="Cambria Math" w:hAnsi="Cambria Math" w:eastAsia="sans-serif"/>
                      <w:sz w:val="24"/>
                    </w:rPr>
                    <m:t>(b,i)</m:t>
                  </m:r>
                  <m:ctrlPr>
                    <w:rPr>
                      <w:rFonts w:hint="default" w:ascii="Cambria Math" w:hAnsi="Cambria Math" w:eastAsia="sans-serif"/>
                      <w:i/>
                      <w:sz w:val="24"/>
                    </w:rPr>
                  </m:ctrlPr>
                </m:sup>
              </m:sSubSup>
              <m:r>
                <m:rPr/>
                <w:rPr>
                  <w:rFonts w:hint="default" w:ascii="Cambria Math" w:hAnsi="Cambria Math" w:eastAsia="sans-serif"/>
                  <w:sz w:val="24"/>
                </w:rPr>
                <m:t>−</m:t>
              </m:r>
              <m:sSubSup>
                <m:sSubSupPr>
                  <m:ctrlPr>
                    <w:rPr>
                      <w:rFonts w:hint="default" w:ascii="Cambria Math" w:hAnsi="Cambria Math" w:eastAsia="sans-serif"/>
                      <w:sz w:val="24"/>
                    </w:rPr>
                  </m:ctrlPr>
                </m:sSubSupPr>
                <m:e>
                  <m:r>
                    <m:rPr/>
                    <w:rPr>
                      <w:rFonts w:hint="default" w:ascii="Cambria Math" w:hAnsi="Cambria Math" w:eastAsia="sans-serif"/>
                      <w:sz w:val="24"/>
                    </w:rPr>
                    <m:t>s</m:t>
                  </m:r>
                  <m:ctrlPr>
                    <w:rPr>
                      <w:rFonts w:hint="default" w:ascii="Cambria Math" w:hAnsi="Cambria Math" w:eastAsia="sans-serif"/>
                      <w:i/>
                      <w:sz w:val="24"/>
                    </w:rPr>
                  </m:ctrlPr>
                </m:e>
                <m:sub>
                  <m:r>
                    <m:rPr>
                      <m:sty m:val="p"/>
                    </m:rPr>
                    <w:rPr>
                      <w:rFonts w:hint="default" w:ascii="Cambria Math" w:hAnsi="Cambria Math" w:eastAsia="sans-serif"/>
                      <w:sz w:val="24"/>
                    </w:rPr>
                    <m:t>neg</m:t>
                  </m:r>
                  <m:r>
                    <m:rPr/>
                    <w:rPr>
                      <w:rFonts w:hint="default" w:ascii="Cambria Math" w:hAnsi="Cambria Math" w:eastAsia="sans-serif"/>
                      <w:sz w:val="24"/>
                    </w:rPr>
                    <m:t>,k</m:t>
                  </m:r>
                  <m:ctrlPr>
                    <w:rPr>
                      <w:rFonts w:hint="default" w:ascii="Cambria Math" w:hAnsi="Cambria Math" w:eastAsia="sans-serif"/>
                      <w:i/>
                      <w:sz w:val="24"/>
                    </w:rPr>
                  </m:ctrlPr>
                </m:sub>
                <m:sup>
                  <m:r>
                    <m:rPr/>
                    <w:rPr>
                      <w:rFonts w:hint="default" w:ascii="Cambria Math" w:hAnsi="Cambria Math" w:eastAsia="sans-serif"/>
                      <w:sz w:val="24"/>
                    </w:rPr>
                    <m:t>(b,i)</m:t>
                  </m:r>
                  <m:ctrlPr>
                    <w:rPr>
                      <w:rFonts w:hint="default" w:ascii="Cambria Math" w:hAnsi="Cambria Math" w:eastAsia="sans-serif"/>
                      <w:i/>
                      <w:sz w:val="24"/>
                    </w:rPr>
                  </m:ctrlPr>
                </m:sup>
              </m:sSubSup>
              <m:r>
                <m:rPr/>
                <w:rPr>
                  <w:rFonts w:hint="default" w:ascii="Cambria Math" w:hAnsi="Cambria Math" w:eastAsia="sans-serif"/>
                  <w:sz w:val="24"/>
                </w:rPr>
                <m:t>)</m:t>
              </m:r>
            </m:oMath>
            <w:r>
              <w:rPr>
                <w:rFonts w:hint="default" w:ascii="sans-serif" w:hAnsi="sans-serif" w:eastAsia="sans-serif" w:cs="sans-serif"/>
              </w:rPr>
              <w:t xml:space="preserve">其中 </w:t>
            </w:r>
            <m:oMath>
              <m:r>
                <m:rPr>
                  <m:scr m:val="script"/>
                </m:rPr>
                <w:rPr>
                  <w:rFonts w:hint="default" w:ascii="Cambria Math" w:hAnsi="Cambria Math" w:eastAsia="MS Mincho"/>
                </w:rPr>
                <m:t>ℬ</m:t>
              </m:r>
            </m:oMath>
            <w:r>
              <w:rPr>
                <w:rFonts w:hint="default" w:ascii="sans-serif" w:hAnsi="sans-serif" w:eastAsia="sans-serif" w:cs="sans-serif"/>
              </w:rPr>
              <w:t xml:space="preserve"> 表示批次集合，</w:t>
            </w:r>
            <m:oMath>
              <m:r>
                <m:rPr/>
                <w:rPr>
                  <w:rFonts w:hint="default" w:ascii="Cambria Math" w:hAnsi="Cambria Math" w:eastAsia="sans-serif"/>
                </w:rPr>
                <m:t>L</m:t>
              </m:r>
            </m:oMath>
            <w:r>
              <w:rPr>
                <w:rFonts w:hint="default" w:ascii="sans-serif" w:hAnsi="sans-serif" w:eastAsia="sans-serif" w:cs="sans-serif"/>
              </w:rPr>
              <w:t xml:space="preserve"> 为序列长度，</w:t>
            </w:r>
            <m:oMath>
              <m:r>
                <m:rPr/>
                <w:rPr>
                  <w:rFonts w:hint="default" w:ascii="Cambria Math" w:hAnsi="Cambria Math" w:eastAsia="sans-serif"/>
                </w:rPr>
                <m:t>K</m:t>
              </m:r>
            </m:oMath>
            <w:r>
              <w:rPr>
                <w:rFonts w:hint="default" w:ascii="sans-serif" w:hAnsi="sans-serif" w:eastAsia="sans-serif" w:cs="sans-serif"/>
              </w:rPr>
              <w:t xml:space="preserve"> 为负样本数量，</w:t>
            </w:r>
            <m:oMath>
              <m:sSub>
                <m:sSubPr>
                  <m:ctrlPr>
                    <w:rPr>
                      <w:rFonts w:hint="default" w:ascii="Cambria Math" w:hAnsi="Cambria Math" w:eastAsia="sans-serif"/>
                    </w:rPr>
                  </m:ctrlPr>
                </m:sSubPr>
                <m:e>
                  <m:r>
                    <m:rPr/>
                    <w:rPr>
                      <w:rFonts w:hint="default" w:ascii="Cambria Math" w:hAnsi="Cambria Math" w:eastAsia="sans-serif"/>
                    </w:rPr>
                    <m:t>m</m:t>
                  </m:r>
                  <m:ctrlPr>
                    <w:rPr>
                      <w:rFonts w:ascii="Cambria Math" w:hAnsi="Cambria Math" w:eastAsia="sans-serif"/>
                    </w:rPr>
                  </m:ctrlPr>
                </m:e>
                <m:sub>
                  <m:r>
                    <m:rPr/>
                    <w:rPr>
                      <w:rFonts w:hint="default" w:ascii="Cambria Math" w:hAnsi="Cambria Math" w:eastAsia="sans-serif"/>
                    </w:rPr>
                    <m:t>b,i</m:t>
                  </m:r>
                  <m:ctrlPr>
                    <w:rPr>
                      <w:rFonts w:ascii="Cambria Math" w:hAnsi="Cambria Math" w:eastAsia="sans-serif"/>
                    </w:rPr>
                  </m:ctrlPr>
                </m:sub>
              </m:sSub>
            </m:oMath>
            <w:r>
              <w:rPr>
                <w:rFonts w:hint="default" w:ascii="sans-serif" w:hAnsi="sans-serif" w:eastAsia="sans-serif" w:cs="sans-serif"/>
              </w:rPr>
              <w:t>为序列的有效掩码标识。</w:t>
            </w:r>
          </w:p>
          <w:p w14:paraId="1468FF20">
            <w:pPr>
              <w:jc w:val="center"/>
              <w:rPr>
                <w:rFonts w:hint="eastAsia" w:ascii="楷体_GB2312" w:eastAsia="楷体_GB2312" w:cs="宋体"/>
                <w:color w:val="FF0000"/>
                <w:szCs w:val="21"/>
              </w:rPr>
            </w:pPr>
          </w:p>
        </w:tc>
      </w:tr>
    </w:tbl>
    <w:p w14:paraId="2CBC2C85">
      <w:pPr>
        <w:rPr>
          <w:rFonts w:hint="eastAsia" w:ascii="楷体_GB2312" w:eastAsia="楷体_GB2312" w:cs="宋体"/>
          <w:color w:val="FF0000"/>
          <w:sz w:val="28"/>
          <w:szCs w:val="28"/>
        </w:rPr>
      </w:pPr>
    </w:p>
    <w:sectPr>
      <w:headerReference r:id="rId5" w:type="first"/>
      <w:footerReference r:id="rId8" w:type="first"/>
      <w:headerReference r:id="rId3" w:type="default"/>
      <w:footerReference r:id="rId6" w:type="default"/>
      <w:headerReference r:id="rId4" w:type="even"/>
      <w:footerReference r:id="rId7" w:type="even"/>
      <w:pgSz w:w="11906" w:h="16838"/>
      <w:pgMar w:top="2181" w:right="1418" w:bottom="1440"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sans-serif">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Mincho">
    <w:altName w:val="FFont-Family"/>
    <w:panose1 w:val="00000000000000000000"/>
    <w:charset w:val="00"/>
    <w:family w:val="auto"/>
    <w:pitch w:val="default"/>
    <w:sig w:usb0="00000000" w:usb1="00000000" w:usb2="00000000" w:usb3="00000000" w:csb0="00000000" w:csb1="00000000"/>
  </w:font>
  <w:font w:name="KSOFF9CBECC6">
    <w:panose1 w:val="02010609060101010101"/>
    <w:charset w:val="86"/>
    <w:family w:val="auto"/>
    <w:pitch w:val="default"/>
    <w:sig w:usb0="00000001"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Caligraphic">
    <w:altName w:val="FFont-Family"/>
    <w:panose1 w:val="00000000000000000000"/>
    <w:charset w:val="00"/>
    <w:family w:val="auto"/>
    <w:pitch w:val="default"/>
    <w:sig w:usb0="00000000" w:usb1="00000000" w:usb2="00000000" w:usb3="00000000" w:csb0="00000000" w:csb1="00000000"/>
  </w:font>
  <w:font w:name="KaTeX_Size4">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BF4B3">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3</w:t>
    </w:r>
    <w:r>
      <w:fldChar w:fldCharType="end"/>
    </w:r>
  </w:p>
  <w:p w14:paraId="28303920">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B7A11">
    <w:pPr>
      <w:pStyle w:val="4"/>
      <w:framePr w:wrap="around" w:vAnchor="text" w:hAnchor="margin" w:xAlign="center" w:y="1"/>
      <w:rPr>
        <w:rStyle w:val="10"/>
      </w:rPr>
    </w:pPr>
    <w:r>
      <w:fldChar w:fldCharType="begin"/>
    </w:r>
    <w:r>
      <w:rPr>
        <w:rStyle w:val="10"/>
      </w:rPr>
      <w:instrText xml:space="preserve">PAGE  </w:instrText>
    </w:r>
    <w:r>
      <w:fldChar w:fldCharType="end"/>
    </w:r>
  </w:p>
  <w:p w14:paraId="4239F07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C444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19FB4">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D56B7">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582C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4210A7"/>
    <w:multiLevelType w:val="multilevel"/>
    <w:tmpl w:val="724210A7"/>
    <w:lvl w:ilvl="0" w:tentative="0">
      <w:start w:val="2"/>
      <w:numFmt w:val="bullet"/>
      <w:lvlText w:val="※"/>
      <w:lvlJc w:val="left"/>
      <w:pPr>
        <w:tabs>
          <w:tab w:val="left" w:pos="360"/>
        </w:tabs>
        <w:ind w:left="360" w:hanging="360"/>
      </w:pPr>
      <w:rPr>
        <w:rFonts w:hint="eastAsia" w:ascii="仿宋_GB2312" w:hAnsi="Times New Roman" w:eastAsia="仿宋_GB2312" w:cs="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EDA"/>
    <w:rsid w:val="00004C84"/>
    <w:rsid w:val="00016367"/>
    <w:rsid w:val="00040AB0"/>
    <w:rsid w:val="000426E4"/>
    <w:rsid w:val="00063ECA"/>
    <w:rsid w:val="000665AF"/>
    <w:rsid w:val="00066FF3"/>
    <w:rsid w:val="000840BA"/>
    <w:rsid w:val="0008508D"/>
    <w:rsid w:val="000956E0"/>
    <w:rsid w:val="000B0FB2"/>
    <w:rsid w:val="000B1D6C"/>
    <w:rsid w:val="000B3788"/>
    <w:rsid w:val="000C1F39"/>
    <w:rsid w:val="000C411F"/>
    <w:rsid w:val="000C729D"/>
    <w:rsid w:val="000D0F0F"/>
    <w:rsid w:val="000D6C5E"/>
    <w:rsid w:val="000E2307"/>
    <w:rsid w:val="000F10EE"/>
    <w:rsid w:val="000F30B4"/>
    <w:rsid w:val="000F5B23"/>
    <w:rsid w:val="00105147"/>
    <w:rsid w:val="0011596F"/>
    <w:rsid w:val="0012495D"/>
    <w:rsid w:val="001338AD"/>
    <w:rsid w:val="001352E1"/>
    <w:rsid w:val="0015550A"/>
    <w:rsid w:val="001625DB"/>
    <w:rsid w:val="00170BD7"/>
    <w:rsid w:val="0018710C"/>
    <w:rsid w:val="001A123B"/>
    <w:rsid w:val="001B00F3"/>
    <w:rsid w:val="001B2C04"/>
    <w:rsid w:val="001C16E3"/>
    <w:rsid w:val="001C7F9B"/>
    <w:rsid w:val="001E6E26"/>
    <w:rsid w:val="001F7B0A"/>
    <w:rsid w:val="001F7E56"/>
    <w:rsid w:val="0020283A"/>
    <w:rsid w:val="00206598"/>
    <w:rsid w:val="00206C17"/>
    <w:rsid w:val="002077A4"/>
    <w:rsid w:val="00207B28"/>
    <w:rsid w:val="00233D6F"/>
    <w:rsid w:val="00234BC6"/>
    <w:rsid w:val="00246876"/>
    <w:rsid w:val="002606D7"/>
    <w:rsid w:val="00273CF3"/>
    <w:rsid w:val="0028588A"/>
    <w:rsid w:val="00294994"/>
    <w:rsid w:val="00294E71"/>
    <w:rsid w:val="002951BC"/>
    <w:rsid w:val="002A39F7"/>
    <w:rsid w:val="002B0A10"/>
    <w:rsid w:val="002B56B1"/>
    <w:rsid w:val="002C0164"/>
    <w:rsid w:val="002D4DE1"/>
    <w:rsid w:val="002D7F9C"/>
    <w:rsid w:val="002E012C"/>
    <w:rsid w:val="002F2193"/>
    <w:rsid w:val="002F4CB6"/>
    <w:rsid w:val="00300090"/>
    <w:rsid w:val="00323DB2"/>
    <w:rsid w:val="00333647"/>
    <w:rsid w:val="00336B4E"/>
    <w:rsid w:val="00336E35"/>
    <w:rsid w:val="00336EE9"/>
    <w:rsid w:val="00345DB3"/>
    <w:rsid w:val="00350643"/>
    <w:rsid w:val="003526AB"/>
    <w:rsid w:val="00380B15"/>
    <w:rsid w:val="00395567"/>
    <w:rsid w:val="00397843"/>
    <w:rsid w:val="003A690F"/>
    <w:rsid w:val="003B6C77"/>
    <w:rsid w:val="003C413C"/>
    <w:rsid w:val="003D3825"/>
    <w:rsid w:val="003E1D52"/>
    <w:rsid w:val="003E2504"/>
    <w:rsid w:val="003F0517"/>
    <w:rsid w:val="003F274C"/>
    <w:rsid w:val="00422540"/>
    <w:rsid w:val="004237F2"/>
    <w:rsid w:val="00425387"/>
    <w:rsid w:val="00426CE7"/>
    <w:rsid w:val="00434D7C"/>
    <w:rsid w:val="00450624"/>
    <w:rsid w:val="004538A1"/>
    <w:rsid w:val="004605BC"/>
    <w:rsid w:val="0046204C"/>
    <w:rsid w:val="004654A9"/>
    <w:rsid w:val="00470865"/>
    <w:rsid w:val="00483161"/>
    <w:rsid w:val="00485B25"/>
    <w:rsid w:val="00487F06"/>
    <w:rsid w:val="00490974"/>
    <w:rsid w:val="004B3A4B"/>
    <w:rsid w:val="004C3B19"/>
    <w:rsid w:val="004C4673"/>
    <w:rsid w:val="004D688F"/>
    <w:rsid w:val="004E283D"/>
    <w:rsid w:val="004F0585"/>
    <w:rsid w:val="004F2F2D"/>
    <w:rsid w:val="004F430C"/>
    <w:rsid w:val="00503B30"/>
    <w:rsid w:val="00504375"/>
    <w:rsid w:val="00505434"/>
    <w:rsid w:val="00505D00"/>
    <w:rsid w:val="0052663A"/>
    <w:rsid w:val="005275AA"/>
    <w:rsid w:val="005549A6"/>
    <w:rsid w:val="00554D75"/>
    <w:rsid w:val="00570DC9"/>
    <w:rsid w:val="00576C56"/>
    <w:rsid w:val="0058115A"/>
    <w:rsid w:val="00582031"/>
    <w:rsid w:val="00590E3C"/>
    <w:rsid w:val="005A16B3"/>
    <w:rsid w:val="005A60C0"/>
    <w:rsid w:val="005C1ACC"/>
    <w:rsid w:val="005C2493"/>
    <w:rsid w:val="005D6DBA"/>
    <w:rsid w:val="005D7640"/>
    <w:rsid w:val="005D7B08"/>
    <w:rsid w:val="005E6A52"/>
    <w:rsid w:val="005F1894"/>
    <w:rsid w:val="006076B1"/>
    <w:rsid w:val="00613726"/>
    <w:rsid w:val="00613E1F"/>
    <w:rsid w:val="0061674F"/>
    <w:rsid w:val="006167BE"/>
    <w:rsid w:val="00624611"/>
    <w:rsid w:val="00631C7D"/>
    <w:rsid w:val="006423A3"/>
    <w:rsid w:val="00647A05"/>
    <w:rsid w:val="00652A54"/>
    <w:rsid w:val="00653D9D"/>
    <w:rsid w:val="00666A66"/>
    <w:rsid w:val="0067066F"/>
    <w:rsid w:val="00670990"/>
    <w:rsid w:val="00674EE6"/>
    <w:rsid w:val="006771E9"/>
    <w:rsid w:val="006944B8"/>
    <w:rsid w:val="006A6FD0"/>
    <w:rsid w:val="006B2914"/>
    <w:rsid w:val="006B5157"/>
    <w:rsid w:val="006B5978"/>
    <w:rsid w:val="006C3E99"/>
    <w:rsid w:val="006C67BC"/>
    <w:rsid w:val="006D381B"/>
    <w:rsid w:val="006D44C9"/>
    <w:rsid w:val="006F1CFD"/>
    <w:rsid w:val="006F3ADD"/>
    <w:rsid w:val="00701F3A"/>
    <w:rsid w:val="0070252D"/>
    <w:rsid w:val="007171EA"/>
    <w:rsid w:val="00723617"/>
    <w:rsid w:val="007324F0"/>
    <w:rsid w:val="0073331F"/>
    <w:rsid w:val="00741E2B"/>
    <w:rsid w:val="007454E1"/>
    <w:rsid w:val="007544DF"/>
    <w:rsid w:val="00785CD2"/>
    <w:rsid w:val="00791EDE"/>
    <w:rsid w:val="007A2C30"/>
    <w:rsid w:val="007B5008"/>
    <w:rsid w:val="007C4B0D"/>
    <w:rsid w:val="007D493B"/>
    <w:rsid w:val="007E192C"/>
    <w:rsid w:val="00800A7B"/>
    <w:rsid w:val="00802081"/>
    <w:rsid w:val="0080372B"/>
    <w:rsid w:val="0080696C"/>
    <w:rsid w:val="00817B30"/>
    <w:rsid w:val="00826772"/>
    <w:rsid w:val="00834AC5"/>
    <w:rsid w:val="0083740C"/>
    <w:rsid w:val="00837B77"/>
    <w:rsid w:val="00842E45"/>
    <w:rsid w:val="00846373"/>
    <w:rsid w:val="008515EE"/>
    <w:rsid w:val="00870050"/>
    <w:rsid w:val="00873EB3"/>
    <w:rsid w:val="008765BF"/>
    <w:rsid w:val="00891F65"/>
    <w:rsid w:val="008945DA"/>
    <w:rsid w:val="008A1740"/>
    <w:rsid w:val="008B12C6"/>
    <w:rsid w:val="008B1363"/>
    <w:rsid w:val="008B2389"/>
    <w:rsid w:val="008B5249"/>
    <w:rsid w:val="008C06FE"/>
    <w:rsid w:val="008C35D0"/>
    <w:rsid w:val="008E2912"/>
    <w:rsid w:val="008F0184"/>
    <w:rsid w:val="008F66E8"/>
    <w:rsid w:val="0090602E"/>
    <w:rsid w:val="00907B64"/>
    <w:rsid w:val="00911D63"/>
    <w:rsid w:val="00936E6F"/>
    <w:rsid w:val="00961254"/>
    <w:rsid w:val="00993C6D"/>
    <w:rsid w:val="00994072"/>
    <w:rsid w:val="009A1680"/>
    <w:rsid w:val="009B36E5"/>
    <w:rsid w:val="009B59CF"/>
    <w:rsid w:val="009D7A43"/>
    <w:rsid w:val="009E1544"/>
    <w:rsid w:val="009E2CE5"/>
    <w:rsid w:val="009E5AE6"/>
    <w:rsid w:val="009E6021"/>
    <w:rsid w:val="00A3436B"/>
    <w:rsid w:val="00A40EA6"/>
    <w:rsid w:val="00A412B5"/>
    <w:rsid w:val="00A53770"/>
    <w:rsid w:val="00A555FE"/>
    <w:rsid w:val="00A616C3"/>
    <w:rsid w:val="00A713CB"/>
    <w:rsid w:val="00A73E95"/>
    <w:rsid w:val="00A75652"/>
    <w:rsid w:val="00A82C61"/>
    <w:rsid w:val="00A93221"/>
    <w:rsid w:val="00AA14EC"/>
    <w:rsid w:val="00AB6A71"/>
    <w:rsid w:val="00AC298C"/>
    <w:rsid w:val="00AD1998"/>
    <w:rsid w:val="00AD586B"/>
    <w:rsid w:val="00AF46D8"/>
    <w:rsid w:val="00AF706D"/>
    <w:rsid w:val="00AF72BA"/>
    <w:rsid w:val="00B019B8"/>
    <w:rsid w:val="00B164B1"/>
    <w:rsid w:val="00B213EF"/>
    <w:rsid w:val="00B548B8"/>
    <w:rsid w:val="00B62C71"/>
    <w:rsid w:val="00B675CB"/>
    <w:rsid w:val="00B726C5"/>
    <w:rsid w:val="00B87FDA"/>
    <w:rsid w:val="00B9644B"/>
    <w:rsid w:val="00BA5492"/>
    <w:rsid w:val="00BA5A1E"/>
    <w:rsid w:val="00BB6C02"/>
    <w:rsid w:val="00BC60D8"/>
    <w:rsid w:val="00BD098E"/>
    <w:rsid w:val="00BD73CF"/>
    <w:rsid w:val="00BE052C"/>
    <w:rsid w:val="00BE0ACF"/>
    <w:rsid w:val="00BE4BFA"/>
    <w:rsid w:val="00BF01A7"/>
    <w:rsid w:val="00BF53CC"/>
    <w:rsid w:val="00BF5817"/>
    <w:rsid w:val="00C00007"/>
    <w:rsid w:val="00C01E15"/>
    <w:rsid w:val="00C21F8E"/>
    <w:rsid w:val="00C26B69"/>
    <w:rsid w:val="00C35A38"/>
    <w:rsid w:val="00C446D6"/>
    <w:rsid w:val="00C50E81"/>
    <w:rsid w:val="00C522F2"/>
    <w:rsid w:val="00C62F11"/>
    <w:rsid w:val="00C6447B"/>
    <w:rsid w:val="00C650EC"/>
    <w:rsid w:val="00C80275"/>
    <w:rsid w:val="00C808A7"/>
    <w:rsid w:val="00C813F4"/>
    <w:rsid w:val="00C862B9"/>
    <w:rsid w:val="00C9541D"/>
    <w:rsid w:val="00C95C94"/>
    <w:rsid w:val="00CB2535"/>
    <w:rsid w:val="00CC3BFE"/>
    <w:rsid w:val="00CD10F8"/>
    <w:rsid w:val="00CE2389"/>
    <w:rsid w:val="00CE42A6"/>
    <w:rsid w:val="00CE4951"/>
    <w:rsid w:val="00CF1C9C"/>
    <w:rsid w:val="00CF3EB5"/>
    <w:rsid w:val="00CF4C9B"/>
    <w:rsid w:val="00CF766F"/>
    <w:rsid w:val="00D0009E"/>
    <w:rsid w:val="00D00AF0"/>
    <w:rsid w:val="00D05F9A"/>
    <w:rsid w:val="00D06F6C"/>
    <w:rsid w:val="00D15063"/>
    <w:rsid w:val="00D162DE"/>
    <w:rsid w:val="00D16A5C"/>
    <w:rsid w:val="00D23CCB"/>
    <w:rsid w:val="00D3533A"/>
    <w:rsid w:val="00D500B4"/>
    <w:rsid w:val="00D52F94"/>
    <w:rsid w:val="00D60CD1"/>
    <w:rsid w:val="00D67620"/>
    <w:rsid w:val="00D76168"/>
    <w:rsid w:val="00D85D95"/>
    <w:rsid w:val="00D91991"/>
    <w:rsid w:val="00D94AB2"/>
    <w:rsid w:val="00DA351A"/>
    <w:rsid w:val="00DA4BC3"/>
    <w:rsid w:val="00DC4A32"/>
    <w:rsid w:val="00DD0727"/>
    <w:rsid w:val="00DD4309"/>
    <w:rsid w:val="00DD4B66"/>
    <w:rsid w:val="00DF2E2B"/>
    <w:rsid w:val="00E01DCB"/>
    <w:rsid w:val="00E0493B"/>
    <w:rsid w:val="00E15874"/>
    <w:rsid w:val="00E15EAC"/>
    <w:rsid w:val="00E3286A"/>
    <w:rsid w:val="00E36531"/>
    <w:rsid w:val="00E40538"/>
    <w:rsid w:val="00E61EDA"/>
    <w:rsid w:val="00E72E4F"/>
    <w:rsid w:val="00E75F7E"/>
    <w:rsid w:val="00EA2FBB"/>
    <w:rsid w:val="00EA6247"/>
    <w:rsid w:val="00EC07AC"/>
    <w:rsid w:val="00EC769D"/>
    <w:rsid w:val="00ED63D4"/>
    <w:rsid w:val="00EE1D95"/>
    <w:rsid w:val="00EE264B"/>
    <w:rsid w:val="00EE7A59"/>
    <w:rsid w:val="00EF2EF2"/>
    <w:rsid w:val="00F00006"/>
    <w:rsid w:val="00F00516"/>
    <w:rsid w:val="00F05F14"/>
    <w:rsid w:val="00F2043F"/>
    <w:rsid w:val="00F22BC4"/>
    <w:rsid w:val="00F30ED8"/>
    <w:rsid w:val="00F4477A"/>
    <w:rsid w:val="00F51CC1"/>
    <w:rsid w:val="00F65A33"/>
    <w:rsid w:val="00F70F7D"/>
    <w:rsid w:val="00F727E2"/>
    <w:rsid w:val="00F91D5E"/>
    <w:rsid w:val="00F95BF3"/>
    <w:rsid w:val="00F9671F"/>
    <w:rsid w:val="00FA1C45"/>
    <w:rsid w:val="00FB2509"/>
    <w:rsid w:val="00FC42BC"/>
    <w:rsid w:val="00FF4CD5"/>
    <w:rsid w:val="00FF5C68"/>
    <w:rsid w:val="0EC35276"/>
    <w:rsid w:val="11A958FA"/>
    <w:rsid w:val="17005FBC"/>
    <w:rsid w:val="1FFF5CE7"/>
    <w:rsid w:val="27942E59"/>
    <w:rsid w:val="3DB039E8"/>
    <w:rsid w:val="4367498F"/>
    <w:rsid w:val="507E7976"/>
    <w:rsid w:val="5258732C"/>
    <w:rsid w:val="5867350A"/>
    <w:rsid w:val="5D066D29"/>
    <w:rsid w:val="6D9D19DA"/>
    <w:rsid w:val="6DFA59E9"/>
    <w:rsid w:val="701E3DA1"/>
    <w:rsid w:val="71EA1783"/>
    <w:rsid w:val="7BB20C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12"/>
    <w:qFormat/>
    <w:uiPriority w:val="0"/>
    <w:pPr>
      <w:autoSpaceDE w:val="0"/>
      <w:autoSpaceDN w:val="0"/>
      <w:adjustRightInd w:val="0"/>
      <w:spacing w:before="240" w:after="120" w:line="360" w:lineRule="auto"/>
      <w:ind w:left="283" w:hanging="283"/>
      <w:outlineLvl w:val="0"/>
    </w:pPr>
    <w:rPr>
      <w:rFonts w:ascii="Arial" w:hAnsi="Arial"/>
      <w:b/>
      <w:kern w:val="0"/>
      <w:sz w:val="24"/>
      <w:szCs w:val="20"/>
    </w:rPr>
  </w:style>
  <w:style w:type="paragraph" w:styleId="3">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styleId="11">
    <w:name w:val="HTML Code"/>
    <w:basedOn w:val="9"/>
    <w:qFormat/>
    <w:uiPriority w:val="0"/>
    <w:rPr>
      <w:rFonts w:ascii="Courier New" w:hAnsi="Courier New"/>
      <w:sz w:val="20"/>
    </w:rPr>
  </w:style>
  <w:style w:type="character" w:customStyle="1" w:styleId="12">
    <w:name w:val=" Char Char4"/>
    <w:basedOn w:val="9"/>
    <w:link w:val="2"/>
    <w:qFormat/>
    <w:uiPriority w:val="0"/>
    <w:rPr>
      <w:rFonts w:ascii="Arial" w:hAnsi="Arial" w:eastAsia="宋体"/>
      <w:b/>
      <w:sz w:val="24"/>
      <w:lang w:val="en-US" w:eastAsia="zh-CN" w:bidi="ar-SA"/>
    </w:rPr>
  </w:style>
  <w:style w:type="paragraph" w:customStyle="1" w:styleId="13">
    <w:name w:val="编写建议"/>
    <w:basedOn w:val="1"/>
    <w:qFormat/>
    <w:uiPriority w:val="0"/>
    <w:pPr>
      <w:autoSpaceDE w:val="0"/>
      <w:autoSpaceDN w:val="0"/>
      <w:adjustRightInd w:val="0"/>
      <w:spacing w:line="360" w:lineRule="auto"/>
      <w:ind w:left="1134"/>
    </w:pPr>
    <w:rPr>
      <w:i/>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9861b4a5-6b17-4114-9d6a-ca236d8604ae}"/>
      </w:docPartPr>
      <w:docPartBody>
        <w:p w14:paraId="4C4A5C2D">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10</Pages>
  <Words>3174</Words>
  <Characters>3504</Characters>
  <Lines>4</Lines>
  <Paragraphs>1</Paragraphs>
  <TotalTime>15</TotalTime>
  <ScaleCrop>false</ScaleCrop>
  <LinksUpToDate>false</LinksUpToDate>
  <CharactersWithSpaces>3581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2011-10-12T07:17:00Z</dcterms:created>
  <dc:creator>微软用户</dc:creator>
  <cp:lastModifiedBy>听雨</cp:lastModifiedBy>
  <dcterms:modified xsi:type="dcterms:W3CDTF">2026-05-08T07:50:39Z</dcterms:modified>
  <dc:title>收件人：</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eyJoZGlkIjoiMTU1OTc2MmU3MzAxNDE1NzJlNDQxZjUxMTI2MWI2ODAiLCJ1c2VySWQiOiI4MjAzMzQxNzQifQ==</vt:lpwstr>
  </property>
  <property fmtid="{D5CDD505-2E9C-101B-9397-08002B2CF9AE}" pid="4" name="ICV">
    <vt:lpwstr>4B254A20DDCE47CE9A39CFCC8DDFBAA1_13</vt:lpwstr>
  </property>
</Properties>
</file>