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E4B8" w14:textId="77777777" w:rsidR="001C0611" w:rsidRDefault="001C0611">
      <w:pPr>
        <w:pStyle w:val="Ttulo1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Memorando de revisão — três textos para análise do jurídico</w:t>
      </w:r>
    </w:p>
    <w:p w14:paraId="34A83598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De:</w:t>
      </w:r>
      <w:r>
        <w:rPr>
          <w:rFonts w:ascii="Georgia" w:hAnsi="Georgia"/>
          <w:color w:val="262626"/>
          <w:sz w:val="22"/>
          <w:szCs w:val="22"/>
        </w:rPr>
        <w:t xml:space="preserve"> Maxwell Ribeiro (CRM SINDCOM) · </w:t>
      </w:r>
      <w:r>
        <w:rPr>
          <w:rStyle w:val="Forte"/>
          <w:rFonts w:ascii="Georgia" w:hAnsi="Georgia"/>
          <w:sz w:val="22"/>
          <w:szCs w:val="22"/>
        </w:rPr>
        <w:t>Para:</w:t>
      </w:r>
      <w:r>
        <w:rPr>
          <w:rFonts w:ascii="Georgia" w:hAnsi="Georgia"/>
          <w:color w:val="262626"/>
          <w:sz w:val="22"/>
          <w:szCs w:val="22"/>
        </w:rPr>
        <w:t xml:space="preserve"> Dr. Adenilson · </w:t>
      </w:r>
      <w:r>
        <w:rPr>
          <w:rStyle w:val="Forte"/>
          <w:rFonts w:ascii="Georgia" w:hAnsi="Georgia"/>
          <w:sz w:val="22"/>
          <w:szCs w:val="22"/>
        </w:rPr>
        <w:t>Data:</w:t>
      </w:r>
      <w:r>
        <w:rPr>
          <w:rFonts w:ascii="Georgia" w:hAnsi="Georgia"/>
          <w:color w:val="262626"/>
          <w:sz w:val="22"/>
          <w:szCs w:val="22"/>
        </w:rPr>
        <w:t xml:space="preserve"> 25/08/2026 </w:t>
      </w:r>
      <w:r>
        <w:rPr>
          <w:rStyle w:val="Forte"/>
          <w:rFonts w:ascii="Georgia" w:hAnsi="Georgia"/>
          <w:sz w:val="22"/>
          <w:szCs w:val="22"/>
        </w:rPr>
        <w:t>Assunto:</w:t>
      </w:r>
      <w:r>
        <w:rPr>
          <w:rFonts w:ascii="Georgia" w:hAnsi="Georgia"/>
          <w:color w:val="262626"/>
          <w:sz w:val="22"/>
          <w:szCs w:val="22"/>
        </w:rPr>
        <w:t xml:space="preserve"> minutas da Nota Técnica, da versão resumida e da página pública sobre a base legal da coleta de dados cadastrais</w:t>
      </w:r>
    </w:p>
    <w:p w14:paraId="341CDE63" w14:textId="77777777" w:rsidR="001C0611" w:rsidRDefault="001C0611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7337DCF9">
          <v:rect id="_x0000_i1025" style="width:0;height:1.5pt" o:hralign="center" o:hrstd="t" o:hr="t" fillcolor="#a0a0a0" stroked="f"/>
        </w:pict>
      </w:r>
    </w:p>
    <w:p w14:paraId="528C5175" w14:textId="77777777" w:rsidR="001C0611" w:rsidRDefault="001C0611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O que segue anexo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087"/>
        <w:gridCol w:w="4580"/>
      </w:tblGrid>
      <w:tr w:rsidR="00000000" w14:paraId="6BBE5258" w14:textId="77777777">
        <w:trPr>
          <w:tblHeader/>
        </w:trPr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1DD902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1B03F5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t>Extensão</w:t>
            </w:r>
          </w:p>
        </w:tc>
        <w:tc>
          <w:tcPr>
            <w:tcW w:w="0" w:type="auto"/>
            <w:tcBorders>
              <w:top w:val="single" w:sz="6" w:space="0" w:color="B9B6AA"/>
              <w:left w:val="single" w:sz="6" w:space="0" w:color="B9B6AA"/>
              <w:bottom w:val="single" w:sz="6" w:space="0" w:color="B9B6AA"/>
              <w:right w:val="single" w:sz="6" w:space="0" w:color="B9B6AA"/>
            </w:tcBorders>
            <w:shd w:val="clear" w:color="auto" w:fill="EFEE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73ACF0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424242"/>
                <w:sz w:val="19"/>
                <w:szCs w:val="19"/>
              </w:rPr>
              <w:t>Destino</w:t>
            </w:r>
          </w:p>
        </w:tc>
      </w:tr>
      <w:tr w:rsidR="00000000" w14:paraId="38F40760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69EE07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Nota Técnica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DD90AF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10 páginas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045314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PDF para download no site; link em todos os e-mails da campanha</w:t>
            </w:r>
          </w:p>
        </w:tc>
      </w:tr>
      <w:tr w:rsidR="00000000" w14:paraId="6764DC88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CBB0F1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Nota Técnica resumida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4FB078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1 lauda (após diagramação)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31B7CC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 xml:space="preserve">PDF hospedado no site, </w:t>
            </w: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acessado por link</w:t>
            </w:r>
          </w:p>
        </w:tc>
      </w:tr>
      <w:tr w:rsidR="00000000" w14:paraId="292BAFCC" w14:textId="77777777"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6D3BED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Style w:val="Forte"/>
                <w:rFonts w:ascii="Calibri" w:eastAsia="Times New Roman" w:hAnsi="Calibri" w:cs="Calibri"/>
                <w:sz w:val="19"/>
                <w:szCs w:val="19"/>
              </w:rPr>
              <w:t>Página pública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A0C9DE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  <w:t>conteúdo web</w:t>
            </w:r>
          </w:p>
        </w:tc>
        <w:tc>
          <w:tcPr>
            <w:tcW w:w="0" w:type="auto"/>
            <w:tcBorders>
              <w:top w:val="single" w:sz="6" w:space="0" w:color="D8D5CA"/>
              <w:left w:val="single" w:sz="6" w:space="0" w:color="D8D5CA"/>
              <w:bottom w:val="single" w:sz="6" w:space="0" w:color="D8D5CA"/>
              <w:right w:val="single" w:sz="6" w:space="0" w:color="D8D5C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6D0A2A" w14:textId="77777777" w:rsidR="001C0611" w:rsidRDefault="001C0611">
            <w:pPr>
              <w:spacing w:before="200" w:after="200"/>
              <w:rPr>
                <w:rFonts w:ascii="Calibri" w:eastAsia="Times New Roman" w:hAnsi="Calibri" w:cs="Calibri"/>
                <w:color w:val="262626"/>
                <w:sz w:val="19"/>
                <w:szCs w:val="19"/>
              </w:rPr>
            </w:pPr>
            <w:r>
              <w:rPr>
                <w:rStyle w:val="cod1"/>
                <w:rFonts w:eastAsia="Times New Roman" w:cs="Calibri"/>
                <w:color w:val="262626"/>
              </w:rPr>
              <w:t>sindcompassos.org/base-legal-dados/</w:t>
            </w:r>
          </w:p>
        </w:tc>
      </w:tr>
    </w:tbl>
    <w:p w14:paraId="0C03E3FA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Os três tratam da mesma matéria em profundidades diferentes. </w:t>
      </w:r>
      <w:r>
        <w:rPr>
          <w:rStyle w:val="Forte"/>
          <w:rFonts w:ascii="Georgia" w:hAnsi="Georgia"/>
          <w:sz w:val="22"/>
          <w:szCs w:val="22"/>
        </w:rPr>
        <w:t>A Nota Técnica é a fonte</w:t>
      </w:r>
      <w:r>
        <w:rPr>
          <w:rFonts w:ascii="Georgia" w:hAnsi="Georgia"/>
          <w:color w:val="262626"/>
          <w:sz w:val="22"/>
          <w:szCs w:val="22"/>
        </w:rPr>
        <w:t xml:space="preserve"> — alteração aprovada nela precisa descer para os outros dois.</w:t>
      </w:r>
    </w:p>
    <w:p w14:paraId="0C4DB083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Os textos estão redigidos em forma final, para que a revisão seja de conteúdo. Onde há </w:t>
      </w:r>
      <w:r>
        <w:rPr>
          <w:rStyle w:val="cod1"/>
          <w:color w:val="262626"/>
        </w:rPr>
        <w:t>[colchetes]</w:t>
      </w:r>
      <w:r>
        <w:rPr>
          <w:rFonts w:ascii="Georgia" w:hAnsi="Georgia"/>
          <w:color w:val="262626"/>
          <w:sz w:val="22"/>
          <w:szCs w:val="22"/>
        </w:rPr>
        <w:t xml:space="preserve"> faltam dados que só o senhor possui.</w:t>
      </w:r>
    </w:p>
    <w:p w14:paraId="1B793808" w14:textId="77777777" w:rsidR="001C0611" w:rsidRDefault="001C0611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Contexto da campanha</w:t>
      </w:r>
    </w:p>
    <w:p w14:paraId="1467455A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SINDCOM vai solicitar a </w:t>
      </w:r>
      <w:r>
        <w:rPr>
          <w:rStyle w:val="Forte"/>
          <w:rFonts w:ascii="Georgia" w:hAnsi="Georgia"/>
          <w:sz w:val="22"/>
          <w:szCs w:val="22"/>
        </w:rPr>
        <w:t>9.191 caixas de e-mail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— empresas e escritórios de contabilidade da base territorial — os dados cadastrais dos trabalhadores do comércio. Hoje há </w:t>
      </w:r>
      <w:r>
        <w:rPr>
          <w:rStyle w:val="Forte"/>
          <w:rFonts w:ascii="Georgia" w:hAnsi="Georgia"/>
          <w:sz w:val="22"/>
          <w:szCs w:val="22"/>
        </w:rPr>
        <w:t>1 trabalhador cadastrado e nenhum vínculo</w:t>
      </w:r>
      <w:r>
        <w:rPr>
          <w:rFonts w:ascii="Georgia" w:hAnsi="Georgia"/>
          <w:color w:val="262626"/>
          <w:sz w:val="22"/>
          <w:szCs w:val="22"/>
        </w:rPr>
        <w:t xml:space="preserve"> no sistema; a base empresarial, ao contrário, está completa, com 17.300 estabelecimentos.</w:t>
      </w:r>
    </w:p>
    <w:p w14:paraId="58DC5B3F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Um dos seis campos solicitados é a informação de o trabalhador ser </w:t>
      </w:r>
      <w:r>
        <w:rPr>
          <w:rStyle w:val="Forte"/>
          <w:rFonts w:ascii="Georgia" w:hAnsi="Georgia"/>
          <w:sz w:val="22"/>
          <w:szCs w:val="22"/>
        </w:rPr>
        <w:t>sindicalizado ou ter se oposto</w:t>
      </w:r>
      <w:r>
        <w:rPr>
          <w:rFonts w:ascii="Georgia" w:hAnsi="Georgia"/>
          <w:color w:val="262626"/>
          <w:sz w:val="22"/>
          <w:szCs w:val="22"/>
        </w:rPr>
        <w:t xml:space="preserve"> à contribuição — dado sensível pela LGPD. É esse ponto que exige fundamentação pública e assinada: um contador que pergunte </w:t>
      </w:r>
      <w:r>
        <w:rPr>
          <w:rStyle w:val="nfase"/>
          <w:rFonts w:ascii="Georgia" w:hAnsi="Georgia"/>
          <w:color w:val="262626"/>
          <w:sz w:val="22"/>
          <w:szCs w:val="22"/>
        </w:rPr>
        <w:t>"qual a base legal do art. 11?"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precisa receber resposta precisa. Resposta genérica desmonta o pedido — e, como 89 caixas concentram 24% da base e contadores conversam entre si, circula rápido.</w:t>
      </w:r>
    </w:p>
    <w:p w14:paraId="18A559A7" w14:textId="77777777" w:rsidR="001C0611" w:rsidRDefault="001C0611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412532FE">
          <v:rect id="_x0000_i1026" style="width:0;height:1.5pt" o:hralign="center" o:hrstd="t" o:hr="t" fillcolor="#a0a0a0" stroked="f"/>
        </w:pict>
      </w:r>
    </w:p>
    <w:p w14:paraId="1A6D2660" w14:textId="77777777" w:rsidR="001C0611" w:rsidRDefault="001C0611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Pontos que dependem da sua decisão</w:t>
      </w:r>
    </w:p>
    <w:p w14:paraId="6865E805" w14:textId="77777777" w:rsidR="001C0611" w:rsidRDefault="001C0611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1. Nome e inscrição OAB para assinatura</w:t>
      </w:r>
    </w:p>
    <w:p w14:paraId="2882FC08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lastRenderedPageBreak/>
        <w:t xml:space="preserve">Os três documentos trazem </w:t>
      </w:r>
      <w:r>
        <w:rPr>
          <w:rStyle w:val="cod1"/>
          <w:color w:val="262626"/>
        </w:rPr>
        <w:t>[Nome completo]</w:t>
      </w:r>
      <w:r>
        <w:rPr>
          <w:rFonts w:ascii="Georgia" w:hAnsi="Georgia"/>
          <w:color w:val="262626"/>
          <w:sz w:val="22"/>
          <w:szCs w:val="22"/>
        </w:rPr>
        <w:t xml:space="preserve"> e </w:t>
      </w:r>
      <w:r>
        <w:rPr>
          <w:rStyle w:val="cod1"/>
          <w:color w:val="262626"/>
        </w:rPr>
        <w:t>OAB/MG [número]</w:t>
      </w:r>
      <w:r>
        <w:rPr>
          <w:rFonts w:ascii="Georgia" w:hAnsi="Georgia"/>
          <w:color w:val="262626"/>
          <w:sz w:val="22"/>
          <w:szCs w:val="22"/>
        </w:rPr>
        <w:t xml:space="preserve">. </w:t>
      </w:r>
      <w:r>
        <w:rPr>
          <w:rStyle w:val="Forte"/>
          <w:rFonts w:ascii="Georgia" w:hAnsi="Georgia"/>
          <w:sz w:val="22"/>
          <w:szCs w:val="22"/>
        </w:rPr>
        <w:t>A assinatura é o que dá valor às peças</w:t>
      </w:r>
      <w:r>
        <w:rPr>
          <w:rFonts w:ascii="Georgia" w:hAnsi="Georgia"/>
          <w:color w:val="262626"/>
          <w:sz w:val="22"/>
          <w:szCs w:val="22"/>
        </w:rPr>
        <w:t xml:space="preserve"> — sem ela são textos no site.</w:t>
      </w:r>
    </w:p>
    <w:p w14:paraId="440B8E2E" w14:textId="77777777" w:rsidR="001C0611" w:rsidRDefault="001C0611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2. Encargo de encarregado de dados (LGPD, art. 41)</w:t>
      </w:r>
    </w:p>
    <w:p w14:paraId="0A5A5B4C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SINDCOM não possui encarregado designado, e propõe-se atribuir a função ao setor jurídico. A designação implica </w:t>
      </w:r>
      <w:r>
        <w:rPr>
          <w:rStyle w:val="Forte"/>
          <w:rFonts w:ascii="Georgia" w:hAnsi="Georgia"/>
          <w:sz w:val="22"/>
          <w:szCs w:val="22"/>
        </w:rPr>
        <w:t>divulgação pública da identidade e do contato</w:t>
      </w:r>
      <w:r>
        <w:rPr>
          <w:rFonts w:ascii="Georgia" w:hAnsi="Georgia"/>
          <w:color w:val="262626"/>
          <w:sz w:val="22"/>
          <w:szCs w:val="22"/>
        </w:rPr>
        <w:t xml:space="preserve">, que passa a ser canal de comunicação com titulares </w:t>
      </w:r>
      <w:r>
        <w:rPr>
          <w:rStyle w:val="Forte"/>
          <w:rFonts w:ascii="Georgia" w:hAnsi="Georgia"/>
          <w:sz w:val="22"/>
          <w:szCs w:val="22"/>
        </w:rPr>
        <w:t>e com a ANPD</w:t>
      </w:r>
      <w:r>
        <w:rPr>
          <w:rFonts w:ascii="Georgia" w:hAnsi="Georgia"/>
          <w:color w:val="262626"/>
          <w:sz w:val="22"/>
          <w:szCs w:val="22"/>
        </w:rPr>
        <w:t xml:space="preserve">. Os textos indicam hoje </w:t>
      </w:r>
      <w:r>
        <w:rPr>
          <w:rStyle w:val="cod1"/>
          <w:color w:val="262626"/>
        </w:rPr>
        <w:t>juridico@sindcompassos.org</w:t>
      </w:r>
      <w:r>
        <w:rPr>
          <w:rFonts w:ascii="Georgia" w:hAnsi="Georgia"/>
          <w:color w:val="262626"/>
          <w:sz w:val="22"/>
          <w:szCs w:val="22"/>
        </w:rPr>
        <w:t xml:space="preserve"> e o WhatsApp </w:t>
      </w:r>
      <w:r>
        <w:rPr>
          <w:rStyle w:val="Forte"/>
          <w:rFonts w:ascii="Georgia" w:hAnsi="Georgia"/>
          <w:sz w:val="22"/>
          <w:szCs w:val="22"/>
        </w:rPr>
        <w:t>(35) 98827-0406</w:t>
      </w:r>
      <w:r>
        <w:rPr>
          <w:rFonts w:ascii="Georgia" w:hAnsi="Georgia"/>
          <w:color w:val="262626"/>
          <w:sz w:val="22"/>
          <w:szCs w:val="22"/>
        </w:rPr>
        <w:t>, que já é público no site. Confirmar se aceita o encargo e qual canal deve constar como oficial.</w:t>
      </w:r>
    </w:p>
    <w:p w14:paraId="476D2B41" w14:textId="77777777" w:rsidR="001C0611" w:rsidRDefault="001C0611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3. Prazo de guarda — analogia à Lei 13.787/2018</w:t>
      </w:r>
    </w:p>
    <w:p w14:paraId="422142BE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Adotou-se o prazo de </w:t>
      </w:r>
      <w:r>
        <w:rPr>
          <w:rStyle w:val="Forte"/>
          <w:rFonts w:ascii="Georgia" w:hAnsi="Georgia"/>
          <w:sz w:val="22"/>
          <w:szCs w:val="22"/>
        </w:rPr>
        <w:t>20 anos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sem movimentação para eliminação definitiva, por analogia ao art. 6º daquela lei. </w:t>
      </w:r>
      <w:r>
        <w:rPr>
          <w:rStyle w:val="Forte"/>
          <w:rFonts w:ascii="Georgia" w:hAnsi="Georgia"/>
          <w:sz w:val="22"/>
          <w:szCs w:val="22"/>
        </w:rPr>
        <w:t>Ela rege prontuários de paciente</w:t>
      </w:r>
      <w:r>
        <w:rPr>
          <w:rFonts w:ascii="Georgia" w:hAnsi="Georgia"/>
          <w:color w:val="262626"/>
          <w:sz w:val="22"/>
          <w:szCs w:val="22"/>
        </w:rPr>
        <w:t xml:space="preserve">, e por isso o texto diz expressamente </w:t>
      </w:r>
      <w:r>
        <w:rPr>
          <w:rStyle w:val="nfase"/>
          <w:rFonts w:ascii="Georgia" w:hAnsi="Georgia"/>
          <w:color w:val="262626"/>
          <w:sz w:val="22"/>
          <w:szCs w:val="22"/>
        </w:rPr>
        <w:t>"por analogia"</w:t>
      </w:r>
      <w:r>
        <w:rPr>
          <w:rFonts w:ascii="Georgia" w:hAnsi="Georgia"/>
          <w:color w:val="262626"/>
          <w:sz w:val="22"/>
          <w:szCs w:val="22"/>
        </w:rPr>
        <w:t>. Confirmar se a analogia se sustenta ou se prefere outro parâmetro.</w:t>
      </w:r>
    </w:p>
    <w:p w14:paraId="110A3C9B" w14:textId="77777777" w:rsidR="001C0611" w:rsidRDefault="001C0611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4. Pseudonimização, não anonimização</w:t>
      </w:r>
    </w:p>
    <w:p w14:paraId="50C3C805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A política prevê que, após exclusão, o registro conserve </w:t>
      </w:r>
      <w:r>
        <w:rPr>
          <w:rStyle w:val="Forte"/>
          <w:rFonts w:ascii="Georgia" w:hAnsi="Georgia"/>
          <w:sz w:val="22"/>
          <w:szCs w:val="22"/>
        </w:rPr>
        <w:t>iniciais do nome e CPF mascarado</w:t>
      </w:r>
      <w:r>
        <w:rPr>
          <w:rFonts w:ascii="Georgia" w:hAnsi="Georgia"/>
          <w:color w:val="262626"/>
          <w:sz w:val="22"/>
          <w:szCs w:val="22"/>
        </w:rPr>
        <w:t xml:space="preserve">. Como esses elementos convivem com município e histórico de vínculos, a reidentificação é provável por meios razoáveis — o que caracteriza </w:t>
      </w:r>
      <w:r>
        <w:rPr>
          <w:rStyle w:val="Forte"/>
          <w:rFonts w:ascii="Georgia" w:hAnsi="Georgia"/>
          <w:sz w:val="22"/>
          <w:szCs w:val="22"/>
        </w:rPr>
        <w:t>pseudonimização</w:t>
      </w:r>
      <w:r>
        <w:rPr>
          <w:rFonts w:ascii="Georgia" w:hAnsi="Georgia"/>
          <w:color w:val="262626"/>
          <w:sz w:val="22"/>
          <w:szCs w:val="22"/>
        </w:rPr>
        <w:t xml:space="preserve"> (dado que permanece sob a LGPD), e não anonimização (art. 5º, XI e art. 12). Os textos usam o termo mais restrito e defensável. Confirmar.</w:t>
      </w:r>
    </w:p>
    <w:p w14:paraId="01DD4D20" w14:textId="77777777" w:rsidR="001C0611" w:rsidRDefault="001C0611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5. Extensão do enquadramento como conduta antissindical</w:t>
      </w:r>
    </w:p>
    <w:p w14:paraId="21E467EB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tema aparece </w:t>
      </w:r>
      <w:r>
        <w:rPr>
          <w:rStyle w:val="Forte"/>
          <w:rFonts w:ascii="Georgia" w:hAnsi="Georgia"/>
          <w:sz w:val="22"/>
          <w:szCs w:val="22"/>
        </w:rPr>
        <w:t>somente na Nota Técnica</w:t>
      </w:r>
      <w:r>
        <w:rPr>
          <w:rFonts w:ascii="Georgia" w:hAnsi="Georgia"/>
          <w:color w:val="262626"/>
          <w:sz w:val="22"/>
          <w:szCs w:val="22"/>
        </w:rPr>
        <w:t xml:space="preserve">, em plano subsidiário, e </w:t>
      </w:r>
      <w:r>
        <w:rPr>
          <w:rStyle w:val="Forte"/>
          <w:rFonts w:ascii="Georgia" w:hAnsi="Georgia"/>
          <w:sz w:val="22"/>
          <w:szCs w:val="22"/>
        </w:rPr>
        <w:t>não</w:t>
      </w:r>
      <w:r>
        <w:rPr>
          <w:rFonts w:ascii="Georgia" w:hAnsi="Georgia"/>
          <w:color w:val="262626"/>
          <w:sz w:val="22"/>
          <w:szCs w:val="22"/>
        </w:rPr>
        <w:t xml:space="preserve"> na versão resumida, na página pública nem no corpo dos e-mails.</w:t>
      </w:r>
    </w:p>
    <w:p w14:paraId="52736B0E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motivo é de estratégia e de técnica. O catálogo clássico de condutas antissindicais organiza-se em torno de dispensa, greve, negociação coletiva e filiação — </w:t>
      </w:r>
      <w:r>
        <w:rPr>
          <w:rStyle w:val="Forte"/>
          <w:rFonts w:ascii="Georgia" w:hAnsi="Georgia"/>
          <w:sz w:val="22"/>
          <w:szCs w:val="22"/>
        </w:rPr>
        <w:t>a recusa em fornecer dados cadastrais não figura nele nominalmente</w:t>
      </w:r>
      <w:r>
        <w:rPr>
          <w:rFonts w:ascii="Georgia" w:hAnsi="Georgia"/>
          <w:color w:val="262626"/>
          <w:sz w:val="22"/>
          <w:szCs w:val="22"/>
        </w:rPr>
        <w:t xml:space="preserve">. O enquadramento é defensável por analogia e pela cláusula geral de obstrução, mas é construção, não subsunção direta. O argumento principal, por isso, é o </w:t>
      </w:r>
      <w:r>
        <w:rPr>
          <w:rStyle w:val="Forte"/>
          <w:rFonts w:ascii="Georgia" w:hAnsi="Georgia"/>
          <w:sz w:val="22"/>
          <w:szCs w:val="22"/>
        </w:rPr>
        <w:t>descumprimento da cláusula convencional</w:t>
      </w:r>
      <w:r>
        <w:rPr>
          <w:rFonts w:ascii="Georgia" w:hAnsi="Georgia"/>
          <w:color w:val="262626"/>
          <w:sz w:val="22"/>
          <w:szCs w:val="22"/>
        </w:rPr>
        <w:t>, que é direto e incontroverso. Avaliar se concorda com esse peso relativo, ou se prefere ampliá-lo.</w:t>
      </w:r>
    </w:p>
    <w:p w14:paraId="30DEC9E9" w14:textId="77777777" w:rsidR="001C0611" w:rsidRDefault="001C0611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6. Convenção 87 da OIT</w:t>
      </w:r>
    </w:p>
    <w:p w14:paraId="6DF4B09B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O texto a invoca como </w:t>
      </w:r>
      <w:r>
        <w:rPr>
          <w:rStyle w:val="Forte"/>
          <w:rFonts w:ascii="Georgia" w:hAnsi="Georgia"/>
          <w:sz w:val="22"/>
          <w:szCs w:val="22"/>
        </w:rPr>
        <w:t>princípio de observância obrigatória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 xml:space="preserve">por força da Declaração da OIT de 1998 — que vincula os Estados-membros </w:t>
      </w:r>
      <w:r>
        <w:rPr>
          <w:rStyle w:val="nfase"/>
          <w:rFonts w:ascii="Georgia" w:hAnsi="Georgia"/>
          <w:color w:val="262626"/>
          <w:sz w:val="22"/>
          <w:szCs w:val="22"/>
        </w:rPr>
        <w:t>"tenham ou não ratificado as convenções relevantes"</w:t>
      </w:r>
      <w:r>
        <w:rPr>
          <w:rFonts w:ascii="Georgia" w:hAnsi="Georgia"/>
          <w:color w:val="262626"/>
          <w:sz w:val="22"/>
          <w:szCs w:val="22"/>
        </w:rPr>
        <w:t xml:space="preserve"> — e não como norma interna, </w:t>
      </w:r>
      <w:r>
        <w:rPr>
          <w:rStyle w:val="Forte"/>
          <w:rFonts w:ascii="Georgia" w:hAnsi="Georgia"/>
          <w:sz w:val="22"/>
          <w:szCs w:val="22"/>
        </w:rPr>
        <w:t>por não ter sido ratificada pelo Brasil</w:t>
      </w:r>
      <w:r>
        <w:rPr>
          <w:rFonts w:ascii="Georgia" w:hAnsi="Georgia"/>
          <w:color w:val="262626"/>
          <w:sz w:val="22"/>
          <w:szCs w:val="22"/>
        </w:rPr>
        <w:t>. Confirmar a formulação.</w:t>
      </w:r>
    </w:p>
    <w:p w14:paraId="5F2816A7" w14:textId="77777777" w:rsidR="001C0611" w:rsidRDefault="001C0611">
      <w:pPr>
        <w:pStyle w:val="Ttulo3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7. Conferência das citações</w:t>
      </w:r>
    </w:p>
    <w:p w14:paraId="1FF9F7AF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Todos os dispositivos e a jurisprudência citada precisam de conferência na fonte antes da publicação. Em especial: a redação da tese do </w:t>
      </w:r>
      <w:r>
        <w:rPr>
          <w:rStyle w:val="Forte"/>
          <w:rFonts w:ascii="Georgia" w:hAnsi="Georgia"/>
          <w:sz w:val="22"/>
          <w:szCs w:val="22"/>
        </w:rPr>
        <w:t>Tema 935 / ARE 1018459</w:t>
      </w:r>
      <w:r>
        <w:rPr>
          <w:rFonts w:ascii="Georgia" w:hAnsi="Georgia"/>
          <w:color w:val="262626"/>
          <w:sz w:val="22"/>
          <w:szCs w:val="22"/>
        </w:rPr>
        <w:t xml:space="preserve"> e a referência ao acórdão do </w:t>
      </w:r>
      <w:r>
        <w:rPr>
          <w:rStyle w:val="Forte"/>
          <w:rFonts w:ascii="Georgia" w:hAnsi="Georgia"/>
          <w:sz w:val="22"/>
          <w:szCs w:val="22"/>
        </w:rPr>
        <w:t>TRT-20</w:t>
      </w:r>
      <w:r>
        <w:rPr>
          <w:rFonts w:ascii="Georgia" w:hAnsi="Georgia"/>
          <w:color w:val="262626"/>
          <w:sz w:val="22"/>
          <w:szCs w:val="22"/>
        </w:rPr>
        <w:t xml:space="preserve"> citada no item sobre conduta antissindical.</w:t>
      </w:r>
    </w:p>
    <w:p w14:paraId="539FC772" w14:textId="77777777" w:rsidR="001C0611" w:rsidRDefault="001C0611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4B2221E6">
          <v:rect id="_x0000_i1027" style="width:0;height:1.5pt" o:hralign="center" o:hrstd="t" o:hr="t" fillcolor="#a0a0a0" stroked="f"/>
        </w:pict>
      </w:r>
    </w:p>
    <w:p w14:paraId="33B33635" w14:textId="77777777" w:rsidR="001C0611" w:rsidRDefault="001C0611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Duas lacunas de material</w:t>
      </w:r>
    </w:p>
    <w:p w14:paraId="7D336844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lastRenderedPageBreak/>
        <w:t>1. Duas Convenções Coletivas não puderam ser examinadas.</w:t>
      </w:r>
      <w:r>
        <w:rPr>
          <w:rFonts w:ascii="Georgia" w:hAnsi="Georgia"/>
          <w:color w:val="262626"/>
          <w:sz w:val="22"/>
          <w:szCs w:val="22"/>
        </w:rPr>
        <w:t xml:space="preserve"> As CCTs do </w:t>
      </w:r>
      <w:r>
        <w:rPr>
          <w:rStyle w:val="Forte"/>
          <w:rFonts w:ascii="Georgia" w:hAnsi="Georgia"/>
          <w:sz w:val="22"/>
          <w:szCs w:val="22"/>
        </w:rPr>
        <w:t>Sincovaga Alimentício</w:t>
      </w:r>
      <w:r>
        <w:rPr>
          <w:rFonts w:ascii="Georgia" w:hAnsi="Georgia"/>
          <w:color w:val="262626"/>
          <w:sz w:val="22"/>
          <w:szCs w:val="22"/>
        </w:rPr>
        <w:t xml:space="preserve"> e do </w:t>
      </w:r>
      <w:r>
        <w:rPr>
          <w:rStyle w:val="Forte"/>
          <w:rFonts w:ascii="Georgia" w:hAnsi="Georgia"/>
          <w:sz w:val="22"/>
          <w:szCs w:val="22"/>
        </w:rPr>
        <w:t>SinPas Varejista</w:t>
      </w:r>
      <w:r>
        <w:rPr>
          <w:rFonts w:ascii="Georgia" w:hAnsi="Georgia"/>
          <w:color w:val="262626"/>
          <w:sz w:val="22"/>
          <w:szCs w:val="22"/>
        </w:rPr>
        <w:t xml:space="preserve"> estão disponíveis apenas como PDF digitalizado, sem texto pesquisável. A Nota Técnica cobre, hoje, </w:t>
      </w:r>
      <w:r>
        <w:rPr>
          <w:rStyle w:val="Forte"/>
          <w:rFonts w:ascii="Georgia" w:hAnsi="Georgia"/>
          <w:sz w:val="22"/>
          <w:szCs w:val="22"/>
        </w:rPr>
        <w:t>3 das 5 CCTs</w:t>
      </w:r>
      <w:r>
        <w:rPr>
          <w:rFonts w:ascii="Georgia" w:hAnsi="Georgia"/>
          <w:color w:val="262626"/>
          <w:sz w:val="22"/>
          <w:szCs w:val="22"/>
        </w:rPr>
        <w:t xml:space="preserve"> — Fecomércio Atacadista, Fecomércio Varejista e SindSuper —, todas com a mesma cláusula. Versões em texto estão sendo providenciadas; localizada a cláusula correspondente nas outras duas, a tabela do item 5.1 se completa.</w:t>
      </w:r>
    </w:p>
    <w:p w14:paraId="3833F0D0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Style w:val="Forte"/>
          <w:rFonts w:ascii="Georgia" w:hAnsi="Georgia"/>
          <w:sz w:val="22"/>
          <w:szCs w:val="22"/>
        </w:rPr>
        <w:t>2. Os 22 Acordos Coletivos (ACTs) não foram examinados.</w:t>
      </w:r>
      <w:r>
        <w:rPr>
          <w:rFonts w:ascii="Georgia" w:hAnsi="Georgia"/>
          <w:color w:val="262626"/>
          <w:sz w:val="22"/>
          <w:szCs w:val="22"/>
        </w:rPr>
        <w:t xml:space="preserve"> </w:t>
      </w:r>
      <w:r>
        <w:rPr>
          <w:rFonts w:ascii="Georgia" w:hAnsi="Georgia"/>
          <w:color w:val="262626"/>
          <w:sz w:val="22"/>
          <w:szCs w:val="22"/>
        </w:rPr>
        <w:t>A fundamentação trata apenas das Convenções. Avaliar se é necessário estendê-la.</w:t>
      </w:r>
    </w:p>
    <w:p w14:paraId="3BAA3BFF" w14:textId="77777777" w:rsidR="001C0611" w:rsidRDefault="001C0611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777B5668">
          <v:rect id="_x0000_i1028" style="width:0;height:1.5pt" o:hralign="center" o:hrstd="t" o:hr="t" fillcolor="#a0a0a0" stroked="f"/>
        </w:pict>
      </w:r>
    </w:p>
    <w:p w14:paraId="0CCC76B6" w14:textId="77777777" w:rsidR="001C0611" w:rsidRDefault="001C0611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A cláusula que sustenta o pedido</w:t>
      </w:r>
    </w:p>
    <w:p w14:paraId="1AF2EC20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Para orientar a leitura: o alicerce dos três textos é a cláusula da </w:t>
      </w:r>
      <w:r>
        <w:rPr>
          <w:rStyle w:val="Forte"/>
          <w:rFonts w:ascii="Georgia" w:hAnsi="Georgia"/>
          <w:sz w:val="22"/>
          <w:szCs w:val="22"/>
        </w:rPr>
        <w:t>Contribuição dos Empregados</w:t>
      </w:r>
      <w:r>
        <w:rPr>
          <w:rFonts w:ascii="Georgia" w:hAnsi="Georgia"/>
          <w:color w:val="262626"/>
          <w:sz w:val="22"/>
          <w:szCs w:val="22"/>
        </w:rPr>
        <w:t xml:space="preserve">, presente nas Convenções, cujo </w:t>
      </w:r>
      <w:r>
        <w:rPr>
          <w:rStyle w:val="Forte"/>
          <w:rFonts w:ascii="Georgia" w:hAnsi="Georgia"/>
          <w:sz w:val="22"/>
          <w:szCs w:val="22"/>
        </w:rPr>
        <w:t>Parágrafo Segundo</w:t>
      </w:r>
      <w:r>
        <w:rPr>
          <w:rFonts w:ascii="Georgia" w:hAnsi="Georgia"/>
          <w:color w:val="262626"/>
          <w:sz w:val="22"/>
          <w:szCs w:val="22"/>
        </w:rPr>
        <w:t xml:space="preserve"> determina:</w:t>
      </w:r>
    </w:p>
    <w:p w14:paraId="74595074" w14:textId="77777777" w:rsidR="001C0611" w:rsidRDefault="001C0611">
      <w:pPr>
        <w:shd w:val="clear" w:color="auto" w:fill="F7F6F1"/>
        <w:spacing w:after="100"/>
        <w:jc w:val="both"/>
        <w:divId w:val="1824421683"/>
        <w:rPr>
          <w:rFonts w:ascii="Georgia" w:hAnsi="Georgia"/>
          <w:i/>
          <w:iCs/>
          <w:color w:val="3A3A3A"/>
          <w:sz w:val="22"/>
          <w:szCs w:val="22"/>
        </w:rPr>
      </w:pPr>
      <w:r>
        <w:rPr>
          <w:rStyle w:val="nfase"/>
          <w:rFonts w:ascii="Georgia" w:hAnsi="Georgia"/>
          <w:color w:val="3A3A3A"/>
          <w:sz w:val="22"/>
          <w:szCs w:val="22"/>
        </w:rPr>
        <w:t>"Dentro de 15 (quinze) dias do desconto, as empresas encaminharão à Entidade Profissional cópias de comprovação dos recolhimentos dos valores, acompanhadas das relações de empregados contribuintes, das quais constem os salários anteriores e os corrigidos."</w:t>
      </w:r>
    </w:p>
    <w:p w14:paraId="21706143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Ela é </w:t>
      </w:r>
      <w:r>
        <w:rPr>
          <w:rStyle w:val="Forte"/>
          <w:rFonts w:ascii="Georgia" w:hAnsi="Georgia"/>
          <w:sz w:val="22"/>
          <w:szCs w:val="22"/>
        </w:rPr>
        <w:t>incondicional</w:t>
      </w:r>
      <w:r>
        <w:rPr>
          <w:rFonts w:ascii="Georgia" w:hAnsi="Georgia"/>
          <w:color w:val="262626"/>
          <w:sz w:val="22"/>
          <w:szCs w:val="22"/>
        </w:rPr>
        <w:t xml:space="preserve">, tem o Sindicato dos trabalhadores como destinatário e seu objeto já abrange o que se solicita. O SINDCOM está pedindo </w:t>
      </w:r>
      <w:r>
        <w:rPr>
          <w:rStyle w:val="Forte"/>
          <w:rFonts w:ascii="Georgia" w:hAnsi="Georgia"/>
          <w:sz w:val="22"/>
          <w:szCs w:val="22"/>
        </w:rPr>
        <w:t>menos</w:t>
      </w:r>
      <w:r>
        <w:rPr>
          <w:rFonts w:ascii="Georgia" w:hAnsi="Georgia"/>
          <w:color w:val="262626"/>
          <w:sz w:val="22"/>
          <w:szCs w:val="22"/>
        </w:rPr>
        <w:t xml:space="preserve"> do que a norma coletiva lhe faculta exigir.</w:t>
      </w:r>
    </w:p>
    <w:p w14:paraId="6F500933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Some-se que a mesma cláusula admite que a oposição seja manifestada </w:t>
      </w:r>
      <w:r>
        <w:rPr>
          <w:rStyle w:val="Forte"/>
          <w:rFonts w:ascii="Georgia" w:hAnsi="Georgia"/>
          <w:sz w:val="22"/>
          <w:szCs w:val="22"/>
        </w:rPr>
        <w:t>perante a empresa</w:t>
      </w:r>
      <w:r>
        <w:rPr>
          <w:rFonts w:ascii="Georgia" w:hAnsi="Georgia"/>
          <w:color w:val="262626"/>
          <w:sz w:val="22"/>
          <w:szCs w:val="22"/>
        </w:rPr>
        <w:t xml:space="preserve"> e obriga o Sindicato a </w:t>
      </w:r>
      <w:r>
        <w:rPr>
          <w:rStyle w:val="Forte"/>
          <w:rFonts w:ascii="Georgia" w:hAnsi="Georgia"/>
          <w:sz w:val="22"/>
          <w:szCs w:val="22"/>
        </w:rPr>
        <w:t>devolver</w:t>
      </w:r>
      <w:r>
        <w:rPr>
          <w:rFonts w:ascii="Georgia" w:hAnsi="Georgia"/>
          <w:color w:val="262626"/>
          <w:sz w:val="22"/>
          <w:szCs w:val="22"/>
        </w:rPr>
        <w:t xml:space="preserve"> valor descontado de quem se opôs — de onde decorre o argumento central: quando a oposição é feita na empresa, </w:t>
      </w:r>
      <w:r>
        <w:rPr>
          <w:rStyle w:val="Forte"/>
          <w:rFonts w:ascii="Georgia" w:hAnsi="Georgia"/>
          <w:sz w:val="22"/>
          <w:szCs w:val="22"/>
        </w:rPr>
        <w:t>só a empresa sabe</w:t>
      </w:r>
      <w:r>
        <w:rPr>
          <w:rFonts w:ascii="Georgia" w:hAnsi="Georgia"/>
          <w:color w:val="262626"/>
          <w:sz w:val="22"/>
          <w:szCs w:val="22"/>
        </w:rPr>
        <w:t>; se ela não informa, o Sindicato cobra de quem se opôs e passa a dever devolução.</w:t>
      </w:r>
    </w:p>
    <w:p w14:paraId="6C7DDCC4" w14:textId="77777777" w:rsidR="001C0611" w:rsidRDefault="001C0611">
      <w:pPr>
        <w:spacing w:before="320" w:after="320"/>
        <w:rPr>
          <w:rFonts w:ascii="Georgia" w:eastAsia="Times New Roman" w:hAnsi="Georgia"/>
          <w:color w:val="262626"/>
          <w:sz w:val="22"/>
          <w:szCs w:val="22"/>
        </w:rPr>
      </w:pPr>
      <w:r>
        <w:rPr>
          <w:rFonts w:ascii="Georgia" w:eastAsia="Times New Roman" w:hAnsi="Georgia"/>
          <w:color w:val="262626"/>
          <w:sz w:val="22"/>
          <w:szCs w:val="22"/>
        </w:rPr>
        <w:pict w14:anchorId="51AEDC86">
          <v:rect id="_x0000_i1029" style="width:0;height:1.5pt" o:hralign="center" o:hrstd="t" o:hr="t" fillcolor="#a0a0a0" stroked="f"/>
        </w:pict>
      </w:r>
    </w:p>
    <w:p w14:paraId="338B3321" w14:textId="77777777" w:rsidR="001C0611" w:rsidRDefault="001C0611">
      <w:pPr>
        <w:pStyle w:val="Ttulo2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Após a aprovação</w:t>
      </w:r>
    </w:p>
    <w:p w14:paraId="7E35506D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Recebidas as correções, serão produzidos: o PDF diagramado da Nota Técnica (com ilustrações explicativas), o PDF de uma lauda da versão resumida e a página no site. </w:t>
      </w:r>
      <w:r>
        <w:rPr>
          <w:rStyle w:val="Forte"/>
          <w:rFonts w:ascii="Georgia" w:hAnsi="Georgia"/>
          <w:sz w:val="22"/>
          <w:szCs w:val="22"/>
        </w:rPr>
        <w:t>Nenhum documento será enviado como anexo</w:t>
      </w:r>
      <w:r>
        <w:rPr>
          <w:rFonts w:ascii="Georgia" w:hAnsi="Georgia"/>
          <w:color w:val="262626"/>
          <w:sz w:val="22"/>
          <w:szCs w:val="22"/>
        </w:rPr>
        <w:t xml:space="preserve"> nos e-mails da campanha — todos por link, para preservar a entregabilidade do disparo.</w:t>
      </w:r>
    </w:p>
    <w:p w14:paraId="5E5B64D3" w14:textId="77777777" w:rsidR="001C0611" w:rsidRDefault="001C0611">
      <w:pPr>
        <w:pStyle w:val="NormalWeb"/>
        <w:rPr>
          <w:rFonts w:ascii="Georgia" w:hAnsi="Georgia"/>
          <w:color w:val="262626"/>
          <w:sz w:val="22"/>
          <w:szCs w:val="22"/>
        </w:rPr>
      </w:pPr>
      <w:r>
        <w:rPr>
          <w:rFonts w:ascii="Georgia" w:hAnsi="Georgia"/>
          <w:color w:val="262626"/>
          <w:sz w:val="22"/>
          <w:szCs w:val="22"/>
        </w:rPr>
        <w:t xml:space="preserve">Haverá ainda revisão da página de </w:t>
      </w:r>
      <w:r>
        <w:rPr>
          <w:rStyle w:val="Forte"/>
          <w:rFonts w:ascii="Georgia" w:hAnsi="Georgia"/>
          <w:sz w:val="22"/>
          <w:szCs w:val="22"/>
        </w:rPr>
        <w:t>Termos de Uso e Política de Privacidade</w:t>
      </w:r>
      <w:r>
        <w:rPr>
          <w:rFonts w:ascii="Georgia" w:hAnsi="Georgia"/>
          <w:color w:val="262626"/>
          <w:sz w:val="22"/>
          <w:szCs w:val="22"/>
        </w:rPr>
        <w:t xml:space="preserve"> (</w:t>
      </w:r>
      <w:r>
        <w:rPr>
          <w:rStyle w:val="cod1"/>
          <w:color w:val="262626"/>
        </w:rPr>
        <w:t>sindcompassos.org/termos/</w:t>
      </w:r>
      <w:r>
        <w:rPr>
          <w:rFonts w:ascii="Georgia" w:hAnsi="Georgia"/>
          <w:color w:val="262626"/>
          <w:sz w:val="22"/>
          <w:szCs w:val="22"/>
        </w:rPr>
        <w:t>), para alinhá-la às diretrizes de coleta, guarda e exclusão aqui estabelecidas.</w:t>
      </w:r>
    </w:p>
    <w:sectPr w:rsidR="001C0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28"/>
    <w:rsid w:val="001C0611"/>
    <w:rsid w:val="00640DFC"/>
    <w:rsid w:val="00E2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B8101D"/>
  <w15:chartTrackingRefBased/>
  <w15:docId w15:val="{30A7B3CB-4BB4-4E68-8678-F3983DCD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6" w:color="C62828"/>
      </w:pBdr>
      <w:spacing w:before="100" w:beforeAutospacing="1" w:after="240"/>
      <w:outlineLvl w:val="0"/>
    </w:pPr>
    <w:rPr>
      <w:b/>
      <w:bCs/>
      <w:color w:val="C62828"/>
      <w:kern w:val="36"/>
      <w:sz w:val="38"/>
      <w:szCs w:val="38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3" w:color="D8D5CA"/>
      </w:pBdr>
      <w:spacing w:before="400" w:after="120"/>
      <w:outlineLvl w:val="1"/>
    </w:pPr>
    <w:rPr>
      <w:b/>
      <w:bCs/>
      <w:color w:val="424242"/>
      <w:sz w:val="29"/>
      <w:szCs w:val="29"/>
    </w:rPr>
  </w:style>
  <w:style w:type="paragraph" w:styleId="Ttulo3">
    <w:name w:val="heading 3"/>
    <w:basedOn w:val="Normal"/>
    <w:link w:val="Ttulo3Char"/>
    <w:uiPriority w:val="9"/>
    <w:qFormat/>
    <w:pPr>
      <w:spacing w:before="300" w:after="80"/>
      <w:outlineLvl w:val="2"/>
    </w:pPr>
    <w:rPr>
      <w:b/>
      <w:bCs/>
      <w:color w:val="424242"/>
      <w:sz w:val="25"/>
      <w:szCs w:val="25"/>
    </w:rPr>
  </w:style>
  <w:style w:type="paragraph" w:styleId="Ttulo4">
    <w:name w:val="heading 4"/>
    <w:basedOn w:val="Normal"/>
    <w:link w:val="Ttulo4Char"/>
    <w:uiPriority w:val="9"/>
    <w:qFormat/>
    <w:pPr>
      <w:spacing w:before="240" w:after="60"/>
      <w:outlineLvl w:val="3"/>
    </w:pPr>
    <w:rPr>
      <w:b/>
      <w:bCs/>
      <w:color w:val="565656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C62828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C62828"/>
      <w:u w:val="single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Forte">
    <w:name w:val="Strong"/>
    <w:basedOn w:val="Fontepargpadro"/>
    <w:uiPriority w:val="22"/>
    <w:qFormat/>
    <w:rPr>
      <w:b/>
      <w:bCs/>
      <w:color w:val="1F1F1F"/>
    </w:rPr>
  </w:style>
  <w:style w:type="paragraph" w:customStyle="1" w:styleId="msonormal0">
    <w:name w:val="msonormal"/>
    <w:basedOn w:val="Normal"/>
    <w:pPr>
      <w:spacing w:after="1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60"/>
      <w:jc w:val="both"/>
    </w:pPr>
  </w:style>
  <w:style w:type="paragraph" w:customStyle="1" w:styleId="cod">
    <w:name w:val="cod"/>
    <w:basedOn w:val="Normal"/>
    <w:pPr>
      <w:shd w:val="clear" w:color="auto" w:fill="F2F1EC"/>
      <w:spacing w:before="100" w:beforeAutospacing="1" w:after="60"/>
    </w:pPr>
    <w:rPr>
      <w:rFonts w:ascii="Consolas" w:hAnsi="Consolas"/>
      <w:sz w:val="19"/>
      <w:szCs w:val="19"/>
    </w:rPr>
  </w:style>
  <w:style w:type="character" w:customStyle="1" w:styleId="cod1">
    <w:name w:val="cod1"/>
    <w:basedOn w:val="Fontepargpadro"/>
    <w:rPr>
      <w:rFonts w:ascii="Consolas" w:hAnsi="Consolas" w:hint="default"/>
      <w:sz w:val="19"/>
      <w:szCs w:val="19"/>
      <w:shd w:val="clear" w:color="auto" w:fill="F2F1EC"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421683">
      <w:blockQuote w:val="1"/>
      <w:marLeft w:val="240"/>
      <w:marRight w:val="0"/>
      <w:marTop w:val="200"/>
      <w:marBottom w:val="200"/>
      <w:divBdr>
        <w:top w:val="none" w:sz="0" w:space="0" w:color="auto"/>
        <w:left w:val="single" w:sz="18" w:space="12" w:color="C6282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986</Words>
  <Characters>5328</Characters>
  <Application>Microsoft Office Word</Application>
  <DocSecurity>4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SINDCOM</dc:title>
  <dc:subject/>
  <dc:creator>Maxwell Messias Ribeiro</dc:creator>
  <cp:keywords/>
  <dc:description/>
  <cp:lastModifiedBy>Maxwell Messias Ribeiro</cp:lastModifiedBy>
  <cp:revision>2</cp:revision>
  <dcterms:created xsi:type="dcterms:W3CDTF">2026-08-25T21:43:00Z</dcterms:created>
  <dcterms:modified xsi:type="dcterms:W3CDTF">2026-08-25T21:43:00Z</dcterms:modified>
</cp:coreProperties>
</file>