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1766" w14:textId="77777777" w:rsidR="00F61C15" w:rsidRDefault="00F61C15">
      <w:pPr>
        <w:pStyle w:val="Ttulo1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NOTA TÉCNICA</w:t>
      </w:r>
    </w:p>
    <w:p w14:paraId="3E836C10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Base legal para a solicitação de dados cadastrais dos trabalhadores do comércio</w:t>
      </w:r>
    </w:p>
    <w:p w14:paraId="52D56AA4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Sindicato dos Empregados no Comércio de Passos e Região — SINDCOM</w:t>
      </w:r>
      <w:r>
        <w:rPr>
          <w:rFonts w:ascii="Georgia" w:hAnsi="Georgia"/>
          <w:color w:val="262626"/>
          <w:sz w:val="22"/>
          <w:szCs w:val="22"/>
        </w:rPr>
        <w:t xml:space="preserve"> Assessoria Jurídica · Passos, Minas Gerais · [data]</w:t>
      </w:r>
    </w:p>
    <w:p w14:paraId="606904B2" w14:textId="77777777" w:rsidR="00F61C15" w:rsidRDefault="00F61C15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6FD27790">
          <v:rect id="_x0000_i1025" style="width:0;height:1.5pt" o:hralign="center" o:hrstd="t" o:hr="t" fillcolor="#a0a0a0" stroked="f"/>
        </w:pict>
      </w:r>
    </w:p>
    <w:p w14:paraId="37E608D1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1. Objeto</w:t>
      </w:r>
    </w:p>
    <w:p w14:paraId="0EECFFD6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Esta Nota Técnica expõe o fundamento jurídico da solicitação, dirigida pelo SINDCOM às empresas e aos escritórios de contabilidade de sua base territorial, dos dados cadastrais dos trabalhadores do comércio por eles empregados, e esclarece:</w:t>
      </w:r>
    </w:p>
    <w:p w14:paraId="351F7A47" w14:textId="77777777" w:rsidR="00F61C15" w:rsidRDefault="00F61C15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 xml:space="preserve">o direito do Sindicato de solicitar os dados dos </w:t>
      </w:r>
      <w:r>
        <w:rPr>
          <w:rStyle w:val="Forte"/>
          <w:rFonts w:ascii="Georgia" w:eastAsia="Times New Roman" w:hAnsi="Georgia"/>
          <w:sz w:val="22"/>
          <w:szCs w:val="22"/>
        </w:rPr>
        <w:t>trabalhadores sindicalizados</w:t>
      </w:r>
      <w:r>
        <w:rPr>
          <w:rFonts w:ascii="Georgia" w:eastAsia="Times New Roman" w:hAnsi="Georgia"/>
          <w:color w:val="262626"/>
          <w:sz w:val="22"/>
          <w:szCs w:val="22"/>
        </w:rPr>
        <w:t>;</w:t>
      </w:r>
    </w:p>
    <w:p w14:paraId="13A2BEDA" w14:textId="77777777" w:rsidR="00F61C15" w:rsidRDefault="00F61C15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 xml:space="preserve">o direito do Sindicato de solicitar os dados dos </w:t>
      </w:r>
      <w:r>
        <w:rPr>
          <w:rStyle w:val="Forte"/>
          <w:rFonts w:ascii="Georgia" w:eastAsia="Times New Roman" w:hAnsi="Georgia"/>
          <w:sz w:val="22"/>
          <w:szCs w:val="22"/>
        </w:rPr>
        <w:t>trabalhadores que manifestaram oposição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à contribuição;</w:t>
      </w:r>
    </w:p>
    <w:p w14:paraId="6580687E" w14:textId="77777777" w:rsidR="00F61C15" w:rsidRDefault="00F61C15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 xml:space="preserve">o </w:t>
      </w:r>
      <w:r>
        <w:rPr>
          <w:rStyle w:val="Forte"/>
          <w:rFonts w:ascii="Georgia" w:eastAsia="Times New Roman" w:hAnsi="Georgia"/>
          <w:sz w:val="22"/>
          <w:szCs w:val="22"/>
        </w:rPr>
        <w:t>dever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das empresas e contabilidades de prestar essas informações;</w:t>
      </w:r>
    </w:p>
    <w:p w14:paraId="0A358590" w14:textId="77777777" w:rsidR="00F61C15" w:rsidRDefault="00F61C15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 xml:space="preserve">as consequências jurídicas da </w:t>
      </w:r>
      <w:r>
        <w:rPr>
          <w:rStyle w:val="Forte"/>
          <w:rFonts w:ascii="Georgia" w:eastAsia="Times New Roman" w:hAnsi="Georgia"/>
          <w:sz w:val="22"/>
          <w:szCs w:val="22"/>
        </w:rPr>
        <w:t>recusa injustificada</w:t>
      </w:r>
      <w:r>
        <w:rPr>
          <w:rFonts w:ascii="Georgia" w:eastAsia="Times New Roman" w:hAnsi="Georgia"/>
          <w:color w:val="262626"/>
          <w:sz w:val="22"/>
          <w:szCs w:val="22"/>
        </w:rPr>
        <w:t>;</w:t>
      </w:r>
    </w:p>
    <w:p w14:paraId="4251AC58" w14:textId="77777777" w:rsidR="00F61C15" w:rsidRDefault="00F61C15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 xml:space="preserve">as </w:t>
      </w:r>
      <w:r>
        <w:rPr>
          <w:rStyle w:val="Forte"/>
          <w:rFonts w:ascii="Georgia" w:eastAsia="Times New Roman" w:hAnsi="Georgia"/>
          <w:sz w:val="22"/>
          <w:szCs w:val="22"/>
        </w:rPr>
        <w:t>medidas de segurança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adotadas no tratamento dos dados.</w:t>
      </w:r>
    </w:p>
    <w:p w14:paraId="524D8D4D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2. Síntese</w:t>
      </w:r>
    </w:p>
    <w:p w14:paraId="04329AF1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SINDCOM solicita </w:t>
      </w:r>
      <w:r>
        <w:rPr>
          <w:rStyle w:val="Forte"/>
          <w:rFonts w:ascii="Georgia" w:hAnsi="Georgia"/>
          <w:sz w:val="22"/>
          <w:szCs w:val="22"/>
        </w:rPr>
        <w:t>seis campos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 xml:space="preserve">por trabalhador. Cinco são dados pessoais comuns; um — a informação de o trabalhador ser sindicalizado ou ter se oposto à contribuição — é </w:t>
      </w:r>
      <w:r>
        <w:rPr>
          <w:rStyle w:val="Forte"/>
          <w:rFonts w:ascii="Georgia" w:hAnsi="Georgia"/>
          <w:sz w:val="22"/>
          <w:szCs w:val="22"/>
        </w:rPr>
        <w:t>dado pessoal sensível</w:t>
      </w:r>
      <w:r>
        <w:rPr>
          <w:rFonts w:ascii="Georgia" w:hAnsi="Georgia"/>
          <w:color w:val="262626"/>
          <w:sz w:val="22"/>
          <w:szCs w:val="22"/>
        </w:rPr>
        <w:t>, por dizer respeito a filiação sindical (Lei nº 13.709/2018, art. 5º, II).</w:t>
      </w:r>
    </w:p>
    <w:p w14:paraId="246ECC78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tratamento se apoia, do lado do Sindicato, no </w:t>
      </w:r>
      <w:r>
        <w:rPr>
          <w:rStyle w:val="Forte"/>
          <w:rFonts w:ascii="Georgia" w:hAnsi="Georgia"/>
          <w:sz w:val="22"/>
          <w:szCs w:val="22"/>
        </w:rPr>
        <w:t>art. 11, II, "d"</w:t>
      </w:r>
      <w:r>
        <w:rPr>
          <w:rFonts w:ascii="Georgia" w:hAnsi="Georgia"/>
          <w:color w:val="262626"/>
          <w:sz w:val="22"/>
          <w:szCs w:val="22"/>
        </w:rPr>
        <w:t xml:space="preserve"> da Lei Geral de Proteção de Dados — exercício regular de direitos —, amparado na Constituição Federal, art. 8º, III, e na CLT, art. 513, alíneas "a" e "e". Do lado das empresas e contabilidades, apoia-se no </w:t>
      </w:r>
      <w:r>
        <w:rPr>
          <w:rStyle w:val="Forte"/>
          <w:rFonts w:ascii="Georgia" w:hAnsi="Georgia"/>
          <w:sz w:val="22"/>
          <w:szCs w:val="22"/>
        </w:rPr>
        <w:t>art. 11, II, "a"</w:t>
      </w:r>
      <w:r>
        <w:rPr>
          <w:rFonts w:ascii="Georgia" w:hAnsi="Georgia"/>
          <w:color w:val="262626"/>
          <w:sz w:val="22"/>
          <w:szCs w:val="22"/>
        </w:rPr>
        <w:t xml:space="preserve"> — cumprimento de obrigação legal ou regulatória —, uma vez que </w:t>
      </w:r>
      <w:r>
        <w:rPr>
          <w:rStyle w:val="Forte"/>
          <w:rFonts w:ascii="Georgia" w:hAnsi="Georgia"/>
          <w:sz w:val="22"/>
          <w:szCs w:val="22"/>
        </w:rPr>
        <w:t>as Convenções Coletivas de Trabalho vigentes já as obrigam a encaminhar ao Sindicato as relações de empregados e os comprovantes de recolhimento</w:t>
      </w:r>
      <w:r>
        <w:rPr>
          <w:rFonts w:ascii="Georgia" w:hAnsi="Georgia"/>
          <w:color w:val="262626"/>
          <w:sz w:val="22"/>
          <w:szCs w:val="22"/>
        </w:rPr>
        <w:t>.</w:t>
      </w:r>
    </w:p>
    <w:p w14:paraId="49A6E4EB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ponto central desta Nota, frequentemente mal compreendido, é este: </w:t>
      </w:r>
      <w:r>
        <w:rPr>
          <w:rStyle w:val="Forte"/>
          <w:rFonts w:ascii="Georgia" w:hAnsi="Georgia"/>
          <w:sz w:val="22"/>
          <w:szCs w:val="22"/>
        </w:rPr>
        <w:t>o dado sobre oposição não é colhido para agir contra quem se opôs, mas para deixar de cobrá-lo</w:t>
      </w:r>
      <w:r>
        <w:rPr>
          <w:rFonts w:ascii="Georgia" w:hAnsi="Georgia"/>
          <w:color w:val="262626"/>
          <w:sz w:val="22"/>
          <w:szCs w:val="22"/>
        </w:rPr>
        <w:t>. Sem essa informação o Sindicato não tem como honrar a oposição — e a própria norma coletiva lhe impõe devolver os valores descontados de quem se opôs.</w:t>
      </w:r>
    </w:p>
    <w:p w14:paraId="22A8F698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Registre-se, por fim, que </w:t>
      </w:r>
      <w:r>
        <w:rPr>
          <w:rStyle w:val="Forte"/>
          <w:rFonts w:ascii="Georgia" w:hAnsi="Georgia"/>
          <w:sz w:val="22"/>
          <w:szCs w:val="22"/>
        </w:rPr>
        <w:t>o SINDCOM solicita menos do que a norma coletiva lhe faculta exigir</w:t>
      </w:r>
      <w:r>
        <w:rPr>
          <w:rFonts w:ascii="Georgia" w:hAnsi="Georgia"/>
          <w:color w:val="262626"/>
          <w:sz w:val="22"/>
          <w:szCs w:val="22"/>
        </w:rPr>
        <w:t>, e em formato mais simples: seis campos, em lugar das guias e relatórios completos previstos nas Convenções.</w:t>
      </w:r>
    </w:p>
    <w:p w14:paraId="4708FC49" w14:textId="77777777" w:rsidR="00F61C15" w:rsidRDefault="00F61C15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7841BF41">
          <v:rect id="_x0000_i1026" style="width:0;height:1.5pt" o:hralign="center" o:hrstd="t" o:hr="t" fillcolor="#a0a0a0" stroked="f"/>
        </w:pict>
      </w:r>
    </w:p>
    <w:p w14:paraId="3EC358E8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3. O que é solicitado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536"/>
        <w:gridCol w:w="4882"/>
      </w:tblGrid>
      <w:tr w:rsidR="00000000" w14:paraId="70696E5A" w14:textId="77777777">
        <w:trPr>
          <w:tblHeader/>
        </w:trPr>
        <w:tc>
          <w:tcPr>
            <w:tcW w:w="0" w:type="auto"/>
            <w:tcBorders>
              <w:top w:val="single" w:sz="6" w:space="0" w:color="B9B6AA"/>
              <w:left w:val="single" w:sz="6" w:space="0" w:color="B9B6AA"/>
              <w:bottom w:val="single" w:sz="6" w:space="0" w:color="B9B6AA"/>
              <w:right w:val="single" w:sz="6" w:space="0" w:color="B9B6AA"/>
            </w:tcBorders>
            <w:shd w:val="clear" w:color="auto" w:fill="EFEE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3694B2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6" w:space="0" w:color="B9B6AA"/>
              <w:left w:val="single" w:sz="6" w:space="0" w:color="B9B6AA"/>
              <w:bottom w:val="single" w:sz="6" w:space="0" w:color="B9B6AA"/>
              <w:right w:val="single" w:sz="6" w:space="0" w:color="B9B6AA"/>
            </w:tcBorders>
            <w:shd w:val="clear" w:color="auto" w:fill="EFEE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F35764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  <w:t>Natureza</w:t>
            </w:r>
          </w:p>
        </w:tc>
        <w:tc>
          <w:tcPr>
            <w:tcW w:w="0" w:type="auto"/>
            <w:tcBorders>
              <w:top w:val="single" w:sz="6" w:space="0" w:color="B9B6AA"/>
              <w:left w:val="single" w:sz="6" w:space="0" w:color="B9B6AA"/>
              <w:bottom w:val="single" w:sz="6" w:space="0" w:color="B9B6AA"/>
              <w:right w:val="single" w:sz="6" w:space="0" w:color="B9B6AA"/>
            </w:tcBorders>
            <w:shd w:val="clear" w:color="auto" w:fill="EFEE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6C724B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  <w:t>Finalidade</w:t>
            </w:r>
          </w:p>
        </w:tc>
      </w:tr>
      <w:tr w:rsidR="00000000" w14:paraId="1E14396A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BB5B00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CNPJ do estabelecimento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9EBC7C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comum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B19E57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vincular o trabalhador ao estabelecimento e, por ele, à CCT ou ACT aplicável</w:t>
            </w:r>
          </w:p>
        </w:tc>
      </w:tr>
      <w:tr w:rsidR="00000000" w14:paraId="653D19CD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EB47C4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Nome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2CDCC8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comum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1EAF6F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identificação</w:t>
            </w:r>
          </w:p>
        </w:tc>
      </w:tr>
      <w:tr w:rsidR="00000000" w14:paraId="6FC1EC41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13BD90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CPF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5C3353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comum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29D44A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identificação unívoca; impede duplicidade de cadastro</w:t>
            </w:r>
          </w:p>
        </w:tc>
      </w:tr>
      <w:tr w:rsidR="00000000" w14:paraId="340DC1CD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915D7D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Telefone de contato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BC898F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comum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F6043E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comunicação com o representado</w:t>
            </w:r>
          </w:p>
        </w:tc>
      </w:tr>
      <w:tr w:rsidR="00000000" w14:paraId="5B4C58C0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D091F1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Piso salarial pago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7B946D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comum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FA1D8D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base de cálculo da contribuição e verificação do piso convencional</w:t>
            </w:r>
          </w:p>
        </w:tc>
      </w:tr>
      <w:tr w:rsidR="00000000" w14:paraId="05C84C7C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F5B63D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Sindicalizado ou opositor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5CF8A2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sensível</w:t>
            </w: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 xml:space="preserve"> (art. 5º, II)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BB3AB8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definir a contribuição devida e resguardar quem se opôs</w:t>
            </w:r>
          </w:p>
        </w:tc>
      </w:tr>
    </w:tbl>
    <w:p w14:paraId="702AE7E4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Não são solicitados</w:t>
      </w:r>
      <w:r>
        <w:rPr>
          <w:rFonts w:ascii="Georgia" w:hAnsi="Georgia"/>
          <w:color w:val="262626"/>
          <w:sz w:val="22"/>
          <w:szCs w:val="22"/>
        </w:rPr>
        <w:t xml:space="preserve">, deliberadamente: data de nascimento, endereço residencial, e-mail pessoal, estado civil, dados de dependentes, nem a data de entrega da carta de oposição. A limitação atende ao princípio da </w:t>
      </w:r>
      <w:r>
        <w:rPr>
          <w:rStyle w:val="Forte"/>
          <w:rFonts w:ascii="Georgia" w:hAnsi="Georgia"/>
          <w:sz w:val="22"/>
          <w:szCs w:val="22"/>
        </w:rPr>
        <w:t>necessidade</w:t>
      </w:r>
      <w:r>
        <w:rPr>
          <w:rFonts w:ascii="Georgia" w:hAnsi="Georgia"/>
          <w:color w:val="262626"/>
          <w:sz w:val="22"/>
          <w:szCs w:val="22"/>
        </w:rPr>
        <w:t xml:space="preserve"> (art. 6º, III), que restringe a coleta ao mínimo indispensável à finalidade declarada.</w:t>
      </w:r>
    </w:p>
    <w:p w14:paraId="390F1488" w14:textId="77777777" w:rsidR="00F61C15" w:rsidRDefault="00F61C15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0D5308D8">
          <v:rect id="_x0000_i1027" style="width:0;height:1.5pt" o:hralign="center" o:hrstd="t" o:hr="t" fillcolor="#a0a0a0" stroked="f"/>
        </w:pict>
      </w:r>
    </w:p>
    <w:p w14:paraId="1293853E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4. O fundamento da atuação sindical</w:t>
      </w:r>
    </w:p>
    <w:p w14:paraId="406B5B36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4.1 Norma constitucional</w:t>
      </w:r>
    </w:p>
    <w:p w14:paraId="71970F97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Dispõe a Constituição Federal, no art. 8º, III, que </w:t>
      </w:r>
      <w:r>
        <w:rPr>
          <w:rStyle w:val="nfase"/>
          <w:rFonts w:ascii="Georgia" w:hAnsi="Georgia"/>
          <w:color w:val="262626"/>
          <w:sz w:val="22"/>
          <w:szCs w:val="22"/>
        </w:rPr>
        <w:t>"ao sindicato cabe a defesa dos direitos e interesses coletivos ou individuais da categoria, inclusive em questões judiciais ou administrativas"</w:t>
      </w:r>
      <w:r>
        <w:rPr>
          <w:rFonts w:ascii="Georgia" w:hAnsi="Georgia"/>
          <w:color w:val="262626"/>
          <w:sz w:val="22"/>
          <w:szCs w:val="22"/>
        </w:rPr>
        <w:t>.</w:t>
      </w:r>
    </w:p>
    <w:p w14:paraId="4B3E000D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representação alcança </w:t>
      </w:r>
      <w:r>
        <w:rPr>
          <w:rStyle w:val="Forte"/>
          <w:rFonts w:ascii="Georgia" w:hAnsi="Georgia"/>
          <w:sz w:val="22"/>
          <w:szCs w:val="22"/>
        </w:rPr>
        <w:t>toda a categoria</w:t>
      </w:r>
      <w:r>
        <w:rPr>
          <w:rFonts w:ascii="Georgia" w:hAnsi="Georgia"/>
          <w:color w:val="262626"/>
          <w:sz w:val="22"/>
          <w:szCs w:val="22"/>
        </w:rPr>
        <w:t>, e não apenas os filiados. É essa amplitude que justifica o Sindicato conhecer o universo que representa — e não somente sua lista de associados. Um sindicato que ignora quem compõe a categoria não tem como defender direitos coletivos com base em fatos, negociar pisos a partir da realidade salarial, nem identificar o descumprimento de cláusula convencional.</w:t>
      </w:r>
    </w:p>
    <w:p w14:paraId="2494D7A7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4.2 Norma legal</w:t>
      </w:r>
    </w:p>
    <w:p w14:paraId="7D21EED7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São prerrogativas dos sindicatos, nos termos do art. 513 da Consolidação das Leis do Trabalho (Decreto-Lei nº 5.452/1943):</w:t>
      </w:r>
    </w:p>
    <w:p w14:paraId="19D4B1C2" w14:textId="77777777" w:rsidR="00F61C15" w:rsidRDefault="00F61C15">
      <w:pPr>
        <w:numPr>
          <w:ilvl w:val="0"/>
          <w:numId w:val="2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lastRenderedPageBreak/>
        <w:t>alínea "a"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—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</w:t>
      </w:r>
      <w:r>
        <w:rPr>
          <w:rStyle w:val="nfase"/>
          <w:rFonts w:ascii="Georgia" w:eastAsia="Times New Roman" w:hAnsi="Georgia"/>
          <w:color w:val="262626"/>
          <w:sz w:val="22"/>
          <w:szCs w:val="22"/>
        </w:rPr>
        <w:t>representar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, perante as autoridades administrativas e judiciárias, os interesses gerais da categoria ou profissão liberal ou os </w:t>
      </w:r>
      <w:r>
        <w:rPr>
          <w:rStyle w:val="Forte"/>
          <w:rFonts w:ascii="Georgia" w:eastAsia="Times New Roman" w:hAnsi="Georgia"/>
          <w:sz w:val="22"/>
          <w:szCs w:val="22"/>
        </w:rPr>
        <w:t>interesses individuais dos associados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relativos à atividade ou profissão exercida;</w:t>
      </w:r>
    </w:p>
    <w:p w14:paraId="0FB41880" w14:textId="77777777" w:rsidR="00F61C15" w:rsidRDefault="00F61C15">
      <w:pPr>
        <w:numPr>
          <w:ilvl w:val="0"/>
          <w:numId w:val="2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alínea "e"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— </w:t>
      </w:r>
      <w:r>
        <w:rPr>
          <w:rStyle w:val="Forte"/>
          <w:rFonts w:ascii="Georgia" w:eastAsia="Times New Roman" w:hAnsi="Georgia"/>
          <w:sz w:val="22"/>
          <w:szCs w:val="22"/>
        </w:rPr>
        <w:t>impor contribuições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a todos aqueles que participam das categorias econômicas ou profissionais ou das profissões liberais representadas.</w:t>
      </w:r>
    </w:p>
    <w:p w14:paraId="0B1CA2BF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A alínea "e" é o elemento decisivo para a compreensão do campo sensível, conforme se desenvolve no item 6.</w:t>
      </w:r>
    </w:p>
    <w:p w14:paraId="649C2E5C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4.3 Base legal do tratamento pelo Sindicato</w:t>
      </w:r>
    </w:p>
    <w:p w14:paraId="56AB695F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tratamento do dado sensível pelo SINDCOM encontra fundamento no </w:t>
      </w:r>
      <w:r>
        <w:rPr>
          <w:rStyle w:val="Forte"/>
          <w:rFonts w:ascii="Georgia" w:hAnsi="Georgia"/>
          <w:sz w:val="22"/>
          <w:szCs w:val="22"/>
        </w:rPr>
        <w:t>art. 11, II, "d"</w:t>
      </w:r>
      <w:r>
        <w:rPr>
          <w:rFonts w:ascii="Georgia" w:hAnsi="Georgia"/>
          <w:color w:val="262626"/>
          <w:sz w:val="22"/>
          <w:szCs w:val="22"/>
        </w:rPr>
        <w:t xml:space="preserve"> da Lei Geral de Proteção de Dados, que o autoriza, independentemente de consentimento, quando indispensável ao </w:t>
      </w:r>
      <w:r>
        <w:rPr>
          <w:rStyle w:val="Forte"/>
          <w:rFonts w:ascii="Georgia" w:hAnsi="Georgia"/>
          <w:sz w:val="22"/>
          <w:szCs w:val="22"/>
        </w:rPr>
        <w:t>exercício regular de direitos</w:t>
      </w:r>
      <w:r>
        <w:rPr>
          <w:rFonts w:ascii="Georgia" w:hAnsi="Georgia"/>
          <w:color w:val="262626"/>
          <w:sz w:val="22"/>
          <w:szCs w:val="22"/>
        </w:rPr>
        <w:t>.</w:t>
      </w:r>
    </w:p>
    <w:p w14:paraId="08F63536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Sindicato atua como instância de salvaguarda e execução de direitos que a Constituição e a CLT lhe atribuem. O tratamento é </w:t>
      </w:r>
      <w:r>
        <w:rPr>
          <w:rStyle w:val="Forte"/>
          <w:rFonts w:ascii="Georgia" w:hAnsi="Georgia"/>
          <w:sz w:val="22"/>
          <w:szCs w:val="22"/>
        </w:rPr>
        <w:t>indispensável</w:t>
      </w:r>
      <w:r>
        <w:rPr>
          <w:rFonts w:ascii="Georgia" w:hAnsi="Georgia"/>
          <w:color w:val="262626"/>
          <w:sz w:val="22"/>
          <w:szCs w:val="22"/>
        </w:rPr>
        <w:t>: sem os dados não há como exercer a representação, calcular a contribuição devida ou, sobretudo, respeitar a oposição manifestada.</w:t>
      </w:r>
    </w:p>
    <w:p w14:paraId="686407F8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</w:t>
      </w:r>
      <w:r>
        <w:rPr>
          <w:rStyle w:val="Forte"/>
          <w:rFonts w:ascii="Georgia" w:hAnsi="Georgia"/>
          <w:sz w:val="22"/>
          <w:szCs w:val="22"/>
        </w:rPr>
        <w:t>consentimento do titular</w:t>
      </w:r>
      <w:r>
        <w:rPr>
          <w:rFonts w:ascii="Georgia" w:hAnsi="Georgia"/>
          <w:color w:val="262626"/>
          <w:sz w:val="22"/>
          <w:szCs w:val="22"/>
        </w:rPr>
        <w:t xml:space="preserve"> (art. 11, I) é expressamente afastado, por duas razões: quem transmite a informação é o empregador ou seu contador, e não o próprio titular; e o consentimento colhido pelo empregador acerca de filiação sindical é juridicamente frágil, dado o desequilíbrio inerente à relação de emprego, podendo sua própria coleta expor o trabalhador. </w:t>
      </w:r>
      <w:r>
        <w:rPr>
          <w:rStyle w:val="Forte"/>
          <w:rFonts w:ascii="Georgia" w:hAnsi="Georgia"/>
          <w:sz w:val="22"/>
          <w:szCs w:val="22"/>
        </w:rPr>
        <w:t>Afastar o consentimento, neste caso, protege quem trabalha.</w:t>
      </w:r>
    </w:p>
    <w:p w14:paraId="6092AD80" w14:textId="77777777" w:rsidR="00F61C15" w:rsidRDefault="00F61C15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4586ED0F">
          <v:rect id="_x0000_i1028" style="width:0;height:1.5pt" o:hralign="center" o:hrstd="t" o:hr="t" fillcolor="#a0a0a0" stroked="f"/>
        </w:pict>
      </w:r>
    </w:p>
    <w:p w14:paraId="761703BA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5. O dever das empresas e das contabilidades</w:t>
      </w:r>
    </w:p>
    <w:p w14:paraId="6BF6FCEA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Este item responde a pergunta distinta da anterior: não </w:t>
      </w:r>
      <w:r>
        <w:rPr>
          <w:rStyle w:val="nfase"/>
          <w:rFonts w:ascii="Georgia" w:hAnsi="Georgia"/>
          <w:color w:val="262626"/>
          <w:sz w:val="22"/>
          <w:szCs w:val="22"/>
        </w:rPr>
        <w:t>"por que o Sindicato pode solicitar"</w:t>
      </w:r>
      <w:r>
        <w:rPr>
          <w:rFonts w:ascii="Georgia" w:hAnsi="Georgia"/>
          <w:color w:val="262626"/>
          <w:sz w:val="22"/>
          <w:szCs w:val="22"/>
        </w:rPr>
        <w:t xml:space="preserve">, mas </w:t>
      </w:r>
      <w:r>
        <w:rPr>
          <w:rStyle w:val="Forte"/>
          <w:rFonts w:ascii="Georgia" w:hAnsi="Georgia"/>
          <w:sz w:val="22"/>
          <w:szCs w:val="22"/>
        </w:rPr>
        <w:t>"por que a empresa pode — e deve — enviar"</w:t>
      </w:r>
      <w:r>
        <w:rPr>
          <w:rFonts w:ascii="Georgia" w:hAnsi="Georgia"/>
          <w:color w:val="262626"/>
          <w:sz w:val="22"/>
          <w:szCs w:val="22"/>
        </w:rPr>
        <w:t>.</w:t>
      </w:r>
    </w:p>
    <w:p w14:paraId="7D519111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5.1 A obrigação já está pactuada em Convenção Coletiva</w:t>
      </w:r>
    </w:p>
    <w:p w14:paraId="3D374751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As Convenções Coletivas de Trabalho vigentes na base territorial contêm, na cláusula relativa à contribuição dos empregados, disposição expressa:</w:t>
      </w:r>
    </w:p>
    <w:p w14:paraId="0CB7B7EF" w14:textId="77777777" w:rsidR="00F61C15" w:rsidRDefault="00F61C15">
      <w:pPr>
        <w:shd w:val="clear" w:color="auto" w:fill="F7F6F1"/>
        <w:spacing w:before="200" w:after="200"/>
        <w:ind w:left="240"/>
        <w:jc w:val="both"/>
        <w:divId w:val="1296373381"/>
        <w:rPr>
          <w:rFonts w:ascii="Georgia" w:hAnsi="Georgia"/>
          <w:i/>
          <w:iCs/>
          <w:color w:val="3A3A3A"/>
          <w:sz w:val="22"/>
          <w:szCs w:val="22"/>
        </w:rPr>
      </w:pPr>
      <w:r>
        <w:rPr>
          <w:rStyle w:val="nfase"/>
          <w:rFonts w:ascii="Georgia" w:hAnsi="Georgia"/>
          <w:color w:val="3A3A3A"/>
          <w:sz w:val="22"/>
          <w:szCs w:val="22"/>
        </w:rPr>
        <w:t>"Dentro de 15 (quinze) dias do desconto, as empresas encaminharão à Entidade Profissional cópias de comprovação dos recolhimentos dos valores, acompanhadas das relações de empregados contribuintes, das quais constem os salários anteriores e os corrigidos."</w:t>
      </w:r>
    </w:p>
    <w:p w14:paraId="7F180691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Localização: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1"/>
        <w:gridCol w:w="4497"/>
      </w:tblGrid>
      <w:tr w:rsidR="00000000" w14:paraId="597DA3A4" w14:textId="77777777">
        <w:trPr>
          <w:tblHeader/>
        </w:trPr>
        <w:tc>
          <w:tcPr>
            <w:tcW w:w="0" w:type="auto"/>
            <w:tcBorders>
              <w:top w:val="single" w:sz="6" w:space="0" w:color="B9B6AA"/>
              <w:left w:val="single" w:sz="6" w:space="0" w:color="B9B6AA"/>
              <w:bottom w:val="single" w:sz="6" w:space="0" w:color="B9B6AA"/>
              <w:right w:val="single" w:sz="6" w:space="0" w:color="B9B6AA"/>
            </w:tcBorders>
            <w:shd w:val="clear" w:color="auto" w:fill="EFEE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C0D219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  <w:t>Convenção Coletiva de Trabalho 2026</w:t>
            </w:r>
          </w:p>
        </w:tc>
        <w:tc>
          <w:tcPr>
            <w:tcW w:w="0" w:type="auto"/>
            <w:tcBorders>
              <w:top w:val="single" w:sz="6" w:space="0" w:color="B9B6AA"/>
              <w:left w:val="single" w:sz="6" w:space="0" w:color="B9B6AA"/>
              <w:bottom w:val="single" w:sz="6" w:space="0" w:color="B9B6AA"/>
              <w:right w:val="single" w:sz="6" w:space="0" w:color="B9B6AA"/>
            </w:tcBorders>
            <w:shd w:val="clear" w:color="auto" w:fill="EFEE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48F8CD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  <w:t>Cláusula</w:t>
            </w:r>
          </w:p>
        </w:tc>
      </w:tr>
      <w:tr w:rsidR="00000000" w14:paraId="3D182D1E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FBBC3F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 xml:space="preserve">Fecomércio </w:t>
            </w: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Atacadista</w:t>
            </w: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 xml:space="preserve"> — Passos e Região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71856B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Cláusula Trigésima Quarta, Parágrafo Segundo</w:t>
            </w:r>
          </w:p>
        </w:tc>
      </w:tr>
      <w:tr w:rsidR="00000000" w14:paraId="74D2DC4F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87AA2B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 xml:space="preserve">Fecomércio </w:t>
            </w: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Varejista</w:t>
            </w: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 xml:space="preserve"> — Região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981E64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cláusula correspondente</w:t>
            </w:r>
          </w:p>
        </w:tc>
      </w:tr>
      <w:tr w:rsidR="00000000" w14:paraId="63A2C74C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5AB7D0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SindSuper</w:t>
            </w: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 xml:space="preserve"> Varejista — Região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4A7CCE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Cláusula Trigésima Segunda, Parágrafo Segundo</w:t>
            </w:r>
          </w:p>
        </w:tc>
      </w:tr>
      <w:tr w:rsidR="00000000" w14:paraId="1C083214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C48DFD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Sincovaga</w:t>
            </w: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 xml:space="preserve"> Alimentício — Região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882BE0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[a completar]</w:t>
            </w:r>
          </w:p>
        </w:tc>
      </w:tr>
      <w:tr w:rsidR="00000000" w14:paraId="72827C6F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75ECEE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SinPas</w:t>
            </w: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 xml:space="preserve"> Varejista — Passos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0F1AC3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[a completar]</w:t>
            </w:r>
          </w:p>
        </w:tc>
      </w:tr>
    </w:tbl>
    <w:p w14:paraId="12ECB29D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Três características tornam essa cláusula o alicerce da solicitação:</w:t>
      </w:r>
    </w:p>
    <w:p w14:paraId="1D8CEBB5" w14:textId="77777777" w:rsidR="00F61C15" w:rsidRDefault="00F61C15">
      <w:pPr>
        <w:numPr>
          <w:ilvl w:val="0"/>
          <w:numId w:val="3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É incondicional.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Não depende de adesão, certificado ou contrapartida. Basta ter havido o desconto.</w:t>
      </w:r>
    </w:p>
    <w:p w14:paraId="423B3AD9" w14:textId="77777777" w:rsidR="00F61C15" w:rsidRDefault="00F61C15">
      <w:pPr>
        <w:numPr>
          <w:ilvl w:val="0"/>
          <w:numId w:val="3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Seu destinatário é o Sindicato dos trabalhadores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— a "Entidade Profissional" —, e não a entidade sindical patronal.</w:t>
      </w:r>
    </w:p>
    <w:p w14:paraId="754D643B" w14:textId="77777777" w:rsidR="00F61C15" w:rsidRDefault="00F61C15">
      <w:pPr>
        <w:numPr>
          <w:ilvl w:val="0"/>
          <w:numId w:val="3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Seu objeto já abrange o que se solicita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</w:t>
      </w:r>
      <w:r>
        <w:rPr>
          <w:rFonts w:ascii="Georgia" w:eastAsia="Times New Roman" w:hAnsi="Georgia"/>
          <w:color w:val="262626"/>
          <w:sz w:val="22"/>
          <w:szCs w:val="22"/>
        </w:rPr>
        <w:t>— relação nominal de empregados e respectivos salários — e vai além, ao exigir também os comprovantes de recolhimento.</w:t>
      </w:r>
    </w:p>
    <w:p w14:paraId="350B1DA0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Há, ainda, obrigação acessória na cláusula </w:t>
      </w:r>
      <w:r>
        <w:rPr>
          <w:rStyle w:val="Forte"/>
          <w:rFonts w:ascii="Georgia" w:hAnsi="Georgia"/>
          <w:sz w:val="22"/>
          <w:szCs w:val="22"/>
        </w:rPr>
        <w:t>"Relação de Funcionários"</w:t>
      </w:r>
      <w:r>
        <w:rPr>
          <w:rFonts w:ascii="Georgia" w:hAnsi="Georgia"/>
          <w:color w:val="262626"/>
          <w:sz w:val="22"/>
          <w:szCs w:val="22"/>
        </w:rPr>
        <w:t xml:space="preserve"> — Cláusula Vigésima Nona nas Convenções do Fecomércio e Vigésima Sétima na do SindSuper —, cujo inciso III determina que </w:t>
      </w:r>
      <w:r>
        <w:rPr>
          <w:rStyle w:val="nfase"/>
          <w:rFonts w:ascii="Georgia" w:hAnsi="Georgia"/>
          <w:color w:val="262626"/>
          <w:sz w:val="22"/>
          <w:szCs w:val="22"/>
        </w:rPr>
        <w:t>"as empresas se obrigam, quando solicitadas, a apresentarem à ENTIDADE LABORAL, no prazo de 10 (dez) dias"</w:t>
      </w:r>
      <w:r>
        <w:rPr>
          <w:rFonts w:ascii="Georgia" w:hAnsi="Georgia"/>
          <w:color w:val="262626"/>
          <w:sz w:val="22"/>
          <w:szCs w:val="22"/>
        </w:rPr>
        <w:t>, o Relatório do FGTS Digital ou cópias das guias GFIP e RAIS. Essa obrigação, contudo, está condicionada ao interesse da empresa em se beneficiar das cláusulas de trabalho em feriado, razão pela qual constitui reforço, e não fundamento principal.</w:t>
      </w:r>
    </w:p>
    <w:p w14:paraId="067C5613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5.2 Base legal do compartilhamento pelo controlador</w:t>
      </w:r>
    </w:p>
    <w:p w14:paraId="6AFECD4C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As convenções e acordos coletivos têm reconhecimento constitucional (art. 7º, XXVI) e força normativa entre as partes. Havendo obrigação pactuada, o compartilhamento pela empresa ou por seu escritório de contabilidade encontra base própria em:</w:t>
      </w:r>
    </w:p>
    <w:p w14:paraId="4C16D7DE" w14:textId="77777777" w:rsidR="00F61C15" w:rsidRDefault="00F61C15">
      <w:pPr>
        <w:numPr>
          <w:ilvl w:val="0"/>
          <w:numId w:val="4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art. 11, II, "a"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da LGPD — cumprimento de obrigação legal ou regulatória, quanto ao campo sensível;</w:t>
      </w:r>
    </w:p>
    <w:p w14:paraId="236431D9" w14:textId="77777777" w:rsidR="00F61C15" w:rsidRDefault="00F61C15">
      <w:pPr>
        <w:numPr>
          <w:ilvl w:val="0"/>
          <w:numId w:val="4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art. 7º, II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da LGPD — cumprimento de obrigação legal ou regulatória, quanto aos cinco campos comuns.</w:t>
      </w:r>
    </w:p>
    <w:p w14:paraId="55D90F46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contador que atende à solicitação </w:t>
      </w:r>
      <w:r>
        <w:rPr>
          <w:rStyle w:val="Forte"/>
          <w:rFonts w:ascii="Georgia" w:hAnsi="Georgia"/>
          <w:sz w:val="22"/>
          <w:szCs w:val="22"/>
        </w:rPr>
        <w:t>não pratica compartilhamento irregular: cumpre obrigação convencional do seu cliente</w:t>
      </w:r>
      <w:r>
        <w:rPr>
          <w:rFonts w:ascii="Georgia" w:hAnsi="Georgia"/>
          <w:color w:val="262626"/>
          <w:sz w:val="22"/>
          <w:szCs w:val="22"/>
        </w:rPr>
        <w:t>, com base legal própria e expressa.</w:t>
      </w:r>
    </w:p>
    <w:p w14:paraId="032BC82D" w14:textId="77777777" w:rsidR="00F61C15" w:rsidRDefault="00F61C15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644120D4">
          <v:rect id="_x0000_i1029" style="width:0;height:1.5pt" o:hralign="center" o:hrstd="t" o:hr="t" fillcolor="#a0a0a0" stroked="f"/>
        </w:pict>
      </w:r>
    </w:p>
    <w:p w14:paraId="41AB0E5C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6. O campo sensível: por que a oposição precisa ser conhecida</w:t>
      </w:r>
    </w:p>
    <w:p w14:paraId="5A52B91D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6.1 O regime jurídico da contribuição</w:t>
      </w:r>
    </w:p>
    <w:p w14:paraId="32946846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O Supremo Tribunal Federal firmou, em sede de repercussão geral (</w:t>
      </w:r>
      <w:r>
        <w:rPr>
          <w:rStyle w:val="Forte"/>
          <w:rFonts w:ascii="Georgia" w:hAnsi="Georgia"/>
          <w:sz w:val="22"/>
          <w:szCs w:val="22"/>
        </w:rPr>
        <w:t>Tema 935 / ARE 1018459</w:t>
      </w:r>
      <w:r>
        <w:rPr>
          <w:rFonts w:ascii="Georgia" w:hAnsi="Georgia"/>
          <w:color w:val="262626"/>
          <w:sz w:val="22"/>
          <w:szCs w:val="22"/>
        </w:rPr>
        <w:t xml:space="preserve">), a tese de que </w:t>
      </w:r>
      <w:r>
        <w:rPr>
          <w:rStyle w:val="nfase"/>
          <w:rFonts w:ascii="Georgia" w:hAnsi="Georgia"/>
          <w:color w:val="262626"/>
          <w:sz w:val="22"/>
          <w:szCs w:val="22"/>
        </w:rPr>
        <w:t>"é constitucional a instituição, por acordo ou convenção coletivos, de contribuições assistenciais a serem impostas a todos os empregados da categoria, ainda que não sindicalizados, desde que assegurado o direito de oposição"</w:t>
      </w:r>
      <w:r>
        <w:rPr>
          <w:rFonts w:ascii="Georgia" w:hAnsi="Georgia"/>
          <w:color w:val="262626"/>
          <w:sz w:val="22"/>
          <w:szCs w:val="22"/>
        </w:rPr>
        <w:t>.</w:t>
      </w:r>
    </w:p>
    <w:p w14:paraId="02711E00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validade da cobrança está, portanto, </w:t>
      </w:r>
      <w:r>
        <w:rPr>
          <w:rStyle w:val="Forte"/>
          <w:rFonts w:ascii="Georgia" w:hAnsi="Georgia"/>
          <w:sz w:val="22"/>
          <w:szCs w:val="22"/>
        </w:rPr>
        <w:t>condicionada à efetividade do direito de oposição</w:t>
      </w:r>
      <w:r>
        <w:rPr>
          <w:rFonts w:ascii="Georgia" w:hAnsi="Georgia"/>
          <w:color w:val="262626"/>
          <w:sz w:val="22"/>
          <w:szCs w:val="22"/>
        </w:rPr>
        <w:t>. Não se trata de faculdade do Sindicato: é requisito de constitucionalidade da própria exigência.</w:t>
      </w:r>
    </w:p>
    <w:p w14:paraId="48988DF0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6.2 A norma coletiva admite a oposição perante a empresa</w:t>
      </w:r>
    </w:p>
    <w:p w14:paraId="1F8A02EA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A Convenção Coletiva, ao disciplinar a contribuição dos empregados, dispõe:</w:t>
      </w:r>
    </w:p>
    <w:p w14:paraId="0C9E8382" w14:textId="77777777" w:rsidR="00F61C15" w:rsidRDefault="00F61C15">
      <w:pPr>
        <w:shd w:val="clear" w:color="auto" w:fill="F7F6F1"/>
        <w:spacing w:before="200" w:after="200"/>
        <w:ind w:left="240"/>
        <w:jc w:val="both"/>
        <w:divId w:val="1681271949"/>
        <w:rPr>
          <w:rFonts w:ascii="Georgia" w:hAnsi="Georgia"/>
          <w:i/>
          <w:iCs/>
          <w:color w:val="3A3A3A"/>
          <w:sz w:val="22"/>
          <w:szCs w:val="22"/>
        </w:rPr>
      </w:pPr>
      <w:r>
        <w:rPr>
          <w:rStyle w:val="nfase"/>
          <w:rFonts w:ascii="Georgia" w:hAnsi="Georgia"/>
          <w:color w:val="3A3A3A"/>
          <w:sz w:val="22"/>
          <w:szCs w:val="22"/>
        </w:rPr>
        <w:t>"Fica assegurado o direito de oposição dos trabalhadores não sindicalizados quanto à contribuição prevista nesta cláusula, que poderá ser manifestado sem limitação temporal [...] sendo expressamente admitida a oposição manifestada por escrito pelo trabalhador junto à empresa empregadora incumbida do recolhimento ou, diretamente, ao Sindicato Profissional [...] devendo o Sindicato Profissional devolver a quantia ao trabalhador correlativo, acaso tenha sido a mesma equivocadamente descontada."</w:t>
      </w:r>
    </w:p>
    <w:p w14:paraId="3827C40E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Daí decorre consequência lógica inescapável:</w:t>
      </w:r>
    </w:p>
    <w:p w14:paraId="68991EE8" w14:textId="77777777" w:rsidR="00F61C15" w:rsidRDefault="00F61C15">
      <w:pPr>
        <w:shd w:val="clear" w:color="auto" w:fill="F7F6F1"/>
        <w:spacing w:before="200" w:after="200"/>
        <w:ind w:left="240"/>
        <w:jc w:val="both"/>
        <w:divId w:val="799302927"/>
        <w:rPr>
          <w:rFonts w:ascii="Georgia" w:hAnsi="Georgia"/>
          <w:i/>
          <w:iCs/>
          <w:color w:val="3A3A3A"/>
          <w:sz w:val="22"/>
          <w:szCs w:val="22"/>
        </w:rPr>
      </w:pPr>
      <w:r>
        <w:rPr>
          <w:rStyle w:val="Forte"/>
          <w:rFonts w:ascii="Georgia" w:hAnsi="Georgia"/>
          <w:i/>
          <w:iCs/>
          <w:sz w:val="22"/>
          <w:szCs w:val="22"/>
        </w:rPr>
        <w:t>A norma coletiva autoriza o trabalhador a manifestar oposição nas mãos da empresa. Quando ele assim procede, somente a empresa tem conhecimento do fato. Se a empresa não informa o Sindicato, o Sindicato cobra de quem se opôs — e passa a dever a devolução, por força da mesma cláusula.</w:t>
      </w:r>
    </w:p>
    <w:p w14:paraId="5543919B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solicitação de dados não cria esse dever de informar: </w:t>
      </w:r>
      <w:r>
        <w:rPr>
          <w:rStyle w:val="Forte"/>
          <w:rFonts w:ascii="Georgia" w:hAnsi="Georgia"/>
          <w:sz w:val="22"/>
          <w:szCs w:val="22"/>
        </w:rPr>
        <w:t>resolve a assimetria de informação que a própria Convenção instituiu</w:t>
      </w:r>
      <w:r>
        <w:rPr>
          <w:rFonts w:ascii="Georgia" w:hAnsi="Georgia"/>
          <w:color w:val="262626"/>
          <w:sz w:val="22"/>
          <w:szCs w:val="22"/>
        </w:rPr>
        <w:t>. A recusa em informar quem se opôs produz exatamente o dano que a cláusula de oposição pretende evitar.</w:t>
      </w:r>
    </w:p>
    <w:p w14:paraId="1C35D3A8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Registre-se que os instrumentos coletivos divergem quanto ao prazo: a Convenção do Fecomércio admite a oposição </w:t>
      </w:r>
      <w:r>
        <w:rPr>
          <w:rStyle w:val="Forte"/>
          <w:rFonts w:ascii="Georgia" w:hAnsi="Georgia"/>
          <w:sz w:val="22"/>
          <w:szCs w:val="22"/>
        </w:rPr>
        <w:t>sem limitação temporal</w:t>
      </w:r>
      <w:r>
        <w:rPr>
          <w:rFonts w:ascii="Georgia" w:hAnsi="Georgia"/>
          <w:color w:val="262626"/>
          <w:sz w:val="22"/>
          <w:szCs w:val="22"/>
        </w:rPr>
        <w:t xml:space="preserve"> no curso da vigência, ao passo que a do SindSuper a restringe a </w:t>
      </w:r>
      <w:r>
        <w:rPr>
          <w:rStyle w:val="Forte"/>
          <w:rFonts w:ascii="Georgia" w:hAnsi="Georgia"/>
          <w:sz w:val="22"/>
          <w:szCs w:val="22"/>
        </w:rPr>
        <w:t>30 (trinta) dias</w:t>
      </w:r>
      <w:r>
        <w:rPr>
          <w:rFonts w:ascii="Georgia" w:hAnsi="Georgia"/>
          <w:color w:val="262626"/>
          <w:sz w:val="22"/>
          <w:szCs w:val="22"/>
        </w:rPr>
        <w:t xml:space="preserve"> contados da assinatura do instrumento, com entrega direta e pessoal à Entidade Profissional. A verificação do regime aplicável depende, pois, da convenção que rege cada estabelecimento.</w:t>
      </w:r>
    </w:p>
    <w:p w14:paraId="5805A088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6.3 Síntese do argumento</w:t>
      </w:r>
    </w:p>
    <w:p w14:paraId="6AEC6CB4" w14:textId="77777777" w:rsidR="00F61C15" w:rsidRDefault="00F61C15">
      <w:pPr>
        <w:numPr>
          <w:ilvl w:val="0"/>
          <w:numId w:val="5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A CLT, art. 513, "e", faculta ao Sindicato impor contribuições a toda a categoria.</w:t>
      </w:r>
    </w:p>
    <w:p w14:paraId="0B13136E" w14:textId="77777777" w:rsidR="00F61C15" w:rsidRDefault="00F61C15">
      <w:pPr>
        <w:numPr>
          <w:ilvl w:val="0"/>
          <w:numId w:val="5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O Supremo Tribunal Federal somente admite a cobrança se assegurado o direito de oposição.</w:t>
      </w:r>
    </w:p>
    <w:p w14:paraId="75DD14EF" w14:textId="77777777" w:rsidR="00F61C15" w:rsidRDefault="00F61C15">
      <w:pPr>
        <w:numPr>
          <w:ilvl w:val="0"/>
          <w:numId w:val="5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A norma coletiva permite que a oposição seja manifestada perante a empresa.</w:t>
      </w:r>
    </w:p>
    <w:p w14:paraId="3D791AF2" w14:textId="77777777" w:rsidR="00F61C15" w:rsidRDefault="00F61C15">
      <w:pPr>
        <w:numPr>
          <w:ilvl w:val="0"/>
          <w:numId w:val="5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 xml:space="preserve">Logo, </w:t>
      </w:r>
      <w:r>
        <w:rPr>
          <w:rStyle w:val="Forte"/>
          <w:rFonts w:ascii="Georgia" w:eastAsia="Times New Roman" w:hAnsi="Georgia"/>
          <w:sz w:val="22"/>
          <w:szCs w:val="22"/>
        </w:rPr>
        <w:t>conhecer quem se opôs é condição de legalidade da cobrança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— e o dado sensível é tratado para produzir uma </w:t>
      </w:r>
      <w:r>
        <w:rPr>
          <w:rStyle w:val="Forte"/>
          <w:rFonts w:ascii="Georgia" w:eastAsia="Times New Roman" w:hAnsi="Georgia"/>
          <w:sz w:val="22"/>
          <w:szCs w:val="22"/>
        </w:rPr>
        <w:t>abstenção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do Sindicato, jamais uma ação contra o trabalhador.</w:t>
      </w:r>
    </w:p>
    <w:p w14:paraId="6A0B9525" w14:textId="77777777" w:rsidR="00F61C15" w:rsidRDefault="00F61C15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319550B0">
          <v:rect id="_x0000_i1030" style="width:0;height:1.5pt" o:hralign="center" o:hrstd="t" o:hr="t" fillcolor="#a0a0a0" stroked="f"/>
        </w:pict>
      </w:r>
    </w:p>
    <w:p w14:paraId="5965A779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7. A recusa injustificada</w:t>
      </w:r>
    </w:p>
    <w:p w14:paraId="2BD6B08A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7.1 Descumprimento de norma coletiva</w:t>
      </w:r>
    </w:p>
    <w:p w14:paraId="663F60F8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recusa em prestar informação expressamente devida por cláusula convencional configura, antes de tudo, </w:t>
      </w:r>
      <w:r>
        <w:rPr>
          <w:rStyle w:val="Forte"/>
          <w:rFonts w:ascii="Georgia" w:hAnsi="Georgia"/>
          <w:sz w:val="22"/>
          <w:szCs w:val="22"/>
        </w:rPr>
        <w:t>inadimplemento de norma coletiva</w:t>
      </w:r>
      <w:r>
        <w:rPr>
          <w:rFonts w:ascii="Georgia" w:hAnsi="Georgia"/>
          <w:color w:val="262626"/>
          <w:sz w:val="22"/>
          <w:szCs w:val="22"/>
        </w:rPr>
        <w:t>, sujeitando a empresa às consequências nela previstas, inclusive às multas convencionais, e à fiscalização da Superintendência Regional do Trabalho, expressamente autorizada nas próprias Convenções.</w:t>
      </w:r>
    </w:p>
    <w:p w14:paraId="2877E4D5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7.2 Conduta antissindical</w:t>
      </w:r>
    </w:p>
    <w:p w14:paraId="1A9297F2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liberdade sindical é protegida pela </w:t>
      </w:r>
      <w:r>
        <w:rPr>
          <w:rStyle w:val="Forte"/>
          <w:rFonts w:ascii="Georgia" w:hAnsi="Georgia"/>
          <w:sz w:val="22"/>
          <w:szCs w:val="22"/>
        </w:rPr>
        <w:t>Convenção nº 98 da Organização Internacional do Trabalho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 xml:space="preserve">— aprovada pelo Decreto Legislativo nº 49/1952, ratificada em 18 de novembro de 1952 e promulgada pelo </w:t>
      </w:r>
      <w:r>
        <w:rPr>
          <w:rStyle w:val="Forte"/>
          <w:rFonts w:ascii="Georgia" w:hAnsi="Georgia"/>
          <w:sz w:val="22"/>
          <w:szCs w:val="22"/>
        </w:rPr>
        <w:t>Decreto nº 33.196, de 19 de junho de 1953</w:t>
      </w:r>
      <w:r>
        <w:rPr>
          <w:rFonts w:ascii="Georgia" w:hAnsi="Georgia"/>
          <w:color w:val="262626"/>
          <w:sz w:val="22"/>
          <w:szCs w:val="22"/>
        </w:rPr>
        <w:t xml:space="preserve">, em vigor no Brasil —, cujo Artigo 2º assegura às organizações de trabalhadores </w:t>
      </w:r>
      <w:r>
        <w:rPr>
          <w:rStyle w:val="nfase"/>
          <w:rFonts w:ascii="Georgia" w:hAnsi="Georgia"/>
          <w:color w:val="262626"/>
          <w:sz w:val="22"/>
          <w:szCs w:val="22"/>
        </w:rPr>
        <w:t>"proteção adequada contra quaisquer atos de ingerência"</w:t>
      </w:r>
      <w:r>
        <w:rPr>
          <w:rFonts w:ascii="Georgia" w:hAnsi="Georgia"/>
          <w:color w:val="262626"/>
          <w:sz w:val="22"/>
          <w:szCs w:val="22"/>
        </w:rPr>
        <w:t xml:space="preserve"> em sua formação, funcionamento e administração.</w:t>
      </w:r>
    </w:p>
    <w:p w14:paraId="04DBED38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Os princípios da </w:t>
      </w:r>
      <w:r>
        <w:rPr>
          <w:rStyle w:val="Forte"/>
          <w:rFonts w:ascii="Georgia" w:hAnsi="Georgia"/>
          <w:sz w:val="22"/>
          <w:szCs w:val="22"/>
        </w:rPr>
        <w:t>Convenção nº 87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 xml:space="preserve">da OIT, embora não ratificada pelo Brasil, são de observância obrigatória por força da Declaração da OIT sobre Princípios e Direitos Fundamentais no Trabalho (1998), que vincula os Estados-membros </w:t>
      </w:r>
      <w:r>
        <w:rPr>
          <w:rStyle w:val="nfase"/>
          <w:rFonts w:ascii="Georgia" w:hAnsi="Georgia"/>
          <w:color w:val="262626"/>
          <w:sz w:val="22"/>
          <w:szCs w:val="22"/>
        </w:rPr>
        <w:t>"tenham ou não ratificado as Convenções relevantes"</w:t>
      </w:r>
      <w:r>
        <w:rPr>
          <w:rFonts w:ascii="Georgia" w:hAnsi="Georgia"/>
          <w:color w:val="262626"/>
          <w:sz w:val="22"/>
          <w:szCs w:val="22"/>
        </w:rPr>
        <w:t>, e, no plano interno, por via do art. 8º da CLT.</w:t>
      </w:r>
    </w:p>
    <w:p w14:paraId="042829B5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doutrina e a jurisprudência arrolam entre as condutas antissindicais a </w:t>
      </w:r>
      <w:r>
        <w:rPr>
          <w:rStyle w:val="Forte"/>
          <w:rFonts w:ascii="Georgia" w:hAnsi="Georgia"/>
          <w:sz w:val="22"/>
          <w:szCs w:val="22"/>
        </w:rPr>
        <w:t>obstrução, omissão ou resistência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>ao exercício da atividade sindical. Registre-se precedente que reconheceu conduta antissindical na recusa patronal em receber fichas de filiação assinadas por empregados (TRT da 20ª Região, Recurso Ordinário nº 0000286-54.2021.5.20.0003, Rel. Des. Jorge Antonio Andrade Cardoso, publ. 01/07/2022) — hipótese análoga, por igualmente consistir em recusa patronal que obsta a relação entre trabalhador e entidade sindical.</w:t>
      </w:r>
    </w:p>
    <w:p w14:paraId="13D4A640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Cumpre observar, todavia, que o SINDCOM não parte da presunção de má-fé. </w:t>
      </w:r>
      <w:r>
        <w:rPr>
          <w:rStyle w:val="Forte"/>
          <w:rFonts w:ascii="Georgia" w:hAnsi="Georgia"/>
          <w:sz w:val="22"/>
          <w:szCs w:val="22"/>
        </w:rPr>
        <w:t>A larga maioria das empresas e contabilidades desconhece a existência da cláusula convencional que as obriga</w:t>
      </w:r>
      <w:r>
        <w:rPr>
          <w:rFonts w:ascii="Georgia" w:hAnsi="Georgia"/>
          <w:color w:val="262626"/>
          <w:sz w:val="22"/>
          <w:szCs w:val="22"/>
        </w:rPr>
        <w:t xml:space="preserve"> — e é precisamente a essa lacuna de informação que a presente Nota Técnica se destina.</w:t>
      </w:r>
    </w:p>
    <w:p w14:paraId="5FFAA024" w14:textId="77777777" w:rsidR="00F61C15" w:rsidRDefault="00F61C15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48454A73">
          <v:rect id="_x0000_i1031" style="width:0;height:1.5pt" o:hralign="center" o:hrstd="t" o:hr="t" fillcolor="#a0a0a0" stroked="f"/>
        </w:pict>
      </w:r>
    </w:p>
    <w:p w14:paraId="2CDE7C71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8. Segurança do tratamento</w:t>
      </w:r>
    </w:p>
    <w:p w14:paraId="6E58BC16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As medidas a seguir não constituem declaração de intenção: são características implementadas do sistema que recebe os dados, verificáveis e submetidas a teste de invasão deliberado antes de qualquer operação.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4876"/>
      </w:tblGrid>
      <w:tr w:rsidR="00000000" w14:paraId="487EB0CF" w14:textId="77777777">
        <w:trPr>
          <w:tblHeader/>
        </w:trPr>
        <w:tc>
          <w:tcPr>
            <w:tcW w:w="0" w:type="auto"/>
            <w:tcBorders>
              <w:top w:val="single" w:sz="6" w:space="0" w:color="B9B6AA"/>
              <w:left w:val="single" w:sz="6" w:space="0" w:color="B9B6AA"/>
              <w:bottom w:val="single" w:sz="6" w:space="0" w:color="B9B6AA"/>
              <w:right w:val="single" w:sz="6" w:space="0" w:color="B9B6AA"/>
            </w:tcBorders>
            <w:shd w:val="clear" w:color="auto" w:fill="EFEE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348B4E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  <w:t>Medida</w:t>
            </w:r>
          </w:p>
        </w:tc>
        <w:tc>
          <w:tcPr>
            <w:tcW w:w="0" w:type="auto"/>
            <w:tcBorders>
              <w:top w:val="single" w:sz="6" w:space="0" w:color="B9B6AA"/>
              <w:left w:val="single" w:sz="6" w:space="0" w:color="B9B6AA"/>
              <w:bottom w:val="single" w:sz="6" w:space="0" w:color="B9B6AA"/>
              <w:right w:val="single" w:sz="6" w:space="0" w:color="B9B6AA"/>
            </w:tcBorders>
            <w:shd w:val="clear" w:color="auto" w:fill="EFEE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D11E28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  <w:t>Efeito</w:t>
            </w:r>
          </w:p>
        </w:tc>
      </w:tr>
      <w:tr w:rsidR="00000000" w14:paraId="4CB976C1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51CB98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Envio por link individual, com prazo de validade e revogável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FC4A41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o acesso não se converte em credencial permanente; link comprometido é desativado sem perda do histórico</w:t>
            </w:r>
          </w:p>
        </w:tc>
      </w:tr>
      <w:tr w:rsidR="00000000" w14:paraId="508FF391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0DAD79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O link não permite leitura de dado algum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C4A8E3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 xml:space="preserve">quem o recebe consegue apenas </w:t>
            </w: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enviar</w:t>
            </w: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, jamais consultar ou listar informação de terceiros</w:t>
            </w:r>
          </w:p>
        </w:tc>
      </w:tr>
      <w:tr w:rsidR="00000000" w14:paraId="55681B72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7FF01F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Limite de tentativas por link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2BA50F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protege o recurso sem penalizar o remetente legítimo</w:t>
            </w:r>
          </w:p>
        </w:tc>
      </w:tr>
      <w:tr w:rsidR="00000000" w14:paraId="2F80FD7B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F1CCF1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Arquivo em repositório privado, servido por endereço assinado de validade curta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4FFBEF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planilha com CPF nunca acessível por endereço público</w:t>
            </w:r>
          </w:p>
        </w:tc>
      </w:tr>
      <w:tr w:rsidR="00000000" w14:paraId="63A076BC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8922B1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Validação no próprio navegador de quem envia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048CF5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dígito verificador de CPF conferido antes da transmissão</w:t>
            </w:r>
          </w:p>
        </w:tc>
      </w:tr>
      <w:tr w:rsidR="00000000" w14:paraId="652A7304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F7F213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Nenhum dado ingressa no cadastro sem revisão humana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0E8C55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inexiste gravação automática a partir de origem externa</w:t>
            </w:r>
          </w:p>
        </w:tc>
      </w:tr>
      <w:tr w:rsidR="00000000" w14:paraId="347A7A02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8B4E00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Remessa imutável, com registro de origem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3C1EE9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rastreabilidade de quem enviou, o quê e quando</w:t>
            </w:r>
          </w:p>
        </w:tc>
      </w:tr>
      <w:tr w:rsidR="00000000" w14:paraId="338B3521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A75C65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Controle de acesso em nível de registro no banco de dados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906BFB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isolamento verificado na base, e não apenas na aplicação</w:t>
            </w:r>
          </w:p>
        </w:tc>
      </w:tr>
      <w:tr w:rsidR="00000000" w14:paraId="3A2F10DA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820E9F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Teste adversarial obrigatório antes de ampliação de superfície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77EF95" w14:textId="77777777" w:rsidR="00F61C15" w:rsidRDefault="00F61C15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o sistema é atacado deliberadamente antes de entrar em operação</w:t>
            </w:r>
          </w:p>
        </w:tc>
      </w:tr>
    </w:tbl>
    <w:p w14:paraId="3AA66059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Atendem-se, assim, os princípios do </w:t>
      </w:r>
      <w:r>
        <w:rPr>
          <w:rStyle w:val="Forte"/>
          <w:rFonts w:ascii="Georgia" w:hAnsi="Georgia"/>
          <w:sz w:val="22"/>
          <w:szCs w:val="22"/>
        </w:rPr>
        <w:t>art. 6º</w:t>
      </w:r>
      <w:r>
        <w:rPr>
          <w:rFonts w:ascii="Georgia" w:hAnsi="Georgia"/>
          <w:color w:val="262626"/>
          <w:sz w:val="22"/>
          <w:szCs w:val="22"/>
        </w:rPr>
        <w:t xml:space="preserve"> da LGPD — finalidade, adequação, necessidade, segurança e prevenção — e o dever de segurança do </w:t>
      </w:r>
      <w:r>
        <w:rPr>
          <w:rStyle w:val="Forte"/>
          <w:rFonts w:ascii="Georgia" w:hAnsi="Georgia"/>
          <w:sz w:val="22"/>
          <w:szCs w:val="22"/>
        </w:rPr>
        <w:t>art. 46</w:t>
      </w:r>
      <w:r>
        <w:rPr>
          <w:rFonts w:ascii="Georgia" w:hAnsi="Georgia"/>
          <w:color w:val="262626"/>
          <w:sz w:val="22"/>
          <w:szCs w:val="22"/>
        </w:rPr>
        <w:t>.</w:t>
      </w:r>
    </w:p>
    <w:p w14:paraId="1BCB186A" w14:textId="77777777" w:rsidR="00F61C15" w:rsidRDefault="00F61C15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254607CE">
          <v:rect id="_x0000_i1032" style="width:0;height:1.5pt" o:hralign="center" o:hrstd="t" o:hr="t" fillcolor="#a0a0a0" stroked="f"/>
        </w:pict>
      </w:r>
    </w:p>
    <w:p w14:paraId="59746B6E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9. Guarda, exclusão e eliminação</w:t>
      </w:r>
    </w:p>
    <w:p w14:paraId="624A3B64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9.1 Trabalhadores filiados</w:t>
      </w:r>
    </w:p>
    <w:p w14:paraId="54D562C3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manutenção e a atualização dos dados constituem </w:t>
      </w:r>
      <w:r>
        <w:rPr>
          <w:rStyle w:val="Forte"/>
          <w:rFonts w:ascii="Georgia" w:hAnsi="Georgia"/>
          <w:sz w:val="22"/>
          <w:szCs w:val="22"/>
        </w:rPr>
        <w:t>pré-requisito da prestação dos serviços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 xml:space="preserve">assegurados pela filiação — defesa jurídica, convênios, descontos e benefícios, extensivos aos beneficiários indicados. O pedido de exclusão será atendido, com prévia comunicação ao titular de que a exclusão implica a perda dos serviços e benefícios correspondentes. O pedido formaliza-se por </w:t>
      </w:r>
      <w:r>
        <w:rPr>
          <w:rStyle w:val="Forte"/>
          <w:rFonts w:ascii="Georgia" w:hAnsi="Georgia"/>
          <w:sz w:val="22"/>
          <w:szCs w:val="22"/>
        </w:rPr>
        <w:t>Carta de Exclusão</w:t>
      </w:r>
      <w:r>
        <w:rPr>
          <w:rFonts w:ascii="Georgia" w:hAnsi="Georgia"/>
          <w:color w:val="262626"/>
          <w:sz w:val="22"/>
          <w:szCs w:val="22"/>
        </w:rPr>
        <w:t>, redigida e entregue pelo próprio titular.</w:t>
      </w:r>
    </w:p>
    <w:p w14:paraId="193AC136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9.2 Trabalhadores representados não filiados</w:t>
      </w:r>
    </w:p>
    <w:p w14:paraId="7E12FD72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manutenção dos dados destina-se </w:t>
      </w:r>
      <w:r>
        <w:rPr>
          <w:rStyle w:val="Forte"/>
          <w:rFonts w:ascii="Georgia" w:hAnsi="Georgia"/>
          <w:sz w:val="22"/>
          <w:szCs w:val="22"/>
        </w:rPr>
        <w:t>exclusivamente a impedir cobrança indevida</w:t>
      </w:r>
      <w:r>
        <w:rPr>
          <w:rFonts w:ascii="Georgia" w:hAnsi="Georgia"/>
          <w:color w:val="262626"/>
          <w:sz w:val="22"/>
          <w:szCs w:val="22"/>
        </w:rPr>
        <w:t xml:space="preserve">. Havendo pedido de exclusão, igualmente por Carta de Exclusão, o registro passa a conservar apenas as </w:t>
      </w:r>
      <w:r>
        <w:rPr>
          <w:rStyle w:val="Forte"/>
          <w:rFonts w:ascii="Georgia" w:hAnsi="Georgia"/>
          <w:sz w:val="22"/>
          <w:szCs w:val="22"/>
        </w:rPr>
        <w:t>iniciais do nome</w:t>
      </w:r>
      <w:r>
        <w:rPr>
          <w:rFonts w:ascii="Georgia" w:hAnsi="Georgia"/>
          <w:color w:val="262626"/>
          <w:sz w:val="22"/>
          <w:szCs w:val="22"/>
        </w:rPr>
        <w:t xml:space="preserve"> e o </w:t>
      </w:r>
      <w:r>
        <w:rPr>
          <w:rStyle w:val="Forte"/>
          <w:rFonts w:ascii="Georgia" w:hAnsi="Georgia"/>
          <w:sz w:val="22"/>
          <w:szCs w:val="22"/>
        </w:rPr>
        <w:t>CPF mascarado</w:t>
      </w:r>
      <w:r>
        <w:rPr>
          <w:rFonts w:ascii="Georgia" w:hAnsi="Georgia"/>
          <w:color w:val="262626"/>
          <w:sz w:val="22"/>
          <w:szCs w:val="22"/>
        </w:rPr>
        <w:t>, aplicando-se o mesmo aos beneficiários.</w:t>
      </w:r>
    </w:p>
    <w:p w14:paraId="3991ED89" w14:textId="77777777" w:rsidR="00F61C15" w:rsidRDefault="00F61C15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9.3 Retenção e eliminação</w:t>
      </w:r>
    </w:p>
    <w:p w14:paraId="2E5262A2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Os dados são mantidos e atualizados a partir das informações prestadas pelas empresas e contabilidades até que sobrevenha pedido de exclusão ou se extinga o vínculo empregatício. Ainda então o registro não é apagado, mas </w:t>
      </w:r>
      <w:r>
        <w:rPr>
          <w:rStyle w:val="Forte"/>
          <w:rFonts w:ascii="Georgia" w:hAnsi="Georgia"/>
          <w:sz w:val="22"/>
          <w:szCs w:val="22"/>
        </w:rPr>
        <w:t>reduzido a dados mínimos, com pseudonimização e restrição de acesso</w:t>
      </w:r>
      <w:r>
        <w:rPr>
          <w:rFonts w:ascii="Georgia" w:hAnsi="Georgia"/>
          <w:color w:val="262626"/>
          <w:sz w:val="22"/>
          <w:szCs w:val="22"/>
        </w:rPr>
        <w:t>, preservando a rastreabilidade indispensável a auditorias, investigações e requisições judiciais — como na hipótese de ex-filiado que, em ação judicial, necessite comprovar a série histórica de serviços prestados a seus dependentes.</w:t>
      </w:r>
    </w:p>
    <w:p w14:paraId="299EADBB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</w:t>
      </w:r>
      <w:r>
        <w:rPr>
          <w:rStyle w:val="Forte"/>
          <w:rFonts w:ascii="Georgia" w:hAnsi="Georgia"/>
          <w:sz w:val="22"/>
          <w:szCs w:val="22"/>
        </w:rPr>
        <w:t>eliminação definitiva</w:t>
      </w:r>
      <w:r>
        <w:rPr>
          <w:rFonts w:ascii="Georgia" w:hAnsi="Georgia"/>
          <w:color w:val="262626"/>
          <w:sz w:val="22"/>
          <w:szCs w:val="22"/>
        </w:rPr>
        <w:t xml:space="preserve"> ocorre na ausência de qualquer movimentação por </w:t>
      </w:r>
      <w:r>
        <w:rPr>
          <w:rStyle w:val="Forte"/>
          <w:rFonts w:ascii="Georgia" w:hAnsi="Georgia"/>
          <w:sz w:val="22"/>
          <w:szCs w:val="22"/>
        </w:rPr>
        <w:t>20 (vinte) anos</w:t>
      </w:r>
      <w:r>
        <w:rPr>
          <w:rFonts w:ascii="Georgia" w:hAnsi="Georgia"/>
          <w:color w:val="262626"/>
          <w:sz w:val="22"/>
          <w:szCs w:val="22"/>
        </w:rPr>
        <w:t xml:space="preserve"> contados da última atualização, prazo adotado </w:t>
      </w:r>
      <w:r>
        <w:rPr>
          <w:rStyle w:val="Forte"/>
          <w:rFonts w:ascii="Georgia" w:hAnsi="Georgia"/>
          <w:sz w:val="22"/>
          <w:szCs w:val="22"/>
        </w:rPr>
        <w:t>por analogia</w:t>
      </w:r>
      <w:r>
        <w:rPr>
          <w:rFonts w:ascii="Georgia" w:hAnsi="Georgia"/>
          <w:color w:val="262626"/>
          <w:sz w:val="22"/>
          <w:szCs w:val="22"/>
        </w:rPr>
        <w:t xml:space="preserve"> ao art. 6º da Lei nº 13.787/2018.</w:t>
      </w:r>
    </w:p>
    <w:p w14:paraId="477BA059" w14:textId="77777777" w:rsidR="00F61C15" w:rsidRDefault="00F61C15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0AA61E24">
          <v:rect id="_x0000_i1033" style="width:0;height:1.5pt" o:hralign="center" o:hrstd="t" o:hr="t" fillcolor="#a0a0a0" stroked="f"/>
        </w:pict>
      </w:r>
    </w:p>
    <w:p w14:paraId="6CC33FC2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10. Direitos do titular</w:t>
      </w:r>
    </w:p>
    <w:p w14:paraId="1971F5FB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Ficam assegurados os direitos previstos no </w:t>
      </w:r>
      <w:r>
        <w:rPr>
          <w:rStyle w:val="Forte"/>
          <w:rFonts w:ascii="Georgia" w:hAnsi="Georgia"/>
          <w:sz w:val="22"/>
          <w:szCs w:val="22"/>
        </w:rPr>
        <w:t>art. 18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>da LGPD — confirmação da existência de tratamento, acesso, correção, anonimização, bloqueio ou eliminação, portabilidade, informação sobre compartilhamento e revogação de consentimento, no que couber.</w:t>
      </w:r>
    </w:p>
    <w:p w14:paraId="43F66571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Canais de exercício:</w:t>
      </w:r>
    </w:p>
    <w:p w14:paraId="5E9E6FEC" w14:textId="77777777" w:rsidR="00F61C15" w:rsidRDefault="00F61C15">
      <w:pPr>
        <w:numPr>
          <w:ilvl w:val="0"/>
          <w:numId w:val="6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juridico@sindcompassos.org</w:t>
      </w:r>
    </w:p>
    <w:p w14:paraId="7F38A2B2" w14:textId="77777777" w:rsidR="00F61C15" w:rsidRDefault="00F61C15">
      <w:pPr>
        <w:numPr>
          <w:ilvl w:val="0"/>
          <w:numId w:val="6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WhatsApp da Assessoria Jurídica: (35) 98827-0406</w:t>
      </w:r>
    </w:p>
    <w:p w14:paraId="3AC6916F" w14:textId="77777777" w:rsidR="00F61C15" w:rsidRDefault="00F61C15">
      <w:pPr>
        <w:numPr>
          <w:ilvl w:val="0"/>
          <w:numId w:val="6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Presencialmente: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Av. dos Expedicionários, 137, Centro, Passos/MG, CEP 37.900-130 — de segunda a sexta-feira, das 08h às 11h e das 13h às 17h</w:t>
      </w:r>
    </w:p>
    <w:p w14:paraId="6EC61215" w14:textId="77777777" w:rsidR="00F61C15" w:rsidRDefault="00F61C15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21DEF650">
          <v:rect id="_x0000_i1034" style="width:0;height:1.5pt" o:hralign="center" o:hrstd="t" o:hr="t" fillcolor="#a0a0a0" stroked="f"/>
        </w:pict>
      </w:r>
    </w:p>
    <w:p w14:paraId="3FB0A9C3" w14:textId="77777777" w:rsidR="00F61C15" w:rsidRDefault="00F61C15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11. Conclusão</w:t>
      </w:r>
    </w:p>
    <w:p w14:paraId="776D7AAC" w14:textId="77777777" w:rsidR="00F61C15" w:rsidRDefault="00F61C15">
      <w:pPr>
        <w:numPr>
          <w:ilvl w:val="0"/>
          <w:numId w:val="7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O SINDCOM tem fundamento constitucional e legal para conhecer os dados dos trabalhadores que representa — CF, art. 8º, III, e CLT, art. 513, "a" e "e" —, com base no art. 11, II, "d", da LGPD quanto ao dado sensível.</w:t>
      </w:r>
    </w:p>
    <w:p w14:paraId="3E081AB6" w14:textId="77777777" w:rsidR="00F61C15" w:rsidRDefault="00F61C15">
      <w:pPr>
        <w:numPr>
          <w:ilvl w:val="0"/>
          <w:numId w:val="7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 xml:space="preserve">As empresas e contabilidades têm </w:t>
      </w:r>
      <w:r>
        <w:rPr>
          <w:rStyle w:val="Forte"/>
          <w:rFonts w:ascii="Georgia" w:eastAsia="Times New Roman" w:hAnsi="Georgia"/>
          <w:sz w:val="22"/>
          <w:szCs w:val="22"/>
        </w:rPr>
        <w:t>dever convencional expresso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de encaminhar as relações de empregados e os comprovantes de recolhimento, com base própria no art. 11, II, "a", e no art. 7º, II, da LGPD.</w:t>
      </w:r>
    </w:p>
    <w:p w14:paraId="57F58644" w14:textId="77777777" w:rsidR="00F61C15" w:rsidRDefault="00F61C15">
      <w:pPr>
        <w:numPr>
          <w:ilvl w:val="0"/>
          <w:numId w:val="7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 xml:space="preserve">O dado relativo à oposição é tratado </w:t>
      </w:r>
      <w:r>
        <w:rPr>
          <w:rStyle w:val="Forte"/>
          <w:rFonts w:ascii="Georgia" w:eastAsia="Times New Roman" w:hAnsi="Georgia"/>
          <w:sz w:val="22"/>
          <w:szCs w:val="22"/>
        </w:rPr>
        <w:t>para que o Sindicato deixe de cobrar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</w:t>
      </w:r>
      <w:r>
        <w:rPr>
          <w:rFonts w:ascii="Georgia" w:eastAsia="Times New Roman" w:hAnsi="Georgia"/>
          <w:color w:val="262626"/>
          <w:sz w:val="22"/>
          <w:szCs w:val="22"/>
        </w:rPr>
        <w:t>de quem se opôs, constituindo condição de legalidade da cobrança nos termos do Tema 935 do Supremo Tribunal Federal.</w:t>
      </w:r>
    </w:p>
    <w:p w14:paraId="012CC9DB" w14:textId="77777777" w:rsidR="00F61C15" w:rsidRDefault="00F61C15">
      <w:pPr>
        <w:numPr>
          <w:ilvl w:val="0"/>
          <w:numId w:val="7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A recusa injustificada configura descumprimento de norma coletiva, com as consequências nela previstas.</w:t>
      </w:r>
    </w:p>
    <w:p w14:paraId="2E48804C" w14:textId="77777777" w:rsidR="00F61C15" w:rsidRDefault="00F61C15">
      <w:pPr>
        <w:numPr>
          <w:ilvl w:val="0"/>
          <w:numId w:val="7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O tratamento observa os princípios da finalidade, da necessidade e da segurança, mediante medidas técnicas verificáveis e revisão humana obrigatória.</w:t>
      </w:r>
    </w:p>
    <w:p w14:paraId="2E6E9DC2" w14:textId="77777777" w:rsidR="00F61C15" w:rsidRDefault="00F61C15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019C2D7D">
          <v:rect id="_x0000_i1035" style="width:0;height:1.5pt" o:hralign="center" o:hrstd="t" o:hr="t" fillcolor="#a0a0a0" stroked="f"/>
        </w:pict>
      </w:r>
    </w:p>
    <w:p w14:paraId="64A6D8A7" w14:textId="77777777" w:rsidR="00F61C15" w:rsidRDefault="00F61C15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[Nome completo]</w:t>
      </w:r>
      <w:r>
        <w:rPr>
          <w:rFonts w:ascii="Georgia" w:hAnsi="Georgia"/>
          <w:color w:val="262626"/>
          <w:sz w:val="22"/>
          <w:szCs w:val="22"/>
        </w:rPr>
        <w:t xml:space="preserve"> Assessoria Jurídica — OAB/MG [número] Sindicato dos Empregados no Comércio de Passos e Região Passos/MG, [data]</w:t>
      </w:r>
    </w:p>
    <w:sectPr w:rsidR="00F61C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4C12"/>
    <w:multiLevelType w:val="multilevel"/>
    <w:tmpl w:val="2E4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E5E73"/>
    <w:multiLevelType w:val="multilevel"/>
    <w:tmpl w:val="414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159C0"/>
    <w:multiLevelType w:val="multilevel"/>
    <w:tmpl w:val="D824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4794B"/>
    <w:multiLevelType w:val="multilevel"/>
    <w:tmpl w:val="F15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C0816"/>
    <w:multiLevelType w:val="multilevel"/>
    <w:tmpl w:val="AD48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11317"/>
    <w:multiLevelType w:val="multilevel"/>
    <w:tmpl w:val="1B3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01B32"/>
    <w:multiLevelType w:val="multilevel"/>
    <w:tmpl w:val="26B2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219261">
    <w:abstractNumId w:val="1"/>
  </w:num>
  <w:num w:numId="2" w16cid:durableId="1469518550">
    <w:abstractNumId w:val="5"/>
  </w:num>
  <w:num w:numId="3" w16cid:durableId="970674979">
    <w:abstractNumId w:val="6"/>
  </w:num>
  <w:num w:numId="4" w16cid:durableId="686177125">
    <w:abstractNumId w:val="3"/>
  </w:num>
  <w:num w:numId="5" w16cid:durableId="386538629">
    <w:abstractNumId w:val="2"/>
  </w:num>
  <w:num w:numId="6" w16cid:durableId="377630296">
    <w:abstractNumId w:val="0"/>
  </w:num>
  <w:num w:numId="7" w16cid:durableId="761488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47"/>
    <w:rsid w:val="00640DFC"/>
    <w:rsid w:val="00CE4F47"/>
    <w:rsid w:val="00F6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A8828A"/>
  <w15:chartTrackingRefBased/>
  <w15:docId w15:val="{30A7B3CB-4BB4-4E68-8678-F3983DCD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6" w:color="C62828"/>
      </w:pBdr>
      <w:spacing w:before="100" w:beforeAutospacing="1" w:after="240"/>
      <w:outlineLvl w:val="0"/>
    </w:pPr>
    <w:rPr>
      <w:b/>
      <w:bCs/>
      <w:color w:val="C62828"/>
      <w:kern w:val="36"/>
      <w:sz w:val="38"/>
      <w:szCs w:val="38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3" w:color="D8D5CA"/>
      </w:pBdr>
      <w:spacing w:before="400" w:after="120"/>
      <w:outlineLvl w:val="1"/>
    </w:pPr>
    <w:rPr>
      <w:b/>
      <w:bCs/>
      <w:color w:val="424242"/>
      <w:sz w:val="29"/>
      <w:szCs w:val="29"/>
    </w:rPr>
  </w:style>
  <w:style w:type="paragraph" w:styleId="Ttulo3">
    <w:name w:val="heading 3"/>
    <w:basedOn w:val="Normal"/>
    <w:link w:val="Ttulo3Char"/>
    <w:uiPriority w:val="9"/>
    <w:qFormat/>
    <w:pPr>
      <w:spacing w:before="300" w:after="80"/>
      <w:outlineLvl w:val="2"/>
    </w:pPr>
    <w:rPr>
      <w:b/>
      <w:bCs/>
      <w:color w:val="424242"/>
      <w:sz w:val="25"/>
      <w:szCs w:val="25"/>
    </w:rPr>
  </w:style>
  <w:style w:type="paragraph" w:styleId="Ttulo4">
    <w:name w:val="heading 4"/>
    <w:basedOn w:val="Normal"/>
    <w:link w:val="Ttulo4Char"/>
    <w:uiPriority w:val="9"/>
    <w:qFormat/>
    <w:pPr>
      <w:spacing w:before="240" w:after="60"/>
      <w:outlineLvl w:val="3"/>
    </w:pPr>
    <w:rPr>
      <w:b/>
      <w:bCs/>
      <w:color w:val="565656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color w:val="C62828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C62828"/>
      <w:u w:val="single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Forte">
    <w:name w:val="Strong"/>
    <w:basedOn w:val="Fontepargpadro"/>
    <w:uiPriority w:val="22"/>
    <w:qFormat/>
    <w:rPr>
      <w:b/>
      <w:bCs/>
      <w:color w:val="1F1F1F"/>
    </w:rPr>
  </w:style>
  <w:style w:type="paragraph" w:customStyle="1" w:styleId="msonormal0">
    <w:name w:val="msonormal"/>
    <w:basedOn w:val="Normal"/>
    <w:pPr>
      <w:spacing w:after="16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60"/>
      <w:jc w:val="both"/>
    </w:pPr>
  </w:style>
  <w:style w:type="paragraph" w:customStyle="1" w:styleId="cod">
    <w:name w:val="cod"/>
    <w:basedOn w:val="Normal"/>
    <w:pPr>
      <w:shd w:val="clear" w:color="auto" w:fill="F2F1EC"/>
      <w:spacing w:before="100" w:beforeAutospacing="1" w:after="60"/>
    </w:pPr>
    <w:rPr>
      <w:rFonts w:ascii="Consolas" w:hAnsi="Consolas"/>
      <w:sz w:val="19"/>
      <w:szCs w:val="19"/>
    </w:r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302927">
      <w:blockQuote w:val="1"/>
      <w:marLeft w:val="240"/>
      <w:marRight w:val="0"/>
      <w:marTop w:val="200"/>
      <w:marBottom w:val="200"/>
      <w:divBdr>
        <w:top w:val="none" w:sz="0" w:space="0" w:color="auto"/>
        <w:left w:val="single" w:sz="18" w:space="12" w:color="C62828"/>
        <w:bottom w:val="none" w:sz="0" w:space="0" w:color="auto"/>
        <w:right w:val="none" w:sz="0" w:space="0" w:color="auto"/>
      </w:divBdr>
    </w:div>
    <w:div w:id="1296373381">
      <w:blockQuote w:val="1"/>
      <w:marLeft w:val="240"/>
      <w:marRight w:val="0"/>
      <w:marTop w:val="200"/>
      <w:marBottom w:val="200"/>
      <w:divBdr>
        <w:top w:val="none" w:sz="0" w:space="0" w:color="auto"/>
        <w:left w:val="single" w:sz="18" w:space="12" w:color="C62828"/>
        <w:bottom w:val="none" w:sz="0" w:space="0" w:color="auto"/>
        <w:right w:val="none" w:sz="0" w:space="0" w:color="auto"/>
      </w:divBdr>
    </w:div>
    <w:div w:id="1681271949">
      <w:blockQuote w:val="1"/>
      <w:marLeft w:val="240"/>
      <w:marRight w:val="0"/>
      <w:marTop w:val="200"/>
      <w:marBottom w:val="200"/>
      <w:divBdr>
        <w:top w:val="none" w:sz="0" w:space="0" w:color="auto"/>
        <w:left w:val="single" w:sz="18" w:space="12" w:color="C6282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2688</Words>
  <Characters>14306</Characters>
  <Application>Microsoft Office Word</Application>
  <DocSecurity>4</DocSecurity>
  <Lines>304</Lines>
  <Paragraphs>150</Paragraphs>
  <ScaleCrop>false</ScaleCrop>
  <Company/>
  <LinksUpToDate>false</LinksUpToDate>
  <CharactersWithSpaces>16844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SINDCOM</dc:title>
  <dc:subject/>
  <dc:creator>Maxwell Messias Ribeiro</dc:creator>
  <cp:keywords/>
  <dc:description/>
  <cp:lastModifiedBy>Maxwell Messias Ribeiro</cp:lastModifiedBy>
  <cp:revision>2</cp:revision>
  <dcterms:created xsi:type="dcterms:W3CDTF">2026-08-25T21:43:00Z</dcterms:created>
  <dcterms:modified xsi:type="dcterms:W3CDTF">2026-08-25T21:43:00Z</dcterms:modified>
</cp:coreProperties>
</file>