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6D234E" w14:textId="77777777" w:rsidR="003E022E" w:rsidRDefault="003E022E">
      <w:pPr>
        <w:pStyle w:val="Ttulo1"/>
        <w:rPr>
          <w:rFonts w:ascii="Georgia" w:eastAsia="Times New Roman" w:hAnsi="Georgia"/>
        </w:rPr>
      </w:pPr>
      <w:r>
        <w:rPr>
          <w:rFonts w:ascii="Georgia" w:eastAsia="Times New Roman" w:hAnsi="Georgia"/>
        </w:rPr>
        <w:t>NOTA TÉCNICA — Base legal para a solicitação de dados cadastrais de trabalhadores do comércio</w:t>
      </w:r>
    </w:p>
    <w:p w14:paraId="67F0315D" w14:textId="77777777" w:rsidR="003E022E" w:rsidRDefault="003E022E">
      <w:pPr>
        <w:pStyle w:val="NormalWeb"/>
        <w:rPr>
          <w:rFonts w:ascii="Georgia" w:hAnsi="Georgia"/>
          <w:color w:val="262626"/>
          <w:sz w:val="22"/>
          <w:szCs w:val="22"/>
        </w:rPr>
      </w:pPr>
      <w:r>
        <w:rPr>
          <w:rStyle w:val="Forte"/>
          <w:rFonts w:ascii="Georgia" w:hAnsi="Georgia"/>
          <w:sz w:val="22"/>
          <w:szCs w:val="22"/>
        </w:rPr>
        <w:t>MINUTA PARA APROVAÇÃO DO JURÍDICO. NÃO PUBLICAR.</w:t>
      </w:r>
      <w:r>
        <w:rPr>
          <w:rFonts w:ascii="Georgia" w:hAnsi="Georgia"/>
          <w:color w:val="262626"/>
          <w:sz w:val="22"/>
          <w:szCs w:val="22"/>
        </w:rPr>
        <w:t xml:space="preserve"> Sindicato dos Empregados no Comércio de Passos e Região — SINDCOM Preparada pelo Claude Code · Subetapa 08.3 · 2026-08-25</w:t>
      </w:r>
    </w:p>
    <w:p w14:paraId="04A2A850" w14:textId="77777777" w:rsidR="003E022E" w:rsidRDefault="003E022E">
      <w:pPr>
        <w:shd w:val="clear" w:color="auto" w:fill="F7F6F1"/>
        <w:spacing w:after="100"/>
        <w:jc w:val="both"/>
        <w:divId w:val="1147211795"/>
        <w:rPr>
          <w:rFonts w:ascii="Georgia" w:hAnsi="Georgia"/>
          <w:i/>
          <w:iCs/>
          <w:color w:val="3A3A3A"/>
          <w:sz w:val="22"/>
          <w:szCs w:val="22"/>
        </w:rPr>
      </w:pPr>
      <w:r>
        <w:rPr>
          <w:rStyle w:val="Forte"/>
          <w:rFonts w:ascii="Georgia" w:hAnsi="Georgia"/>
          <w:i/>
          <w:iCs/>
          <w:sz w:val="22"/>
          <w:szCs w:val="22"/>
        </w:rPr>
        <w:t>Este documento não é parecer jurídico e não foi redigido por advogado.</w:t>
      </w:r>
      <w:r>
        <w:rPr>
          <w:rFonts w:ascii="Georgia" w:hAnsi="Georgia"/>
          <w:i/>
          <w:iCs/>
          <w:color w:val="3A3A3A"/>
          <w:sz w:val="22"/>
          <w:szCs w:val="22"/>
        </w:rPr>
        <w:t xml:space="preserve"> É minuta submetida ao Dr. Adenilson, a quem cabe validar, corrigir, assinar e decidir o que permanece. Marcações </w:t>
      </w:r>
      <w:r>
        <w:rPr>
          <w:rStyle w:val="Forte"/>
          <w:rFonts w:ascii="Georgia" w:hAnsi="Georgia"/>
          <w:i/>
          <w:iCs/>
          <w:sz w:val="22"/>
          <w:szCs w:val="22"/>
        </w:rPr>
        <w:t>[VERIFICAR]</w:t>
      </w:r>
      <w:r>
        <w:rPr>
          <w:rFonts w:ascii="Georgia" w:hAnsi="Georgia"/>
          <w:i/>
          <w:iCs/>
          <w:color w:val="3A3A3A"/>
          <w:sz w:val="22"/>
          <w:szCs w:val="22"/>
        </w:rPr>
        <w:t xml:space="preserve"> </w:t>
      </w:r>
      <w:r>
        <w:rPr>
          <w:rFonts w:ascii="Georgia" w:hAnsi="Georgia"/>
          <w:i/>
          <w:iCs/>
          <w:color w:val="3A3A3A"/>
          <w:sz w:val="22"/>
          <w:szCs w:val="22"/>
        </w:rPr>
        <w:t>apontam pontos que dependem de conferência ou decisão dele.</w:t>
      </w:r>
    </w:p>
    <w:p w14:paraId="6F1FAB46" w14:textId="77777777" w:rsidR="003E022E" w:rsidRDefault="003E022E">
      <w:pPr>
        <w:spacing w:before="320" w:after="320"/>
        <w:rPr>
          <w:rFonts w:ascii="Georgia" w:eastAsia="Times New Roman" w:hAnsi="Georgia"/>
          <w:color w:val="262626"/>
          <w:sz w:val="22"/>
          <w:szCs w:val="22"/>
        </w:rPr>
      </w:pPr>
      <w:r>
        <w:rPr>
          <w:rFonts w:ascii="Georgia" w:eastAsia="Times New Roman" w:hAnsi="Georgia"/>
          <w:color w:val="262626"/>
          <w:sz w:val="22"/>
          <w:szCs w:val="22"/>
        </w:rPr>
        <w:pict w14:anchorId="3C0DEDD8">
          <v:rect id="_x0000_i1025" style="width:0;height:1.5pt" o:hralign="center" o:hrstd="t" o:hr="t" fillcolor="#a0a0a0" stroked="f"/>
        </w:pict>
      </w:r>
    </w:p>
    <w:p w14:paraId="2CFA8EB2" w14:textId="77777777" w:rsidR="003E022E" w:rsidRDefault="003E022E">
      <w:pPr>
        <w:pStyle w:val="Ttulo2"/>
        <w:rPr>
          <w:rFonts w:ascii="Georgia" w:eastAsia="Times New Roman" w:hAnsi="Georgia"/>
        </w:rPr>
      </w:pPr>
      <w:r>
        <w:rPr>
          <w:rFonts w:ascii="Georgia" w:eastAsia="Times New Roman" w:hAnsi="Georgia"/>
        </w:rPr>
        <w:t>1. Objeto</w:t>
      </w:r>
    </w:p>
    <w:p w14:paraId="23411CA8" w14:textId="77777777" w:rsidR="003E022E" w:rsidRDefault="003E022E">
      <w:pPr>
        <w:pStyle w:val="NormalWeb"/>
        <w:rPr>
          <w:rFonts w:ascii="Georgia" w:hAnsi="Georgia"/>
          <w:color w:val="262626"/>
          <w:sz w:val="22"/>
          <w:szCs w:val="22"/>
        </w:rPr>
      </w:pPr>
      <w:r>
        <w:rPr>
          <w:rFonts w:ascii="Georgia" w:hAnsi="Georgia"/>
          <w:color w:val="262626"/>
          <w:sz w:val="22"/>
          <w:szCs w:val="22"/>
        </w:rPr>
        <w:t>Esta nota expõe o fundamento jurídico da solicitação, dirigida pelo SINDCOM a empresas e escritórios de contabilidade da base territorial, dos dados cadastrais dos trabalhadores do comércio por eles empregados, e esclarece:</w:t>
      </w:r>
    </w:p>
    <w:p w14:paraId="13F51248" w14:textId="77777777" w:rsidR="003E022E" w:rsidRDefault="003E022E">
      <w:pPr>
        <w:numPr>
          <w:ilvl w:val="0"/>
          <w:numId w:val="1"/>
        </w:numPr>
        <w:spacing w:before="100" w:beforeAutospacing="1" w:after="60"/>
        <w:rPr>
          <w:rFonts w:ascii="Georgia" w:eastAsia="Times New Roman" w:hAnsi="Georgia"/>
          <w:color w:val="262626"/>
          <w:sz w:val="22"/>
          <w:szCs w:val="22"/>
        </w:rPr>
      </w:pPr>
      <w:r>
        <w:rPr>
          <w:rFonts w:ascii="Georgia" w:eastAsia="Times New Roman" w:hAnsi="Georgia"/>
          <w:color w:val="262626"/>
          <w:sz w:val="22"/>
          <w:szCs w:val="22"/>
        </w:rPr>
        <w:t xml:space="preserve">o direito do Sindicato de solicitar os dados dos </w:t>
      </w:r>
      <w:r>
        <w:rPr>
          <w:rStyle w:val="Forte"/>
          <w:rFonts w:ascii="Georgia" w:eastAsia="Times New Roman" w:hAnsi="Georgia"/>
          <w:sz w:val="22"/>
          <w:szCs w:val="22"/>
        </w:rPr>
        <w:t>trabalhadores sindicalizados</w:t>
      </w:r>
      <w:r>
        <w:rPr>
          <w:rFonts w:ascii="Georgia" w:eastAsia="Times New Roman" w:hAnsi="Georgia"/>
          <w:color w:val="262626"/>
          <w:sz w:val="22"/>
          <w:szCs w:val="22"/>
        </w:rPr>
        <w:t>;</w:t>
      </w:r>
    </w:p>
    <w:p w14:paraId="3BCAFEF1" w14:textId="77777777" w:rsidR="003E022E" w:rsidRDefault="003E022E">
      <w:pPr>
        <w:numPr>
          <w:ilvl w:val="0"/>
          <w:numId w:val="1"/>
        </w:numPr>
        <w:spacing w:before="100" w:beforeAutospacing="1" w:after="60"/>
        <w:rPr>
          <w:rFonts w:ascii="Georgia" w:eastAsia="Times New Roman" w:hAnsi="Georgia"/>
          <w:color w:val="262626"/>
          <w:sz w:val="22"/>
          <w:szCs w:val="22"/>
        </w:rPr>
      </w:pPr>
      <w:r>
        <w:rPr>
          <w:rFonts w:ascii="Georgia" w:eastAsia="Times New Roman" w:hAnsi="Georgia"/>
          <w:color w:val="262626"/>
          <w:sz w:val="22"/>
          <w:szCs w:val="22"/>
        </w:rPr>
        <w:t xml:space="preserve">o direito do Sindicato de solicitar os dados dos </w:t>
      </w:r>
      <w:r>
        <w:rPr>
          <w:rStyle w:val="Forte"/>
          <w:rFonts w:ascii="Georgia" w:eastAsia="Times New Roman" w:hAnsi="Georgia"/>
          <w:sz w:val="22"/>
          <w:szCs w:val="22"/>
        </w:rPr>
        <w:t>trabalhadores que se opuseram</w:t>
      </w:r>
      <w:r>
        <w:rPr>
          <w:rFonts w:ascii="Georgia" w:eastAsia="Times New Roman" w:hAnsi="Georgia"/>
          <w:color w:val="262626"/>
          <w:sz w:val="22"/>
          <w:szCs w:val="22"/>
        </w:rPr>
        <w:t xml:space="preserve"> à contribuição;</w:t>
      </w:r>
    </w:p>
    <w:p w14:paraId="75A33286" w14:textId="77777777" w:rsidR="003E022E" w:rsidRDefault="003E022E">
      <w:pPr>
        <w:numPr>
          <w:ilvl w:val="0"/>
          <w:numId w:val="1"/>
        </w:numPr>
        <w:spacing w:before="100" w:beforeAutospacing="1" w:after="60"/>
        <w:rPr>
          <w:rFonts w:ascii="Georgia" w:eastAsia="Times New Roman" w:hAnsi="Georgia"/>
          <w:color w:val="262626"/>
          <w:sz w:val="22"/>
          <w:szCs w:val="22"/>
        </w:rPr>
      </w:pPr>
      <w:r>
        <w:rPr>
          <w:rFonts w:ascii="Georgia" w:eastAsia="Times New Roman" w:hAnsi="Georgia"/>
          <w:color w:val="262626"/>
          <w:sz w:val="22"/>
          <w:szCs w:val="22"/>
        </w:rPr>
        <w:t xml:space="preserve">o </w:t>
      </w:r>
      <w:r>
        <w:rPr>
          <w:rStyle w:val="Forte"/>
          <w:rFonts w:ascii="Georgia" w:eastAsia="Times New Roman" w:hAnsi="Georgia"/>
          <w:sz w:val="22"/>
          <w:szCs w:val="22"/>
        </w:rPr>
        <w:t>dever</w:t>
      </w:r>
      <w:r>
        <w:rPr>
          <w:rFonts w:ascii="Georgia" w:eastAsia="Times New Roman" w:hAnsi="Georgia"/>
          <w:color w:val="262626"/>
          <w:sz w:val="22"/>
          <w:szCs w:val="22"/>
        </w:rPr>
        <w:t xml:space="preserve"> </w:t>
      </w:r>
      <w:r>
        <w:rPr>
          <w:rFonts w:ascii="Georgia" w:eastAsia="Times New Roman" w:hAnsi="Georgia"/>
          <w:color w:val="262626"/>
          <w:sz w:val="22"/>
          <w:szCs w:val="22"/>
        </w:rPr>
        <w:t>das empresas e contabilidades de prestar essas informações;</w:t>
      </w:r>
    </w:p>
    <w:p w14:paraId="10D629C1" w14:textId="77777777" w:rsidR="003E022E" w:rsidRDefault="003E022E">
      <w:pPr>
        <w:numPr>
          <w:ilvl w:val="0"/>
          <w:numId w:val="1"/>
        </w:numPr>
        <w:spacing w:before="100" w:beforeAutospacing="1" w:after="60"/>
        <w:rPr>
          <w:rFonts w:ascii="Georgia" w:eastAsia="Times New Roman" w:hAnsi="Georgia"/>
          <w:color w:val="262626"/>
          <w:sz w:val="22"/>
          <w:szCs w:val="22"/>
        </w:rPr>
      </w:pPr>
      <w:r>
        <w:rPr>
          <w:rFonts w:ascii="Georgia" w:eastAsia="Times New Roman" w:hAnsi="Georgia"/>
          <w:color w:val="262626"/>
          <w:sz w:val="22"/>
          <w:szCs w:val="22"/>
        </w:rPr>
        <w:t xml:space="preserve">as consequências jurídicas da </w:t>
      </w:r>
      <w:r>
        <w:rPr>
          <w:rStyle w:val="Forte"/>
          <w:rFonts w:ascii="Georgia" w:eastAsia="Times New Roman" w:hAnsi="Georgia"/>
          <w:sz w:val="22"/>
          <w:szCs w:val="22"/>
        </w:rPr>
        <w:t>recusa injustificada</w:t>
      </w:r>
      <w:r>
        <w:rPr>
          <w:rFonts w:ascii="Georgia" w:eastAsia="Times New Roman" w:hAnsi="Georgia"/>
          <w:color w:val="262626"/>
          <w:sz w:val="22"/>
          <w:szCs w:val="22"/>
        </w:rPr>
        <w:t>;</w:t>
      </w:r>
    </w:p>
    <w:p w14:paraId="030C9A53" w14:textId="77777777" w:rsidR="003E022E" w:rsidRDefault="003E022E">
      <w:pPr>
        <w:numPr>
          <w:ilvl w:val="0"/>
          <w:numId w:val="1"/>
        </w:numPr>
        <w:spacing w:before="100" w:beforeAutospacing="1" w:after="60"/>
        <w:rPr>
          <w:rFonts w:ascii="Georgia" w:eastAsia="Times New Roman" w:hAnsi="Georgia"/>
          <w:color w:val="262626"/>
          <w:sz w:val="22"/>
          <w:szCs w:val="22"/>
        </w:rPr>
      </w:pPr>
      <w:r>
        <w:rPr>
          <w:rFonts w:ascii="Georgia" w:eastAsia="Times New Roman" w:hAnsi="Georgia"/>
          <w:color w:val="262626"/>
          <w:sz w:val="22"/>
          <w:szCs w:val="22"/>
        </w:rPr>
        <w:t xml:space="preserve">as </w:t>
      </w:r>
      <w:r>
        <w:rPr>
          <w:rStyle w:val="Forte"/>
          <w:rFonts w:ascii="Georgia" w:eastAsia="Times New Roman" w:hAnsi="Georgia"/>
          <w:sz w:val="22"/>
          <w:szCs w:val="22"/>
        </w:rPr>
        <w:t>medidas de segurança</w:t>
      </w:r>
      <w:r>
        <w:rPr>
          <w:rFonts w:ascii="Georgia" w:eastAsia="Times New Roman" w:hAnsi="Georgia"/>
          <w:color w:val="262626"/>
          <w:sz w:val="22"/>
          <w:szCs w:val="22"/>
        </w:rPr>
        <w:t xml:space="preserve"> adotadas no tratamento dos dados.</w:t>
      </w:r>
    </w:p>
    <w:p w14:paraId="15890107" w14:textId="77777777" w:rsidR="003E022E" w:rsidRDefault="003E022E">
      <w:pPr>
        <w:pStyle w:val="Ttulo2"/>
        <w:rPr>
          <w:rFonts w:ascii="Georgia" w:eastAsia="Times New Roman" w:hAnsi="Georgia"/>
        </w:rPr>
      </w:pPr>
      <w:r>
        <w:rPr>
          <w:rFonts w:ascii="Georgia" w:eastAsia="Times New Roman" w:hAnsi="Georgia"/>
        </w:rPr>
        <w:t>2. Síntese</w:t>
      </w:r>
    </w:p>
    <w:p w14:paraId="43F916BA" w14:textId="77777777" w:rsidR="003E022E" w:rsidRDefault="003E022E">
      <w:pPr>
        <w:pStyle w:val="NormalWeb"/>
        <w:rPr>
          <w:rFonts w:ascii="Georgia" w:hAnsi="Georgia"/>
          <w:color w:val="262626"/>
          <w:sz w:val="22"/>
          <w:szCs w:val="22"/>
        </w:rPr>
      </w:pPr>
      <w:r>
        <w:rPr>
          <w:rFonts w:ascii="Georgia" w:hAnsi="Georgia"/>
          <w:color w:val="262626"/>
          <w:sz w:val="22"/>
          <w:szCs w:val="22"/>
        </w:rPr>
        <w:t xml:space="preserve">O SINDCOM solicita </w:t>
      </w:r>
      <w:r>
        <w:rPr>
          <w:rStyle w:val="Forte"/>
          <w:rFonts w:ascii="Georgia" w:hAnsi="Georgia"/>
          <w:sz w:val="22"/>
          <w:szCs w:val="22"/>
        </w:rPr>
        <w:t>seis campos</w:t>
      </w:r>
      <w:r>
        <w:rPr>
          <w:rFonts w:ascii="Georgia" w:hAnsi="Georgia"/>
          <w:color w:val="262626"/>
          <w:sz w:val="22"/>
          <w:szCs w:val="22"/>
        </w:rPr>
        <w:t xml:space="preserve"> por trabalhador. Cinco são dados pessoais comuns; um — a informação de o trabalhador ser sindicalizado ou ter se oposto à contribuição — é </w:t>
      </w:r>
      <w:r>
        <w:rPr>
          <w:rStyle w:val="Forte"/>
          <w:rFonts w:ascii="Georgia" w:hAnsi="Georgia"/>
          <w:sz w:val="22"/>
          <w:szCs w:val="22"/>
        </w:rPr>
        <w:t>dado pessoal sensível</w:t>
      </w:r>
      <w:r>
        <w:rPr>
          <w:rFonts w:ascii="Georgia" w:hAnsi="Georgia"/>
          <w:color w:val="262626"/>
          <w:sz w:val="22"/>
          <w:szCs w:val="22"/>
        </w:rPr>
        <w:t>, por dizer respeito a filiação sindical (LGPD, art. 5º, II).</w:t>
      </w:r>
    </w:p>
    <w:p w14:paraId="45E9BC5B" w14:textId="77777777" w:rsidR="003E022E" w:rsidRDefault="003E022E">
      <w:pPr>
        <w:pStyle w:val="NormalWeb"/>
        <w:rPr>
          <w:rFonts w:ascii="Georgia" w:hAnsi="Georgia"/>
          <w:color w:val="262626"/>
          <w:sz w:val="22"/>
          <w:szCs w:val="22"/>
        </w:rPr>
      </w:pPr>
      <w:r>
        <w:rPr>
          <w:rFonts w:ascii="Georgia" w:hAnsi="Georgia"/>
          <w:color w:val="262626"/>
          <w:sz w:val="22"/>
          <w:szCs w:val="22"/>
        </w:rPr>
        <w:t xml:space="preserve">O tratamento se apoia, do lado do Sindicato, no </w:t>
      </w:r>
      <w:r>
        <w:rPr>
          <w:rStyle w:val="Forte"/>
          <w:rFonts w:ascii="Georgia" w:hAnsi="Georgia"/>
          <w:sz w:val="22"/>
          <w:szCs w:val="22"/>
        </w:rPr>
        <w:t>art. 11, II, "d"</w:t>
      </w:r>
      <w:r>
        <w:rPr>
          <w:rFonts w:ascii="Georgia" w:hAnsi="Georgia"/>
          <w:color w:val="262626"/>
          <w:sz w:val="22"/>
          <w:szCs w:val="22"/>
        </w:rPr>
        <w:t xml:space="preserve"> </w:t>
      </w:r>
      <w:r>
        <w:rPr>
          <w:rFonts w:ascii="Georgia" w:hAnsi="Georgia"/>
          <w:color w:val="262626"/>
          <w:sz w:val="22"/>
          <w:szCs w:val="22"/>
        </w:rPr>
        <w:t xml:space="preserve">da LGPD (exercício regular de direitos), amparado na CF, art. 8º, III e na CLT, art. 513, "a" e "e". Do lado das empresas e contabilidades, apoia-se no </w:t>
      </w:r>
      <w:r>
        <w:rPr>
          <w:rStyle w:val="Forte"/>
          <w:rFonts w:ascii="Georgia" w:hAnsi="Georgia"/>
          <w:sz w:val="22"/>
          <w:szCs w:val="22"/>
        </w:rPr>
        <w:t>art. 11, II, "a"</w:t>
      </w:r>
      <w:r>
        <w:rPr>
          <w:rFonts w:ascii="Georgia" w:hAnsi="Georgia"/>
          <w:color w:val="262626"/>
          <w:sz w:val="22"/>
          <w:szCs w:val="22"/>
        </w:rPr>
        <w:t xml:space="preserve"> (cumprimento de obrigação legal ou regulatória), pois </w:t>
      </w:r>
      <w:r>
        <w:rPr>
          <w:rStyle w:val="Forte"/>
          <w:rFonts w:ascii="Georgia" w:hAnsi="Georgia"/>
          <w:sz w:val="22"/>
          <w:szCs w:val="22"/>
        </w:rPr>
        <w:t>as Convenções Coletivas vigentes já obrigam a empresa a encaminhar ao Sindicato as relações de empregados e os comprovantes de recolhimento</w:t>
      </w:r>
      <w:r>
        <w:rPr>
          <w:rFonts w:ascii="Georgia" w:hAnsi="Georgia"/>
          <w:color w:val="262626"/>
          <w:sz w:val="22"/>
          <w:szCs w:val="22"/>
        </w:rPr>
        <w:t>.</w:t>
      </w:r>
    </w:p>
    <w:p w14:paraId="32EBC048" w14:textId="77777777" w:rsidR="003E022E" w:rsidRDefault="003E022E">
      <w:pPr>
        <w:pStyle w:val="NormalWeb"/>
        <w:rPr>
          <w:rFonts w:ascii="Georgia" w:hAnsi="Georgia"/>
          <w:color w:val="262626"/>
          <w:sz w:val="22"/>
          <w:szCs w:val="22"/>
        </w:rPr>
      </w:pPr>
      <w:r>
        <w:rPr>
          <w:rStyle w:val="Forte"/>
          <w:rFonts w:ascii="Georgia" w:hAnsi="Georgia"/>
          <w:sz w:val="22"/>
          <w:szCs w:val="22"/>
        </w:rPr>
        <w:t>O ponto central desta nota, e que costuma ser mal compreendido:</w:t>
      </w:r>
      <w:r>
        <w:rPr>
          <w:rFonts w:ascii="Georgia" w:hAnsi="Georgia"/>
          <w:color w:val="262626"/>
          <w:sz w:val="22"/>
          <w:szCs w:val="22"/>
        </w:rPr>
        <w:t xml:space="preserve"> o dado sobre oposição não é colhido para agir contra quem se opôs, mas </w:t>
      </w:r>
      <w:r>
        <w:rPr>
          <w:rStyle w:val="Forte"/>
          <w:rFonts w:ascii="Georgia" w:hAnsi="Georgia"/>
          <w:sz w:val="22"/>
          <w:szCs w:val="22"/>
        </w:rPr>
        <w:t>para deixar de cobrá-lo</w:t>
      </w:r>
      <w:r>
        <w:rPr>
          <w:rFonts w:ascii="Georgia" w:hAnsi="Georgia"/>
          <w:color w:val="262626"/>
          <w:sz w:val="22"/>
          <w:szCs w:val="22"/>
        </w:rPr>
        <w:t>. Sem essa informação o Sindicato não tem como honrar a oposição — e a própria norma coletiva lhe impõe devolver valores descontados de quem se opôs.</w:t>
      </w:r>
    </w:p>
    <w:p w14:paraId="193C601A" w14:textId="77777777" w:rsidR="003E022E" w:rsidRDefault="003E022E">
      <w:pPr>
        <w:pStyle w:val="NormalWeb"/>
        <w:rPr>
          <w:rFonts w:ascii="Georgia" w:hAnsi="Georgia"/>
          <w:color w:val="262626"/>
          <w:sz w:val="22"/>
          <w:szCs w:val="22"/>
        </w:rPr>
      </w:pPr>
      <w:r>
        <w:rPr>
          <w:rStyle w:val="Forte"/>
          <w:rFonts w:ascii="Georgia" w:hAnsi="Georgia"/>
          <w:sz w:val="22"/>
          <w:szCs w:val="22"/>
        </w:rPr>
        <w:t>O SINDCOM pede menos do que a norma coletiva já lhe faculta exigir</w:t>
      </w:r>
      <w:r>
        <w:rPr>
          <w:rFonts w:ascii="Georgia" w:hAnsi="Georgia"/>
          <w:color w:val="262626"/>
          <w:sz w:val="22"/>
          <w:szCs w:val="22"/>
        </w:rPr>
        <w:t>, e em formato mais simples: seis campos, em vez das guias e relatórios completos previstos nas convenções.</w:t>
      </w:r>
    </w:p>
    <w:p w14:paraId="3C3F8609" w14:textId="77777777" w:rsidR="003E022E" w:rsidRDefault="003E022E">
      <w:pPr>
        <w:spacing w:before="320" w:after="320"/>
        <w:rPr>
          <w:rFonts w:ascii="Georgia" w:eastAsia="Times New Roman" w:hAnsi="Georgia"/>
          <w:color w:val="262626"/>
          <w:sz w:val="22"/>
          <w:szCs w:val="22"/>
        </w:rPr>
      </w:pPr>
      <w:r>
        <w:rPr>
          <w:rFonts w:ascii="Georgia" w:eastAsia="Times New Roman" w:hAnsi="Georgia"/>
          <w:color w:val="262626"/>
          <w:sz w:val="22"/>
          <w:szCs w:val="22"/>
        </w:rPr>
        <w:lastRenderedPageBreak/>
        <w:pict w14:anchorId="7D6A50EE">
          <v:rect id="_x0000_i1026" style="width:0;height:1.5pt" o:hralign="center" o:hrstd="t" o:hr="t" fillcolor="#a0a0a0" stroked="f"/>
        </w:pict>
      </w:r>
    </w:p>
    <w:p w14:paraId="6C05D0C6" w14:textId="77777777" w:rsidR="003E022E" w:rsidRDefault="003E022E">
      <w:pPr>
        <w:pStyle w:val="Ttulo2"/>
        <w:rPr>
          <w:rFonts w:ascii="Georgia" w:eastAsia="Times New Roman" w:hAnsi="Georgia"/>
        </w:rPr>
      </w:pPr>
      <w:r>
        <w:rPr>
          <w:rFonts w:ascii="Georgia" w:eastAsia="Times New Roman" w:hAnsi="Georgia"/>
        </w:rPr>
        <w:t>3. O que é solicitado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47"/>
        <w:gridCol w:w="1607"/>
        <w:gridCol w:w="4834"/>
      </w:tblGrid>
      <w:tr w:rsidR="00000000" w14:paraId="5B3BF41D" w14:textId="77777777">
        <w:trPr>
          <w:tblHeader/>
        </w:trPr>
        <w:tc>
          <w:tcPr>
            <w:tcW w:w="0" w:type="auto"/>
            <w:tcBorders>
              <w:top w:val="single" w:sz="6" w:space="0" w:color="B9B6AA"/>
              <w:left w:val="single" w:sz="6" w:space="0" w:color="B9B6AA"/>
              <w:bottom w:val="single" w:sz="6" w:space="0" w:color="B9B6AA"/>
              <w:right w:val="single" w:sz="6" w:space="0" w:color="B9B6AA"/>
            </w:tcBorders>
            <w:shd w:val="clear" w:color="auto" w:fill="EFEEE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36271D0A" w14:textId="77777777" w:rsidR="003E022E" w:rsidRDefault="003E022E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42424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424242"/>
                <w:sz w:val="19"/>
                <w:szCs w:val="19"/>
              </w:rPr>
              <w:t>Campo</w:t>
            </w:r>
          </w:p>
        </w:tc>
        <w:tc>
          <w:tcPr>
            <w:tcW w:w="0" w:type="auto"/>
            <w:tcBorders>
              <w:top w:val="single" w:sz="6" w:space="0" w:color="B9B6AA"/>
              <w:left w:val="single" w:sz="6" w:space="0" w:color="B9B6AA"/>
              <w:bottom w:val="single" w:sz="6" w:space="0" w:color="B9B6AA"/>
              <w:right w:val="single" w:sz="6" w:space="0" w:color="B9B6AA"/>
            </w:tcBorders>
            <w:shd w:val="clear" w:color="auto" w:fill="EFEEE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1591CBB2" w14:textId="77777777" w:rsidR="003E022E" w:rsidRDefault="003E022E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42424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424242"/>
                <w:sz w:val="19"/>
                <w:szCs w:val="19"/>
              </w:rPr>
              <w:t>Natureza (LGPD)</w:t>
            </w:r>
          </w:p>
        </w:tc>
        <w:tc>
          <w:tcPr>
            <w:tcW w:w="0" w:type="auto"/>
            <w:tcBorders>
              <w:top w:val="single" w:sz="6" w:space="0" w:color="B9B6AA"/>
              <w:left w:val="single" w:sz="6" w:space="0" w:color="B9B6AA"/>
              <w:bottom w:val="single" w:sz="6" w:space="0" w:color="B9B6AA"/>
              <w:right w:val="single" w:sz="6" w:space="0" w:color="B9B6AA"/>
            </w:tcBorders>
            <w:shd w:val="clear" w:color="auto" w:fill="EFEEE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154034F2" w14:textId="77777777" w:rsidR="003E022E" w:rsidRDefault="003E022E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42424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424242"/>
                <w:sz w:val="19"/>
                <w:szCs w:val="19"/>
              </w:rPr>
              <w:t>Finalidade</w:t>
            </w:r>
          </w:p>
        </w:tc>
      </w:tr>
      <w:tr w:rsidR="00000000" w14:paraId="3B4D4742" w14:textId="77777777">
        <w:tc>
          <w:tcPr>
            <w:tcW w:w="0" w:type="auto"/>
            <w:tcBorders>
              <w:top w:val="single" w:sz="6" w:space="0" w:color="D8D5CA"/>
              <w:left w:val="single" w:sz="6" w:space="0" w:color="D8D5CA"/>
              <w:bottom w:val="single" w:sz="6" w:space="0" w:color="D8D5CA"/>
              <w:right w:val="single" w:sz="6" w:space="0" w:color="D8D5CA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2610F253" w14:textId="77777777" w:rsidR="003E022E" w:rsidRDefault="003E022E">
            <w:pPr>
              <w:spacing w:before="200" w:after="200"/>
              <w:rPr>
                <w:rFonts w:ascii="Calibri" w:eastAsia="Times New Roman" w:hAnsi="Calibri" w:cs="Calibri"/>
                <w:color w:val="262626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262626"/>
                <w:sz w:val="19"/>
                <w:szCs w:val="19"/>
              </w:rPr>
              <w:t>CNPJ do estabelecimento</w:t>
            </w:r>
          </w:p>
        </w:tc>
        <w:tc>
          <w:tcPr>
            <w:tcW w:w="0" w:type="auto"/>
            <w:tcBorders>
              <w:top w:val="single" w:sz="6" w:space="0" w:color="D8D5CA"/>
              <w:left w:val="single" w:sz="6" w:space="0" w:color="D8D5CA"/>
              <w:bottom w:val="single" w:sz="6" w:space="0" w:color="D8D5CA"/>
              <w:right w:val="single" w:sz="6" w:space="0" w:color="D8D5CA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32D224E" w14:textId="77777777" w:rsidR="003E022E" w:rsidRDefault="003E022E">
            <w:pPr>
              <w:spacing w:before="200" w:after="200"/>
              <w:rPr>
                <w:rFonts w:ascii="Calibri" w:eastAsia="Times New Roman" w:hAnsi="Calibri" w:cs="Calibri"/>
                <w:color w:val="262626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262626"/>
                <w:sz w:val="19"/>
                <w:szCs w:val="19"/>
              </w:rPr>
              <w:t>comum</w:t>
            </w:r>
          </w:p>
        </w:tc>
        <w:tc>
          <w:tcPr>
            <w:tcW w:w="0" w:type="auto"/>
            <w:tcBorders>
              <w:top w:val="single" w:sz="6" w:space="0" w:color="D8D5CA"/>
              <w:left w:val="single" w:sz="6" w:space="0" w:color="D8D5CA"/>
              <w:bottom w:val="single" w:sz="6" w:space="0" w:color="D8D5CA"/>
              <w:right w:val="single" w:sz="6" w:space="0" w:color="D8D5CA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258A0778" w14:textId="77777777" w:rsidR="003E022E" w:rsidRDefault="003E022E">
            <w:pPr>
              <w:spacing w:before="200" w:after="200"/>
              <w:rPr>
                <w:rFonts w:ascii="Calibri" w:eastAsia="Times New Roman" w:hAnsi="Calibri" w:cs="Calibri"/>
                <w:color w:val="262626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262626"/>
                <w:sz w:val="19"/>
                <w:szCs w:val="19"/>
              </w:rPr>
              <w:t>vincular o trabalhador ao estabelecimento e, por ele, à CCT ou ACT aplicável</w:t>
            </w:r>
          </w:p>
        </w:tc>
      </w:tr>
      <w:tr w:rsidR="00000000" w14:paraId="26920657" w14:textId="77777777">
        <w:tc>
          <w:tcPr>
            <w:tcW w:w="0" w:type="auto"/>
            <w:tcBorders>
              <w:top w:val="single" w:sz="6" w:space="0" w:color="D8D5CA"/>
              <w:left w:val="single" w:sz="6" w:space="0" w:color="D8D5CA"/>
              <w:bottom w:val="single" w:sz="6" w:space="0" w:color="D8D5CA"/>
              <w:right w:val="single" w:sz="6" w:space="0" w:color="D8D5CA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1EB37F74" w14:textId="77777777" w:rsidR="003E022E" w:rsidRDefault="003E022E">
            <w:pPr>
              <w:spacing w:before="200" w:after="200"/>
              <w:rPr>
                <w:rFonts w:ascii="Calibri" w:eastAsia="Times New Roman" w:hAnsi="Calibri" w:cs="Calibri"/>
                <w:color w:val="262626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262626"/>
                <w:sz w:val="19"/>
                <w:szCs w:val="19"/>
              </w:rPr>
              <w:t>Nome</w:t>
            </w:r>
          </w:p>
        </w:tc>
        <w:tc>
          <w:tcPr>
            <w:tcW w:w="0" w:type="auto"/>
            <w:tcBorders>
              <w:top w:val="single" w:sz="6" w:space="0" w:color="D8D5CA"/>
              <w:left w:val="single" w:sz="6" w:space="0" w:color="D8D5CA"/>
              <w:bottom w:val="single" w:sz="6" w:space="0" w:color="D8D5CA"/>
              <w:right w:val="single" w:sz="6" w:space="0" w:color="D8D5CA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672D3BC3" w14:textId="77777777" w:rsidR="003E022E" w:rsidRDefault="003E022E">
            <w:pPr>
              <w:spacing w:before="200" w:after="200"/>
              <w:rPr>
                <w:rFonts w:ascii="Calibri" w:eastAsia="Times New Roman" w:hAnsi="Calibri" w:cs="Calibri"/>
                <w:color w:val="262626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262626"/>
                <w:sz w:val="19"/>
                <w:szCs w:val="19"/>
              </w:rPr>
              <w:t>comum</w:t>
            </w:r>
          </w:p>
        </w:tc>
        <w:tc>
          <w:tcPr>
            <w:tcW w:w="0" w:type="auto"/>
            <w:tcBorders>
              <w:top w:val="single" w:sz="6" w:space="0" w:color="D8D5CA"/>
              <w:left w:val="single" w:sz="6" w:space="0" w:color="D8D5CA"/>
              <w:bottom w:val="single" w:sz="6" w:space="0" w:color="D8D5CA"/>
              <w:right w:val="single" w:sz="6" w:space="0" w:color="D8D5CA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4D5A91A3" w14:textId="77777777" w:rsidR="003E022E" w:rsidRDefault="003E022E">
            <w:pPr>
              <w:spacing w:before="200" w:after="200"/>
              <w:rPr>
                <w:rFonts w:ascii="Calibri" w:eastAsia="Times New Roman" w:hAnsi="Calibri" w:cs="Calibri"/>
                <w:color w:val="262626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262626"/>
                <w:sz w:val="19"/>
                <w:szCs w:val="19"/>
              </w:rPr>
              <w:t>identificação</w:t>
            </w:r>
          </w:p>
        </w:tc>
      </w:tr>
      <w:tr w:rsidR="00000000" w14:paraId="00BB762B" w14:textId="77777777">
        <w:tc>
          <w:tcPr>
            <w:tcW w:w="0" w:type="auto"/>
            <w:tcBorders>
              <w:top w:val="single" w:sz="6" w:space="0" w:color="D8D5CA"/>
              <w:left w:val="single" w:sz="6" w:space="0" w:color="D8D5CA"/>
              <w:bottom w:val="single" w:sz="6" w:space="0" w:color="D8D5CA"/>
              <w:right w:val="single" w:sz="6" w:space="0" w:color="D8D5CA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4B09EF34" w14:textId="77777777" w:rsidR="003E022E" w:rsidRDefault="003E022E">
            <w:pPr>
              <w:spacing w:before="200" w:after="200"/>
              <w:rPr>
                <w:rFonts w:ascii="Calibri" w:eastAsia="Times New Roman" w:hAnsi="Calibri" w:cs="Calibri"/>
                <w:color w:val="262626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262626"/>
                <w:sz w:val="19"/>
                <w:szCs w:val="19"/>
              </w:rPr>
              <w:t>CPF</w:t>
            </w:r>
          </w:p>
        </w:tc>
        <w:tc>
          <w:tcPr>
            <w:tcW w:w="0" w:type="auto"/>
            <w:tcBorders>
              <w:top w:val="single" w:sz="6" w:space="0" w:color="D8D5CA"/>
              <w:left w:val="single" w:sz="6" w:space="0" w:color="D8D5CA"/>
              <w:bottom w:val="single" w:sz="6" w:space="0" w:color="D8D5CA"/>
              <w:right w:val="single" w:sz="6" w:space="0" w:color="D8D5CA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572A6F30" w14:textId="77777777" w:rsidR="003E022E" w:rsidRDefault="003E022E">
            <w:pPr>
              <w:spacing w:before="200" w:after="200"/>
              <w:rPr>
                <w:rFonts w:ascii="Calibri" w:eastAsia="Times New Roman" w:hAnsi="Calibri" w:cs="Calibri"/>
                <w:color w:val="262626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262626"/>
                <w:sz w:val="19"/>
                <w:szCs w:val="19"/>
              </w:rPr>
              <w:t>comum</w:t>
            </w:r>
          </w:p>
        </w:tc>
        <w:tc>
          <w:tcPr>
            <w:tcW w:w="0" w:type="auto"/>
            <w:tcBorders>
              <w:top w:val="single" w:sz="6" w:space="0" w:color="D8D5CA"/>
              <w:left w:val="single" w:sz="6" w:space="0" w:color="D8D5CA"/>
              <w:bottom w:val="single" w:sz="6" w:space="0" w:color="D8D5CA"/>
              <w:right w:val="single" w:sz="6" w:space="0" w:color="D8D5CA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11F8615A" w14:textId="77777777" w:rsidR="003E022E" w:rsidRDefault="003E022E">
            <w:pPr>
              <w:spacing w:before="200" w:after="200"/>
              <w:rPr>
                <w:rFonts w:ascii="Calibri" w:eastAsia="Times New Roman" w:hAnsi="Calibri" w:cs="Calibri"/>
                <w:color w:val="262626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262626"/>
                <w:sz w:val="19"/>
                <w:szCs w:val="19"/>
              </w:rPr>
              <w:t>identificação unívoca; impede duplicidade de cadastro</w:t>
            </w:r>
          </w:p>
        </w:tc>
      </w:tr>
      <w:tr w:rsidR="00000000" w14:paraId="1AE35403" w14:textId="77777777">
        <w:tc>
          <w:tcPr>
            <w:tcW w:w="0" w:type="auto"/>
            <w:tcBorders>
              <w:top w:val="single" w:sz="6" w:space="0" w:color="D8D5CA"/>
              <w:left w:val="single" w:sz="6" w:space="0" w:color="D8D5CA"/>
              <w:bottom w:val="single" w:sz="6" w:space="0" w:color="D8D5CA"/>
              <w:right w:val="single" w:sz="6" w:space="0" w:color="D8D5CA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32B0F323" w14:textId="77777777" w:rsidR="003E022E" w:rsidRDefault="003E022E">
            <w:pPr>
              <w:spacing w:before="200" w:after="200"/>
              <w:rPr>
                <w:rFonts w:ascii="Calibri" w:eastAsia="Times New Roman" w:hAnsi="Calibri" w:cs="Calibri"/>
                <w:color w:val="262626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262626"/>
                <w:sz w:val="19"/>
                <w:szCs w:val="19"/>
              </w:rPr>
              <w:t>Telefone de contato</w:t>
            </w:r>
          </w:p>
        </w:tc>
        <w:tc>
          <w:tcPr>
            <w:tcW w:w="0" w:type="auto"/>
            <w:tcBorders>
              <w:top w:val="single" w:sz="6" w:space="0" w:color="D8D5CA"/>
              <w:left w:val="single" w:sz="6" w:space="0" w:color="D8D5CA"/>
              <w:bottom w:val="single" w:sz="6" w:space="0" w:color="D8D5CA"/>
              <w:right w:val="single" w:sz="6" w:space="0" w:color="D8D5CA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496C634D" w14:textId="77777777" w:rsidR="003E022E" w:rsidRDefault="003E022E">
            <w:pPr>
              <w:spacing w:before="200" w:after="200"/>
              <w:rPr>
                <w:rFonts w:ascii="Calibri" w:eastAsia="Times New Roman" w:hAnsi="Calibri" w:cs="Calibri"/>
                <w:color w:val="262626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262626"/>
                <w:sz w:val="19"/>
                <w:szCs w:val="19"/>
              </w:rPr>
              <w:t>comum</w:t>
            </w:r>
          </w:p>
        </w:tc>
        <w:tc>
          <w:tcPr>
            <w:tcW w:w="0" w:type="auto"/>
            <w:tcBorders>
              <w:top w:val="single" w:sz="6" w:space="0" w:color="D8D5CA"/>
              <w:left w:val="single" w:sz="6" w:space="0" w:color="D8D5CA"/>
              <w:bottom w:val="single" w:sz="6" w:space="0" w:color="D8D5CA"/>
              <w:right w:val="single" w:sz="6" w:space="0" w:color="D8D5CA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5E2A614B" w14:textId="77777777" w:rsidR="003E022E" w:rsidRDefault="003E022E">
            <w:pPr>
              <w:spacing w:before="200" w:after="200"/>
              <w:rPr>
                <w:rFonts w:ascii="Calibri" w:eastAsia="Times New Roman" w:hAnsi="Calibri" w:cs="Calibri"/>
                <w:color w:val="262626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262626"/>
                <w:sz w:val="19"/>
                <w:szCs w:val="19"/>
              </w:rPr>
              <w:t>comunicação com o representado</w:t>
            </w:r>
          </w:p>
        </w:tc>
      </w:tr>
      <w:tr w:rsidR="00000000" w14:paraId="21DFF74B" w14:textId="77777777">
        <w:tc>
          <w:tcPr>
            <w:tcW w:w="0" w:type="auto"/>
            <w:tcBorders>
              <w:top w:val="single" w:sz="6" w:space="0" w:color="D8D5CA"/>
              <w:left w:val="single" w:sz="6" w:space="0" w:color="D8D5CA"/>
              <w:bottom w:val="single" w:sz="6" w:space="0" w:color="D8D5CA"/>
              <w:right w:val="single" w:sz="6" w:space="0" w:color="D8D5CA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1E1AC1CC" w14:textId="77777777" w:rsidR="003E022E" w:rsidRDefault="003E022E">
            <w:pPr>
              <w:spacing w:before="200" w:after="200"/>
              <w:rPr>
                <w:rFonts w:ascii="Calibri" w:eastAsia="Times New Roman" w:hAnsi="Calibri" w:cs="Calibri"/>
                <w:color w:val="262626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262626"/>
                <w:sz w:val="19"/>
                <w:szCs w:val="19"/>
              </w:rPr>
              <w:t>Piso salarial pago</w:t>
            </w:r>
          </w:p>
        </w:tc>
        <w:tc>
          <w:tcPr>
            <w:tcW w:w="0" w:type="auto"/>
            <w:tcBorders>
              <w:top w:val="single" w:sz="6" w:space="0" w:color="D8D5CA"/>
              <w:left w:val="single" w:sz="6" w:space="0" w:color="D8D5CA"/>
              <w:bottom w:val="single" w:sz="6" w:space="0" w:color="D8D5CA"/>
              <w:right w:val="single" w:sz="6" w:space="0" w:color="D8D5CA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03896643" w14:textId="77777777" w:rsidR="003E022E" w:rsidRDefault="003E022E">
            <w:pPr>
              <w:spacing w:before="200" w:after="200"/>
              <w:rPr>
                <w:rFonts w:ascii="Calibri" w:eastAsia="Times New Roman" w:hAnsi="Calibri" w:cs="Calibri"/>
                <w:color w:val="262626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262626"/>
                <w:sz w:val="19"/>
                <w:szCs w:val="19"/>
              </w:rPr>
              <w:t>comum</w:t>
            </w:r>
          </w:p>
        </w:tc>
        <w:tc>
          <w:tcPr>
            <w:tcW w:w="0" w:type="auto"/>
            <w:tcBorders>
              <w:top w:val="single" w:sz="6" w:space="0" w:color="D8D5CA"/>
              <w:left w:val="single" w:sz="6" w:space="0" w:color="D8D5CA"/>
              <w:bottom w:val="single" w:sz="6" w:space="0" w:color="D8D5CA"/>
              <w:right w:val="single" w:sz="6" w:space="0" w:color="D8D5CA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4924BFD4" w14:textId="77777777" w:rsidR="003E022E" w:rsidRDefault="003E022E">
            <w:pPr>
              <w:spacing w:before="200" w:after="200"/>
              <w:rPr>
                <w:rFonts w:ascii="Calibri" w:eastAsia="Times New Roman" w:hAnsi="Calibri" w:cs="Calibri"/>
                <w:color w:val="262626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262626"/>
                <w:sz w:val="19"/>
                <w:szCs w:val="19"/>
              </w:rPr>
              <w:t>base de cálculo da contribuição e verificação do piso convencional</w:t>
            </w:r>
          </w:p>
        </w:tc>
      </w:tr>
      <w:tr w:rsidR="00000000" w14:paraId="733E5076" w14:textId="77777777">
        <w:tc>
          <w:tcPr>
            <w:tcW w:w="0" w:type="auto"/>
            <w:tcBorders>
              <w:top w:val="single" w:sz="6" w:space="0" w:color="D8D5CA"/>
              <w:left w:val="single" w:sz="6" w:space="0" w:color="D8D5CA"/>
              <w:bottom w:val="single" w:sz="6" w:space="0" w:color="D8D5CA"/>
              <w:right w:val="single" w:sz="6" w:space="0" w:color="D8D5CA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281EB278" w14:textId="77777777" w:rsidR="003E022E" w:rsidRDefault="003E022E">
            <w:pPr>
              <w:spacing w:before="200" w:after="200"/>
              <w:rPr>
                <w:rFonts w:ascii="Calibri" w:eastAsia="Times New Roman" w:hAnsi="Calibri" w:cs="Calibri"/>
                <w:color w:val="262626"/>
                <w:sz w:val="19"/>
                <w:szCs w:val="19"/>
              </w:rPr>
            </w:pPr>
            <w:r>
              <w:rPr>
                <w:rStyle w:val="Forte"/>
                <w:rFonts w:ascii="Calibri" w:eastAsia="Times New Roman" w:hAnsi="Calibri" w:cs="Calibri"/>
                <w:sz w:val="19"/>
                <w:szCs w:val="19"/>
              </w:rPr>
              <w:t>Sindicalizado / oposição</w:t>
            </w:r>
          </w:p>
        </w:tc>
        <w:tc>
          <w:tcPr>
            <w:tcW w:w="0" w:type="auto"/>
            <w:tcBorders>
              <w:top w:val="single" w:sz="6" w:space="0" w:color="D8D5CA"/>
              <w:left w:val="single" w:sz="6" w:space="0" w:color="D8D5CA"/>
              <w:bottom w:val="single" w:sz="6" w:space="0" w:color="D8D5CA"/>
              <w:right w:val="single" w:sz="6" w:space="0" w:color="D8D5CA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3CB15E3D" w14:textId="77777777" w:rsidR="003E022E" w:rsidRDefault="003E022E">
            <w:pPr>
              <w:spacing w:before="200" w:after="200"/>
              <w:rPr>
                <w:rFonts w:ascii="Calibri" w:eastAsia="Times New Roman" w:hAnsi="Calibri" w:cs="Calibri"/>
                <w:color w:val="262626"/>
                <w:sz w:val="19"/>
                <w:szCs w:val="19"/>
              </w:rPr>
            </w:pPr>
            <w:r>
              <w:rPr>
                <w:rStyle w:val="Forte"/>
                <w:rFonts w:ascii="Calibri" w:eastAsia="Times New Roman" w:hAnsi="Calibri" w:cs="Calibri"/>
                <w:sz w:val="19"/>
                <w:szCs w:val="19"/>
              </w:rPr>
              <w:t>SENSÍVEL</w:t>
            </w:r>
            <w:r>
              <w:rPr>
                <w:rFonts w:ascii="Calibri" w:eastAsia="Times New Roman" w:hAnsi="Calibri" w:cs="Calibri"/>
                <w:color w:val="262626"/>
                <w:sz w:val="19"/>
                <w:szCs w:val="19"/>
              </w:rPr>
              <w:t xml:space="preserve"> (art. 5º, II)</w:t>
            </w:r>
          </w:p>
        </w:tc>
        <w:tc>
          <w:tcPr>
            <w:tcW w:w="0" w:type="auto"/>
            <w:tcBorders>
              <w:top w:val="single" w:sz="6" w:space="0" w:color="D8D5CA"/>
              <w:left w:val="single" w:sz="6" w:space="0" w:color="D8D5CA"/>
              <w:bottom w:val="single" w:sz="6" w:space="0" w:color="D8D5CA"/>
              <w:right w:val="single" w:sz="6" w:space="0" w:color="D8D5CA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B793049" w14:textId="77777777" w:rsidR="003E022E" w:rsidRDefault="003E022E">
            <w:pPr>
              <w:spacing w:before="200" w:after="200"/>
              <w:rPr>
                <w:rFonts w:ascii="Calibri" w:eastAsia="Times New Roman" w:hAnsi="Calibri" w:cs="Calibri"/>
                <w:color w:val="262626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262626"/>
                <w:sz w:val="19"/>
                <w:szCs w:val="19"/>
              </w:rPr>
              <w:t xml:space="preserve">definir a contribuição devida e </w:t>
            </w:r>
            <w:r>
              <w:rPr>
                <w:rStyle w:val="Forte"/>
                <w:rFonts w:ascii="Calibri" w:eastAsia="Times New Roman" w:hAnsi="Calibri" w:cs="Calibri"/>
                <w:sz w:val="19"/>
                <w:szCs w:val="19"/>
              </w:rPr>
              <w:t>resguardar quem se opôs</w:t>
            </w:r>
          </w:p>
        </w:tc>
      </w:tr>
    </w:tbl>
    <w:p w14:paraId="38A1A718" w14:textId="77777777" w:rsidR="003E022E" w:rsidRDefault="003E022E">
      <w:pPr>
        <w:pStyle w:val="NormalWeb"/>
        <w:rPr>
          <w:rFonts w:ascii="Georgia" w:hAnsi="Georgia"/>
          <w:color w:val="262626"/>
          <w:sz w:val="22"/>
          <w:szCs w:val="22"/>
        </w:rPr>
      </w:pPr>
      <w:r>
        <w:rPr>
          <w:rStyle w:val="Forte"/>
          <w:rFonts w:ascii="Georgia" w:hAnsi="Georgia"/>
          <w:sz w:val="22"/>
          <w:szCs w:val="22"/>
        </w:rPr>
        <w:t>Não são solicitados</w:t>
      </w:r>
      <w:r>
        <w:rPr>
          <w:rFonts w:ascii="Georgia" w:hAnsi="Georgia"/>
          <w:color w:val="262626"/>
          <w:sz w:val="22"/>
          <w:szCs w:val="22"/>
        </w:rPr>
        <w:t xml:space="preserve">, deliberadamente: data de nascimento, endereço residencial, e-mail pessoal, estado civil, dados de dependentes, nem a data de entrega da carta de oposição. A limitação atende ao princípio da </w:t>
      </w:r>
      <w:r>
        <w:rPr>
          <w:rStyle w:val="Forte"/>
          <w:rFonts w:ascii="Georgia" w:hAnsi="Georgia"/>
          <w:sz w:val="22"/>
          <w:szCs w:val="22"/>
        </w:rPr>
        <w:t>necessidade</w:t>
      </w:r>
      <w:r>
        <w:rPr>
          <w:rFonts w:ascii="Georgia" w:hAnsi="Georgia"/>
          <w:color w:val="262626"/>
          <w:sz w:val="22"/>
          <w:szCs w:val="22"/>
        </w:rPr>
        <w:t xml:space="preserve"> (LGPD, art. 6º, III): coleta restrita ao mínimo indispensável à finalidade declarada.</w:t>
      </w:r>
    </w:p>
    <w:p w14:paraId="2C9410AC" w14:textId="77777777" w:rsidR="003E022E" w:rsidRDefault="003E022E">
      <w:pPr>
        <w:spacing w:before="320" w:after="320"/>
        <w:rPr>
          <w:rFonts w:ascii="Georgia" w:eastAsia="Times New Roman" w:hAnsi="Georgia"/>
          <w:color w:val="262626"/>
          <w:sz w:val="22"/>
          <w:szCs w:val="22"/>
        </w:rPr>
      </w:pPr>
      <w:r>
        <w:rPr>
          <w:rFonts w:ascii="Georgia" w:eastAsia="Times New Roman" w:hAnsi="Georgia"/>
          <w:color w:val="262626"/>
          <w:sz w:val="22"/>
          <w:szCs w:val="22"/>
        </w:rPr>
        <w:pict w14:anchorId="72AFB604">
          <v:rect id="_x0000_i1027" style="width:0;height:1.5pt" o:hralign="center" o:hrstd="t" o:hr="t" fillcolor="#a0a0a0" stroked="f"/>
        </w:pict>
      </w:r>
    </w:p>
    <w:p w14:paraId="47505EDD" w14:textId="77777777" w:rsidR="003E022E" w:rsidRDefault="003E022E">
      <w:pPr>
        <w:pStyle w:val="Ttulo2"/>
        <w:rPr>
          <w:rFonts w:ascii="Georgia" w:eastAsia="Times New Roman" w:hAnsi="Georgia"/>
        </w:rPr>
      </w:pPr>
      <w:r>
        <w:rPr>
          <w:rFonts w:ascii="Georgia" w:eastAsia="Times New Roman" w:hAnsi="Georgia"/>
        </w:rPr>
        <w:t>4. O fundamento da atuação sindical</w:t>
      </w:r>
    </w:p>
    <w:p w14:paraId="71542FF4" w14:textId="77777777" w:rsidR="003E022E" w:rsidRDefault="003E022E">
      <w:pPr>
        <w:pStyle w:val="Ttulo3"/>
        <w:rPr>
          <w:rFonts w:ascii="Georgia" w:eastAsia="Times New Roman" w:hAnsi="Georgia"/>
        </w:rPr>
      </w:pPr>
      <w:r>
        <w:rPr>
          <w:rFonts w:ascii="Georgia" w:eastAsia="Times New Roman" w:hAnsi="Georgia"/>
        </w:rPr>
        <w:t>4.1 Norma constitucional</w:t>
      </w:r>
    </w:p>
    <w:p w14:paraId="45C0A484" w14:textId="77777777" w:rsidR="003E022E" w:rsidRDefault="003E022E">
      <w:pPr>
        <w:pStyle w:val="NormalWeb"/>
        <w:rPr>
          <w:rFonts w:ascii="Georgia" w:hAnsi="Georgia"/>
          <w:color w:val="262626"/>
          <w:sz w:val="22"/>
          <w:szCs w:val="22"/>
        </w:rPr>
      </w:pPr>
      <w:r>
        <w:rPr>
          <w:rStyle w:val="Forte"/>
          <w:rFonts w:ascii="Georgia" w:hAnsi="Georgia"/>
          <w:sz w:val="22"/>
          <w:szCs w:val="22"/>
        </w:rPr>
        <w:t>CF, art. 8º, III</w:t>
      </w:r>
      <w:r>
        <w:rPr>
          <w:rFonts w:ascii="Georgia" w:hAnsi="Georgia"/>
          <w:color w:val="262626"/>
          <w:sz w:val="22"/>
          <w:szCs w:val="22"/>
        </w:rPr>
        <w:t xml:space="preserve"> — </w:t>
      </w:r>
      <w:r>
        <w:rPr>
          <w:rStyle w:val="nfase"/>
          <w:rFonts w:ascii="Georgia" w:hAnsi="Georgia"/>
          <w:color w:val="262626"/>
          <w:sz w:val="22"/>
          <w:szCs w:val="22"/>
        </w:rPr>
        <w:t>"ao sindicato cabe a defesa dos direitos e interesses coletivos ou individuais da categoria, inclusive em questões judiciais ou administrativas."</w:t>
      </w:r>
    </w:p>
    <w:p w14:paraId="0A7445FB" w14:textId="77777777" w:rsidR="003E022E" w:rsidRDefault="003E022E">
      <w:pPr>
        <w:pStyle w:val="NormalWeb"/>
        <w:rPr>
          <w:rFonts w:ascii="Georgia" w:hAnsi="Georgia"/>
          <w:color w:val="262626"/>
          <w:sz w:val="22"/>
          <w:szCs w:val="22"/>
        </w:rPr>
      </w:pPr>
      <w:r>
        <w:rPr>
          <w:rFonts w:ascii="Georgia" w:hAnsi="Georgia"/>
          <w:color w:val="262626"/>
          <w:sz w:val="22"/>
          <w:szCs w:val="22"/>
        </w:rPr>
        <w:t xml:space="preserve">A representação alcança </w:t>
      </w:r>
      <w:r>
        <w:rPr>
          <w:rStyle w:val="Forte"/>
          <w:rFonts w:ascii="Georgia" w:hAnsi="Georgia"/>
          <w:sz w:val="22"/>
          <w:szCs w:val="22"/>
        </w:rPr>
        <w:t>toda a categoria</w:t>
      </w:r>
      <w:r>
        <w:rPr>
          <w:rFonts w:ascii="Georgia" w:hAnsi="Georgia"/>
          <w:color w:val="262626"/>
          <w:sz w:val="22"/>
          <w:szCs w:val="22"/>
        </w:rPr>
        <w:t>, e não apenas os filiados. É essa amplitude que justifica o Sindicato conhecer o universo que representa — não somente sua lista de associados. Um sindicato que ignora quem compõe a categoria não tem como defender direitos coletivos com base em fatos, negociar pisos com base em realidade salarial, nem identificar descumprimento de cláusula convencional.</w:t>
      </w:r>
    </w:p>
    <w:p w14:paraId="29AD627C" w14:textId="77777777" w:rsidR="003E022E" w:rsidRDefault="003E022E">
      <w:pPr>
        <w:pStyle w:val="Ttulo3"/>
        <w:rPr>
          <w:rFonts w:ascii="Georgia" w:eastAsia="Times New Roman" w:hAnsi="Georgia"/>
        </w:rPr>
      </w:pPr>
      <w:r>
        <w:rPr>
          <w:rFonts w:ascii="Georgia" w:eastAsia="Times New Roman" w:hAnsi="Georgia"/>
        </w:rPr>
        <w:t>4.2 Norma legal</w:t>
      </w:r>
    </w:p>
    <w:p w14:paraId="7BA800A4" w14:textId="77777777" w:rsidR="003E022E" w:rsidRDefault="003E022E">
      <w:pPr>
        <w:pStyle w:val="NormalWeb"/>
        <w:rPr>
          <w:rFonts w:ascii="Georgia" w:hAnsi="Georgia"/>
          <w:color w:val="262626"/>
          <w:sz w:val="22"/>
          <w:szCs w:val="22"/>
        </w:rPr>
      </w:pPr>
      <w:r>
        <w:rPr>
          <w:rStyle w:val="Forte"/>
          <w:rFonts w:ascii="Georgia" w:hAnsi="Georgia"/>
          <w:sz w:val="22"/>
          <w:szCs w:val="22"/>
        </w:rPr>
        <w:t>CLT (Decreto-Lei 5.452/1943), art. 513</w:t>
      </w:r>
      <w:r>
        <w:rPr>
          <w:rFonts w:ascii="Georgia" w:hAnsi="Georgia"/>
          <w:color w:val="262626"/>
          <w:sz w:val="22"/>
          <w:szCs w:val="22"/>
        </w:rPr>
        <w:t xml:space="preserve"> — são prerrogativas dos sindicatos:</w:t>
      </w:r>
    </w:p>
    <w:p w14:paraId="772D8C5C" w14:textId="77777777" w:rsidR="003E022E" w:rsidRDefault="003E022E">
      <w:pPr>
        <w:numPr>
          <w:ilvl w:val="0"/>
          <w:numId w:val="2"/>
        </w:numPr>
        <w:spacing w:before="100" w:beforeAutospacing="1" w:after="60"/>
        <w:rPr>
          <w:rFonts w:ascii="Georgia" w:eastAsia="Times New Roman" w:hAnsi="Georgia"/>
          <w:color w:val="262626"/>
          <w:sz w:val="22"/>
          <w:szCs w:val="22"/>
        </w:rPr>
      </w:pPr>
      <w:r>
        <w:rPr>
          <w:rStyle w:val="Forte"/>
          <w:rFonts w:ascii="Georgia" w:eastAsia="Times New Roman" w:hAnsi="Georgia"/>
          <w:sz w:val="22"/>
          <w:szCs w:val="22"/>
        </w:rPr>
        <w:lastRenderedPageBreak/>
        <w:t>alínea "a"</w:t>
      </w:r>
      <w:r>
        <w:rPr>
          <w:rFonts w:ascii="Georgia" w:eastAsia="Times New Roman" w:hAnsi="Georgia"/>
          <w:color w:val="262626"/>
          <w:sz w:val="22"/>
          <w:szCs w:val="22"/>
        </w:rPr>
        <w:t xml:space="preserve"> — </w:t>
      </w:r>
      <w:r>
        <w:rPr>
          <w:rStyle w:val="nfase"/>
          <w:rFonts w:ascii="Georgia" w:eastAsia="Times New Roman" w:hAnsi="Georgia"/>
          <w:color w:val="262626"/>
          <w:sz w:val="22"/>
          <w:szCs w:val="22"/>
        </w:rPr>
        <w:t>representar</w:t>
      </w:r>
      <w:r>
        <w:rPr>
          <w:rFonts w:ascii="Georgia" w:eastAsia="Times New Roman" w:hAnsi="Georgia"/>
          <w:color w:val="262626"/>
          <w:sz w:val="22"/>
          <w:szCs w:val="22"/>
        </w:rPr>
        <w:t xml:space="preserve">, perante as autoridades administrativas e judiciárias, os interesses gerais da categoria ou profissão liberal ou os </w:t>
      </w:r>
      <w:r>
        <w:rPr>
          <w:rStyle w:val="Forte"/>
          <w:rFonts w:ascii="Georgia" w:eastAsia="Times New Roman" w:hAnsi="Georgia"/>
          <w:sz w:val="22"/>
          <w:szCs w:val="22"/>
        </w:rPr>
        <w:t>interesses individuais dos associados</w:t>
      </w:r>
      <w:r>
        <w:rPr>
          <w:rFonts w:ascii="Georgia" w:eastAsia="Times New Roman" w:hAnsi="Georgia"/>
          <w:color w:val="262626"/>
          <w:sz w:val="22"/>
          <w:szCs w:val="22"/>
        </w:rPr>
        <w:t xml:space="preserve"> relativos à atividade ou profissão exercida;</w:t>
      </w:r>
    </w:p>
    <w:p w14:paraId="296E9E22" w14:textId="77777777" w:rsidR="003E022E" w:rsidRDefault="003E022E">
      <w:pPr>
        <w:numPr>
          <w:ilvl w:val="0"/>
          <w:numId w:val="2"/>
        </w:numPr>
        <w:spacing w:before="100" w:beforeAutospacing="1" w:after="60"/>
        <w:rPr>
          <w:rFonts w:ascii="Georgia" w:eastAsia="Times New Roman" w:hAnsi="Georgia"/>
          <w:color w:val="262626"/>
          <w:sz w:val="22"/>
          <w:szCs w:val="22"/>
        </w:rPr>
      </w:pPr>
      <w:r>
        <w:rPr>
          <w:rStyle w:val="Forte"/>
          <w:rFonts w:ascii="Georgia" w:eastAsia="Times New Roman" w:hAnsi="Georgia"/>
          <w:sz w:val="22"/>
          <w:szCs w:val="22"/>
        </w:rPr>
        <w:t>alínea "e"</w:t>
      </w:r>
      <w:r>
        <w:rPr>
          <w:rFonts w:ascii="Georgia" w:eastAsia="Times New Roman" w:hAnsi="Georgia"/>
          <w:color w:val="262626"/>
          <w:sz w:val="22"/>
          <w:szCs w:val="22"/>
        </w:rPr>
        <w:t xml:space="preserve"> — </w:t>
      </w:r>
      <w:r>
        <w:rPr>
          <w:rStyle w:val="Forte"/>
          <w:rFonts w:ascii="Georgia" w:eastAsia="Times New Roman" w:hAnsi="Georgia"/>
          <w:sz w:val="22"/>
          <w:szCs w:val="22"/>
        </w:rPr>
        <w:t>impor contribuições</w:t>
      </w:r>
      <w:r>
        <w:rPr>
          <w:rFonts w:ascii="Georgia" w:eastAsia="Times New Roman" w:hAnsi="Georgia"/>
          <w:color w:val="262626"/>
          <w:sz w:val="22"/>
          <w:szCs w:val="22"/>
        </w:rPr>
        <w:t xml:space="preserve"> a todos aqueles que participam das categorias econômicas ou profissionais representadas.</w:t>
      </w:r>
    </w:p>
    <w:p w14:paraId="13B549CF" w14:textId="77777777" w:rsidR="003E022E" w:rsidRDefault="003E022E">
      <w:pPr>
        <w:pStyle w:val="NormalWeb"/>
        <w:rPr>
          <w:rFonts w:ascii="Georgia" w:hAnsi="Georgia"/>
          <w:color w:val="262626"/>
          <w:sz w:val="22"/>
          <w:szCs w:val="22"/>
        </w:rPr>
      </w:pPr>
      <w:r>
        <w:rPr>
          <w:rFonts w:ascii="Georgia" w:hAnsi="Georgia"/>
          <w:color w:val="262626"/>
          <w:sz w:val="22"/>
          <w:szCs w:val="22"/>
        </w:rPr>
        <w:t>A alínea "e" é o elo decisivo para o campo sensível, e o argumento se desenvolve em §6.</w:t>
      </w:r>
    </w:p>
    <w:p w14:paraId="2CDD3A4E" w14:textId="77777777" w:rsidR="003E022E" w:rsidRDefault="003E022E">
      <w:pPr>
        <w:pStyle w:val="Ttulo3"/>
        <w:rPr>
          <w:rFonts w:ascii="Georgia" w:eastAsia="Times New Roman" w:hAnsi="Georgia"/>
        </w:rPr>
      </w:pPr>
      <w:r>
        <w:rPr>
          <w:rFonts w:ascii="Georgia" w:eastAsia="Times New Roman" w:hAnsi="Georgia"/>
        </w:rPr>
        <w:t>4.3 Base legal do tratamento pelo Sindicato</w:t>
      </w:r>
    </w:p>
    <w:p w14:paraId="3E128D57" w14:textId="77777777" w:rsidR="003E022E" w:rsidRDefault="003E022E">
      <w:pPr>
        <w:pStyle w:val="NormalWeb"/>
        <w:rPr>
          <w:rFonts w:ascii="Georgia" w:hAnsi="Georgia"/>
          <w:color w:val="262626"/>
          <w:sz w:val="22"/>
          <w:szCs w:val="22"/>
        </w:rPr>
      </w:pPr>
      <w:r>
        <w:rPr>
          <w:rStyle w:val="Forte"/>
          <w:rFonts w:ascii="Georgia" w:hAnsi="Georgia"/>
          <w:sz w:val="22"/>
          <w:szCs w:val="22"/>
        </w:rPr>
        <w:t>LGPD, art. 11, II, "d"</w:t>
      </w:r>
      <w:r>
        <w:rPr>
          <w:rFonts w:ascii="Georgia" w:hAnsi="Georgia"/>
          <w:color w:val="262626"/>
          <w:sz w:val="22"/>
          <w:szCs w:val="22"/>
        </w:rPr>
        <w:t xml:space="preserve"> </w:t>
      </w:r>
      <w:r>
        <w:rPr>
          <w:rFonts w:ascii="Georgia" w:hAnsi="Georgia"/>
          <w:color w:val="262626"/>
          <w:sz w:val="22"/>
          <w:szCs w:val="22"/>
        </w:rPr>
        <w:t xml:space="preserve">— tratamento de dado sensível sem consentimento quando indispensável para o </w:t>
      </w:r>
      <w:r>
        <w:rPr>
          <w:rStyle w:val="Forte"/>
          <w:rFonts w:ascii="Georgia" w:hAnsi="Georgia"/>
          <w:sz w:val="22"/>
          <w:szCs w:val="22"/>
        </w:rPr>
        <w:t>exercício regular de direitos</w:t>
      </w:r>
      <w:r>
        <w:rPr>
          <w:rFonts w:ascii="Georgia" w:hAnsi="Georgia"/>
          <w:color w:val="262626"/>
          <w:sz w:val="22"/>
          <w:szCs w:val="22"/>
        </w:rPr>
        <w:t>.</w:t>
      </w:r>
    </w:p>
    <w:p w14:paraId="68C515A0" w14:textId="77777777" w:rsidR="003E022E" w:rsidRDefault="003E022E">
      <w:pPr>
        <w:pStyle w:val="NormalWeb"/>
        <w:rPr>
          <w:rFonts w:ascii="Georgia" w:hAnsi="Georgia"/>
          <w:color w:val="262626"/>
          <w:sz w:val="22"/>
          <w:szCs w:val="22"/>
        </w:rPr>
      </w:pPr>
      <w:r>
        <w:rPr>
          <w:rFonts w:ascii="Georgia" w:hAnsi="Georgia"/>
          <w:color w:val="262626"/>
          <w:sz w:val="22"/>
          <w:szCs w:val="22"/>
        </w:rPr>
        <w:t xml:space="preserve">O Sindicato atua como instância de salvaguarda e de execução de direitos que a Constituição e a CLT lhe atribuem. O tratamento é </w:t>
      </w:r>
      <w:r>
        <w:rPr>
          <w:rStyle w:val="Forte"/>
          <w:rFonts w:ascii="Georgia" w:hAnsi="Georgia"/>
          <w:sz w:val="22"/>
          <w:szCs w:val="22"/>
        </w:rPr>
        <w:t>indispensável</w:t>
      </w:r>
      <w:r>
        <w:rPr>
          <w:rFonts w:ascii="Georgia" w:hAnsi="Georgia"/>
          <w:color w:val="262626"/>
          <w:sz w:val="22"/>
          <w:szCs w:val="22"/>
        </w:rPr>
        <w:t>: sem os dados não há como exercer a representação, calcular a contribuição devida, nem — sobretudo — respeitar a oposição.</w:t>
      </w:r>
    </w:p>
    <w:p w14:paraId="6BDB7EDA" w14:textId="77777777" w:rsidR="003E022E" w:rsidRDefault="003E022E">
      <w:pPr>
        <w:pStyle w:val="NormalWeb"/>
        <w:rPr>
          <w:rFonts w:ascii="Georgia" w:hAnsi="Georgia"/>
          <w:color w:val="262626"/>
          <w:sz w:val="22"/>
          <w:szCs w:val="22"/>
        </w:rPr>
      </w:pPr>
      <w:r>
        <w:rPr>
          <w:rStyle w:val="Forte"/>
          <w:rFonts w:ascii="Georgia" w:hAnsi="Georgia"/>
          <w:sz w:val="22"/>
          <w:szCs w:val="22"/>
        </w:rPr>
        <w:t>O consentimento do titular (art. 11, I) é expressamente afastado</w:t>
      </w:r>
      <w:r>
        <w:rPr>
          <w:rFonts w:ascii="Georgia" w:hAnsi="Georgia"/>
          <w:color w:val="262626"/>
          <w:sz w:val="22"/>
          <w:szCs w:val="22"/>
        </w:rPr>
        <w:t xml:space="preserve">, e por duas razões que convém explicitar: (i) quem transmite a informação é o empregador ou seu contador, não o próprio titular; (ii) consentimento colhido pelo empregador acerca de filiação sindical é juridicamente frágil, dado o desequilíbrio inerente à relação de emprego — e sua coleta poderia, ela mesma, expor o trabalhador. Afastar o consentimento </w:t>
      </w:r>
      <w:r>
        <w:rPr>
          <w:rStyle w:val="Forte"/>
          <w:rFonts w:ascii="Georgia" w:hAnsi="Georgia"/>
          <w:sz w:val="22"/>
          <w:szCs w:val="22"/>
        </w:rPr>
        <w:t>protege o trabalhador</w:t>
      </w:r>
      <w:r>
        <w:rPr>
          <w:rFonts w:ascii="Georgia" w:hAnsi="Georgia"/>
          <w:color w:val="262626"/>
          <w:sz w:val="22"/>
          <w:szCs w:val="22"/>
        </w:rPr>
        <w:t>.</w:t>
      </w:r>
    </w:p>
    <w:p w14:paraId="5E9E6854" w14:textId="77777777" w:rsidR="003E022E" w:rsidRDefault="003E022E">
      <w:pPr>
        <w:spacing w:before="320" w:after="320"/>
        <w:rPr>
          <w:rFonts w:ascii="Georgia" w:eastAsia="Times New Roman" w:hAnsi="Georgia"/>
          <w:color w:val="262626"/>
          <w:sz w:val="22"/>
          <w:szCs w:val="22"/>
        </w:rPr>
      </w:pPr>
      <w:r>
        <w:rPr>
          <w:rFonts w:ascii="Georgia" w:eastAsia="Times New Roman" w:hAnsi="Georgia"/>
          <w:color w:val="262626"/>
          <w:sz w:val="22"/>
          <w:szCs w:val="22"/>
        </w:rPr>
        <w:pict w14:anchorId="59E6A586">
          <v:rect id="_x0000_i1028" style="width:0;height:1.5pt" o:hralign="center" o:hrstd="t" o:hr="t" fillcolor="#a0a0a0" stroked="f"/>
        </w:pict>
      </w:r>
    </w:p>
    <w:p w14:paraId="7E155785" w14:textId="77777777" w:rsidR="003E022E" w:rsidRDefault="003E022E">
      <w:pPr>
        <w:pStyle w:val="Ttulo2"/>
        <w:rPr>
          <w:rFonts w:ascii="Georgia" w:eastAsia="Times New Roman" w:hAnsi="Georgia"/>
        </w:rPr>
      </w:pPr>
      <w:r>
        <w:rPr>
          <w:rFonts w:ascii="Georgia" w:eastAsia="Times New Roman" w:hAnsi="Georgia"/>
        </w:rPr>
        <w:t>5. O dever das empresas e das contabilidades</w:t>
      </w:r>
    </w:p>
    <w:p w14:paraId="13CB96EF" w14:textId="77777777" w:rsidR="003E022E" w:rsidRDefault="003E022E">
      <w:pPr>
        <w:pStyle w:val="NormalWeb"/>
        <w:rPr>
          <w:rFonts w:ascii="Georgia" w:hAnsi="Georgia"/>
          <w:color w:val="262626"/>
          <w:sz w:val="22"/>
          <w:szCs w:val="22"/>
        </w:rPr>
      </w:pPr>
      <w:r>
        <w:rPr>
          <w:rFonts w:ascii="Georgia" w:hAnsi="Georgia"/>
          <w:color w:val="262626"/>
          <w:sz w:val="22"/>
          <w:szCs w:val="22"/>
        </w:rPr>
        <w:t xml:space="preserve">Esta seção responde à pergunta que o contador diligente formula, e que é diferente da anterior: não </w:t>
      </w:r>
      <w:r>
        <w:rPr>
          <w:rStyle w:val="nfase"/>
          <w:rFonts w:ascii="Georgia" w:hAnsi="Georgia"/>
          <w:color w:val="262626"/>
          <w:sz w:val="22"/>
          <w:szCs w:val="22"/>
        </w:rPr>
        <w:t>"por que vocês podem pedir"</w:t>
      </w:r>
      <w:r>
        <w:rPr>
          <w:rFonts w:ascii="Georgia" w:hAnsi="Georgia"/>
          <w:color w:val="262626"/>
          <w:sz w:val="22"/>
          <w:szCs w:val="22"/>
        </w:rPr>
        <w:t xml:space="preserve">, mas </w:t>
      </w:r>
      <w:r>
        <w:rPr>
          <w:rStyle w:val="Forte"/>
          <w:rFonts w:ascii="Georgia" w:hAnsi="Georgia"/>
          <w:sz w:val="22"/>
          <w:szCs w:val="22"/>
        </w:rPr>
        <w:t>"por que eu posso — e devo — enviar"</w:t>
      </w:r>
      <w:r>
        <w:rPr>
          <w:rFonts w:ascii="Georgia" w:hAnsi="Georgia"/>
          <w:color w:val="262626"/>
          <w:sz w:val="22"/>
          <w:szCs w:val="22"/>
        </w:rPr>
        <w:t>.</w:t>
      </w:r>
    </w:p>
    <w:p w14:paraId="046A0DFE" w14:textId="77777777" w:rsidR="003E022E" w:rsidRDefault="003E022E">
      <w:pPr>
        <w:pStyle w:val="Ttulo3"/>
        <w:rPr>
          <w:rFonts w:ascii="Georgia" w:eastAsia="Times New Roman" w:hAnsi="Georgia"/>
        </w:rPr>
      </w:pPr>
      <w:r>
        <w:rPr>
          <w:rFonts w:ascii="Georgia" w:eastAsia="Times New Roman" w:hAnsi="Georgia"/>
        </w:rPr>
        <w:t>5.1 A obrigação já está pactuada em Convenção Coletiva</w:t>
      </w:r>
    </w:p>
    <w:p w14:paraId="73A78178" w14:textId="77777777" w:rsidR="003E022E" w:rsidRDefault="003E022E">
      <w:pPr>
        <w:pStyle w:val="NormalWeb"/>
        <w:rPr>
          <w:rFonts w:ascii="Georgia" w:hAnsi="Georgia"/>
          <w:color w:val="262626"/>
          <w:sz w:val="22"/>
          <w:szCs w:val="22"/>
        </w:rPr>
      </w:pPr>
      <w:r>
        <w:rPr>
          <w:rFonts w:ascii="Georgia" w:hAnsi="Georgia"/>
          <w:color w:val="262626"/>
          <w:sz w:val="22"/>
          <w:szCs w:val="22"/>
        </w:rPr>
        <w:t>As Convenções Coletivas de Trabalho vigentes na base territorial contêm, na cláusula que trata da contribuição dos empregados, disposição expressa:</w:t>
      </w:r>
    </w:p>
    <w:p w14:paraId="7C1EBB45" w14:textId="77777777" w:rsidR="003E022E" w:rsidRDefault="003E022E">
      <w:pPr>
        <w:shd w:val="clear" w:color="auto" w:fill="F7F6F1"/>
        <w:spacing w:after="100"/>
        <w:jc w:val="both"/>
        <w:divId w:val="1335571515"/>
        <w:rPr>
          <w:rFonts w:ascii="Georgia" w:hAnsi="Georgia"/>
          <w:i/>
          <w:iCs/>
          <w:color w:val="3A3A3A"/>
          <w:sz w:val="22"/>
          <w:szCs w:val="22"/>
        </w:rPr>
      </w:pPr>
      <w:r>
        <w:rPr>
          <w:rStyle w:val="Forte"/>
          <w:rFonts w:ascii="Georgia" w:hAnsi="Georgia"/>
          <w:i/>
          <w:iCs/>
          <w:sz w:val="22"/>
          <w:szCs w:val="22"/>
        </w:rPr>
        <w:t>"Dentro de 15 (quinze) dias do desconto, as empresas encaminharão à Entidade Profissional cópias de comprovação dos recolhimentos dos valores, acompanhadas das relações de empregados contribuintes, das quais constem os salários anteriores e os corrigidos."</w:t>
      </w:r>
    </w:p>
    <w:p w14:paraId="42034ED0" w14:textId="77777777" w:rsidR="003E022E" w:rsidRDefault="003E022E">
      <w:pPr>
        <w:pStyle w:val="NormalWeb"/>
        <w:rPr>
          <w:rFonts w:ascii="Georgia" w:hAnsi="Georgia"/>
          <w:color w:val="262626"/>
          <w:sz w:val="22"/>
          <w:szCs w:val="22"/>
        </w:rPr>
      </w:pPr>
      <w:r>
        <w:rPr>
          <w:rFonts w:ascii="Georgia" w:hAnsi="Georgia"/>
          <w:color w:val="262626"/>
          <w:sz w:val="22"/>
          <w:szCs w:val="22"/>
        </w:rPr>
        <w:t>Localização verificada: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17"/>
        <w:gridCol w:w="3223"/>
        <w:gridCol w:w="1848"/>
      </w:tblGrid>
      <w:tr w:rsidR="00000000" w14:paraId="3052A860" w14:textId="77777777">
        <w:trPr>
          <w:tblHeader/>
        </w:trPr>
        <w:tc>
          <w:tcPr>
            <w:tcW w:w="0" w:type="auto"/>
            <w:tcBorders>
              <w:top w:val="single" w:sz="6" w:space="0" w:color="B9B6AA"/>
              <w:left w:val="single" w:sz="6" w:space="0" w:color="B9B6AA"/>
              <w:bottom w:val="single" w:sz="6" w:space="0" w:color="B9B6AA"/>
              <w:right w:val="single" w:sz="6" w:space="0" w:color="B9B6AA"/>
            </w:tcBorders>
            <w:shd w:val="clear" w:color="auto" w:fill="EFEEE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13F34813" w14:textId="77777777" w:rsidR="003E022E" w:rsidRDefault="003E022E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42424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424242"/>
                <w:sz w:val="19"/>
                <w:szCs w:val="19"/>
              </w:rPr>
              <w:t>Convenção</w:t>
            </w:r>
          </w:p>
        </w:tc>
        <w:tc>
          <w:tcPr>
            <w:tcW w:w="0" w:type="auto"/>
            <w:tcBorders>
              <w:top w:val="single" w:sz="6" w:space="0" w:color="B9B6AA"/>
              <w:left w:val="single" w:sz="6" w:space="0" w:color="B9B6AA"/>
              <w:bottom w:val="single" w:sz="6" w:space="0" w:color="B9B6AA"/>
              <w:right w:val="single" w:sz="6" w:space="0" w:color="B9B6AA"/>
            </w:tcBorders>
            <w:shd w:val="clear" w:color="auto" w:fill="EFEEE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7720B174" w14:textId="77777777" w:rsidR="003E022E" w:rsidRDefault="003E022E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42424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424242"/>
                <w:sz w:val="19"/>
                <w:szCs w:val="19"/>
              </w:rPr>
              <w:t>Cláusula</w:t>
            </w:r>
          </w:p>
        </w:tc>
        <w:tc>
          <w:tcPr>
            <w:tcW w:w="0" w:type="auto"/>
            <w:tcBorders>
              <w:top w:val="single" w:sz="6" w:space="0" w:color="B9B6AA"/>
              <w:left w:val="single" w:sz="6" w:space="0" w:color="B9B6AA"/>
              <w:bottom w:val="single" w:sz="6" w:space="0" w:color="B9B6AA"/>
              <w:right w:val="single" w:sz="6" w:space="0" w:color="B9B6AA"/>
            </w:tcBorders>
            <w:shd w:val="clear" w:color="auto" w:fill="EFEEE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3C44A3F4" w14:textId="77777777" w:rsidR="003E022E" w:rsidRDefault="003E022E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42424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424242"/>
                <w:sz w:val="19"/>
                <w:szCs w:val="19"/>
              </w:rPr>
              <w:t>Situação</w:t>
            </w:r>
          </w:p>
        </w:tc>
      </w:tr>
      <w:tr w:rsidR="00000000" w14:paraId="2972E6F0" w14:textId="77777777">
        <w:tc>
          <w:tcPr>
            <w:tcW w:w="0" w:type="auto"/>
            <w:tcBorders>
              <w:top w:val="single" w:sz="6" w:space="0" w:color="D8D5CA"/>
              <w:left w:val="single" w:sz="6" w:space="0" w:color="D8D5CA"/>
              <w:bottom w:val="single" w:sz="6" w:space="0" w:color="D8D5CA"/>
              <w:right w:val="single" w:sz="6" w:space="0" w:color="D8D5CA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6E123174" w14:textId="77777777" w:rsidR="003E022E" w:rsidRDefault="003E022E">
            <w:pPr>
              <w:spacing w:before="200" w:after="200"/>
              <w:rPr>
                <w:rFonts w:ascii="Calibri" w:eastAsia="Times New Roman" w:hAnsi="Calibri" w:cs="Calibri"/>
                <w:color w:val="262626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262626"/>
                <w:sz w:val="19"/>
                <w:szCs w:val="19"/>
              </w:rPr>
              <w:t xml:space="preserve">CCT 2026 — Fecomércio </w:t>
            </w:r>
            <w:r>
              <w:rPr>
                <w:rStyle w:val="Forte"/>
                <w:rFonts w:ascii="Calibri" w:eastAsia="Times New Roman" w:hAnsi="Calibri" w:cs="Calibri"/>
                <w:sz w:val="19"/>
                <w:szCs w:val="19"/>
              </w:rPr>
              <w:t>Atacadista</w:t>
            </w:r>
            <w:r>
              <w:rPr>
                <w:rFonts w:ascii="Calibri" w:eastAsia="Times New Roman" w:hAnsi="Calibri" w:cs="Calibri"/>
                <w:color w:val="262626"/>
                <w:sz w:val="19"/>
                <w:szCs w:val="19"/>
              </w:rPr>
              <w:t xml:space="preserve"> — Passos e Região</w:t>
            </w:r>
          </w:p>
        </w:tc>
        <w:tc>
          <w:tcPr>
            <w:tcW w:w="0" w:type="auto"/>
            <w:tcBorders>
              <w:top w:val="single" w:sz="6" w:space="0" w:color="D8D5CA"/>
              <w:left w:val="single" w:sz="6" w:space="0" w:color="D8D5CA"/>
              <w:bottom w:val="single" w:sz="6" w:space="0" w:color="D8D5CA"/>
              <w:right w:val="single" w:sz="6" w:space="0" w:color="D8D5CA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4B003364" w14:textId="77777777" w:rsidR="003E022E" w:rsidRDefault="003E022E">
            <w:pPr>
              <w:spacing w:before="200" w:after="200"/>
              <w:rPr>
                <w:rFonts w:ascii="Calibri" w:eastAsia="Times New Roman" w:hAnsi="Calibri" w:cs="Calibri"/>
                <w:color w:val="262626"/>
                <w:sz w:val="19"/>
                <w:szCs w:val="19"/>
              </w:rPr>
            </w:pPr>
            <w:r>
              <w:rPr>
                <w:rStyle w:val="Forte"/>
                <w:rFonts w:ascii="Calibri" w:eastAsia="Times New Roman" w:hAnsi="Calibri" w:cs="Calibri"/>
                <w:sz w:val="19"/>
                <w:szCs w:val="19"/>
              </w:rPr>
              <w:t>Cláusula Trigésima Quarta, Parágrafo Segundo</w:t>
            </w:r>
          </w:p>
        </w:tc>
        <w:tc>
          <w:tcPr>
            <w:tcW w:w="0" w:type="auto"/>
            <w:tcBorders>
              <w:top w:val="single" w:sz="6" w:space="0" w:color="D8D5CA"/>
              <w:left w:val="single" w:sz="6" w:space="0" w:color="D8D5CA"/>
              <w:bottom w:val="single" w:sz="6" w:space="0" w:color="D8D5CA"/>
              <w:right w:val="single" w:sz="6" w:space="0" w:color="D8D5CA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61C04DBB" w14:textId="77777777" w:rsidR="003E022E" w:rsidRDefault="003E022E">
            <w:pPr>
              <w:spacing w:before="200" w:after="200"/>
              <w:rPr>
                <w:rFonts w:ascii="Calibri" w:eastAsia="Times New Roman" w:hAnsi="Calibri" w:cs="Calibri"/>
                <w:color w:val="262626"/>
                <w:sz w:val="19"/>
                <w:szCs w:val="19"/>
              </w:rPr>
            </w:pPr>
            <w:r>
              <w:rPr>
                <w:rFonts w:ascii="Segoe UI Emoji" w:eastAsia="Times New Roman" w:hAnsi="Segoe UI Emoji" w:cs="Segoe UI Emoji"/>
                <w:color w:val="262626"/>
                <w:sz w:val="19"/>
                <w:szCs w:val="19"/>
              </w:rPr>
              <w:t>✅</w:t>
            </w:r>
            <w:r>
              <w:rPr>
                <w:rFonts w:ascii="Calibri" w:eastAsia="Times New Roman" w:hAnsi="Calibri" w:cs="Calibri"/>
                <w:color w:val="262626"/>
                <w:sz w:val="19"/>
                <w:szCs w:val="19"/>
              </w:rPr>
              <w:t xml:space="preserve"> conferida no texto</w:t>
            </w:r>
          </w:p>
        </w:tc>
      </w:tr>
      <w:tr w:rsidR="00000000" w14:paraId="1CCDF317" w14:textId="77777777">
        <w:tc>
          <w:tcPr>
            <w:tcW w:w="0" w:type="auto"/>
            <w:tcBorders>
              <w:top w:val="single" w:sz="6" w:space="0" w:color="D8D5CA"/>
              <w:left w:val="single" w:sz="6" w:space="0" w:color="D8D5CA"/>
              <w:bottom w:val="single" w:sz="6" w:space="0" w:color="D8D5CA"/>
              <w:right w:val="single" w:sz="6" w:space="0" w:color="D8D5CA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38123D29" w14:textId="77777777" w:rsidR="003E022E" w:rsidRDefault="003E022E">
            <w:pPr>
              <w:spacing w:before="200" w:after="200"/>
              <w:rPr>
                <w:rFonts w:ascii="Calibri" w:eastAsia="Times New Roman" w:hAnsi="Calibri" w:cs="Calibri"/>
                <w:color w:val="262626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262626"/>
                <w:sz w:val="19"/>
                <w:szCs w:val="19"/>
              </w:rPr>
              <w:t xml:space="preserve">CCT 2026 — Fecomércio </w:t>
            </w:r>
            <w:r>
              <w:rPr>
                <w:rStyle w:val="Forte"/>
                <w:rFonts w:ascii="Calibri" w:eastAsia="Times New Roman" w:hAnsi="Calibri" w:cs="Calibri"/>
                <w:sz w:val="19"/>
                <w:szCs w:val="19"/>
              </w:rPr>
              <w:t>Varejista</w:t>
            </w:r>
            <w:r>
              <w:rPr>
                <w:rFonts w:ascii="Calibri" w:eastAsia="Times New Roman" w:hAnsi="Calibri" w:cs="Calibri"/>
                <w:color w:val="262626"/>
                <w:sz w:val="19"/>
                <w:szCs w:val="19"/>
              </w:rPr>
              <w:t xml:space="preserve"> — Região</w:t>
            </w:r>
          </w:p>
        </w:tc>
        <w:tc>
          <w:tcPr>
            <w:tcW w:w="0" w:type="auto"/>
            <w:tcBorders>
              <w:top w:val="single" w:sz="6" w:space="0" w:color="D8D5CA"/>
              <w:left w:val="single" w:sz="6" w:space="0" w:color="D8D5CA"/>
              <w:bottom w:val="single" w:sz="6" w:space="0" w:color="D8D5CA"/>
              <w:right w:val="single" w:sz="6" w:space="0" w:color="D8D5CA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2EC11BAC" w14:textId="77777777" w:rsidR="003E022E" w:rsidRDefault="003E022E">
            <w:pPr>
              <w:spacing w:before="200" w:after="200"/>
              <w:rPr>
                <w:rFonts w:ascii="Calibri" w:eastAsia="Times New Roman" w:hAnsi="Calibri" w:cs="Calibri"/>
                <w:color w:val="262626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262626"/>
                <w:sz w:val="19"/>
                <w:szCs w:val="19"/>
              </w:rPr>
              <w:t>Cláusula correspondente</w:t>
            </w:r>
          </w:p>
        </w:tc>
        <w:tc>
          <w:tcPr>
            <w:tcW w:w="0" w:type="auto"/>
            <w:tcBorders>
              <w:top w:val="single" w:sz="6" w:space="0" w:color="D8D5CA"/>
              <w:left w:val="single" w:sz="6" w:space="0" w:color="D8D5CA"/>
              <w:bottom w:val="single" w:sz="6" w:space="0" w:color="D8D5CA"/>
              <w:right w:val="single" w:sz="6" w:space="0" w:color="D8D5CA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414F5DCA" w14:textId="77777777" w:rsidR="003E022E" w:rsidRDefault="003E022E">
            <w:pPr>
              <w:spacing w:before="200" w:after="200"/>
              <w:rPr>
                <w:rFonts w:ascii="Calibri" w:eastAsia="Times New Roman" w:hAnsi="Calibri" w:cs="Calibri"/>
                <w:color w:val="262626"/>
                <w:sz w:val="19"/>
                <w:szCs w:val="19"/>
              </w:rPr>
            </w:pPr>
            <w:r>
              <w:rPr>
                <w:rFonts w:ascii="Segoe UI Emoji" w:eastAsia="Times New Roman" w:hAnsi="Segoe UI Emoji" w:cs="Segoe UI Emoji"/>
                <w:color w:val="262626"/>
                <w:sz w:val="19"/>
                <w:szCs w:val="19"/>
              </w:rPr>
              <w:t>✅</w:t>
            </w:r>
            <w:r>
              <w:rPr>
                <w:rFonts w:ascii="Calibri" w:eastAsia="Times New Roman" w:hAnsi="Calibri" w:cs="Calibri"/>
                <w:color w:val="262626"/>
                <w:sz w:val="19"/>
                <w:szCs w:val="19"/>
              </w:rPr>
              <w:t xml:space="preserve"> conferida no texto</w:t>
            </w:r>
          </w:p>
        </w:tc>
      </w:tr>
      <w:tr w:rsidR="00000000" w14:paraId="3997D0BD" w14:textId="77777777">
        <w:tc>
          <w:tcPr>
            <w:tcW w:w="0" w:type="auto"/>
            <w:tcBorders>
              <w:top w:val="single" w:sz="6" w:space="0" w:color="D8D5CA"/>
              <w:left w:val="single" w:sz="6" w:space="0" w:color="D8D5CA"/>
              <w:bottom w:val="single" w:sz="6" w:space="0" w:color="D8D5CA"/>
              <w:right w:val="single" w:sz="6" w:space="0" w:color="D8D5CA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23F371A1" w14:textId="77777777" w:rsidR="003E022E" w:rsidRDefault="003E022E">
            <w:pPr>
              <w:spacing w:before="200" w:after="200"/>
              <w:rPr>
                <w:rFonts w:ascii="Calibri" w:eastAsia="Times New Roman" w:hAnsi="Calibri" w:cs="Calibri"/>
                <w:color w:val="262626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262626"/>
                <w:sz w:val="19"/>
                <w:szCs w:val="19"/>
              </w:rPr>
              <w:t xml:space="preserve">CCT 2026 — </w:t>
            </w:r>
            <w:r>
              <w:rPr>
                <w:rStyle w:val="Forte"/>
                <w:rFonts w:ascii="Calibri" w:eastAsia="Times New Roman" w:hAnsi="Calibri" w:cs="Calibri"/>
                <w:sz w:val="19"/>
                <w:szCs w:val="19"/>
              </w:rPr>
              <w:t>SindSuper</w:t>
            </w:r>
            <w:r>
              <w:rPr>
                <w:rFonts w:ascii="Calibri" w:eastAsia="Times New Roman" w:hAnsi="Calibri" w:cs="Calibri"/>
                <w:color w:val="262626"/>
                <w:sz w:val="19"/>
                <w:szCs w:val="19"/>
              </w:rPr>
              <w:t xml:space="preserve"> Varejista — Região</w:t>
            </w:r>
          </w:p>
        </w:tc>
        <w:tc>
          <w:tcPr>
            <w:tcW w:w="0" w:type="auto"/>
            <w:tcBorders>
              <w:top w:val="single" w:sz="6" w:space="0" w:color="D8D5CA"/>
              <w:left w:val="single" w:sz="6" w:space="0" w:color="D8D5CA"/>
              <w:bottom w:val="single" w:sz="6" w:space="0" w:color="D8D5CA"/>
              <w:right w:val="single" w:sz="6" w:space="0" w:color="D8D5CA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4D5AF0C6" w14:textId="77777777" w:rsidR="003E022E" w:rsidRDefault="003E022E">
            <w:pPr>
              <w:spacing w:before="200" w:after="200"/>
              <w:rPr>
                <w:rFonts w:ascii="Calibri" w:eastAsia="Times New Roman" w:hAnsi="Calibri" w:cs="Calibri"/>
                <w:color w:val="262626"/>
                <w:sz w:val="19"/>
                <w:szCs w:val="19"/>
              </w:rPr>
            </w:pPr>
            <w:r>
              <w:rPr>
                <w:rStyle w:val="Forte"/>
                <w:rFonts w:ascii="Calibri" w:eastAsia="Times New Roman" w:hAnsi="Calibri" w:cs="Calibri"/>
                <w:sz w:val="19"/>
                <w:szCs w:val="19"/>
              </w:rPr>
              <w:t>Cláusula Trigésima Segunda, Parágrafo Segundo</w:t>
            </w:r>
          </w:p>
        </w:tc>
        <w:tc>
          <w:tcPr>
            <w:tcW w:w="0" w:type="auto"/>
            <w:tcBorders>
              <w:top w:val="single" w:sz="6" w:space="0" w:color="D8D5CA"/>
              <w:left w:val="single" w:sz="6" w:space="0" w:color="D8D5CA"/>
              <w:bottom w:val="single" w:sz="6" w:space="0" w:color="D8D5CA"/>
              <w:right w:val="single" w:sz="6" w:space="0" w:color="D8D5CA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34D3BA1E" w14:textId="77777777" w:rsidR="003E022E" w:rsidRDefault="003E022E">
            <w:pPr>
              <w:spacing w:before="200" w:after="200"/>
              <w:rPr>
                <w:rFonts w:ascii="Calibri" w:eastAsia="Times New Roman" w:hAnsi="Calibri" w:cs="Calibri"/>
                <w:color w:val="262626"/>
                <w:sz w:val="19"/>
                <w:szCs w:val="19"/>
              </w:rPr>
            </w:pPr>
            <w:r>
              <w:rPr>
                <w:rFonts w:ascii="Segoe UI Emoji" w:eastAsia="Times New Roman" w:hAnsi="Segoe UI Emoji" w:cs="Segoe UI Emoji"/>
                <w:color w:val="262626"/>
                <w:sz w:val="19"/>
                <w:szCs w:val="19"/>
              </w:rPr>
              <w:t>✅</w:t>
            </w:r>
            <w:r>
              <w:rPr>
                <w:rFonts w:ascii="Calibri" w:eastAsia="Times New Roman" w:hAnsi="Calibri" w:cs="Calibri"/>
                <w:color w:val="262626"/>
                <w:sz w:val="19"/>
                <w:szCs w:val="19"/>
              </w:rPr>
              <w:t xml:space="preserve"> conferida no texto</w:t>
            </w:r>
          </w:p>
        </w:tc>
      </w:tr>
      <w:tr w:rsidR="00000000" w14:paraId="36E910F5" w14:textId="77777777">
        <w:tc>
          <w:tcPr>
            <w:tcW w:w="0" w:type="auto"/>
            <w:tcBorders>
              <w:top w:val="single" w:sz="6" w:space="0" w:color="D8D5CA"/>
              <w:left w:val="single" w:sz="6" w:space="0" w:color="D8D5CA"/>
              <w:bottom w:val="single" w:sz="6" w:space="0" w:color="D8D5CA"/>
              <w:right w:val="single" w:sz="6" w:space="0" w:color="D8D5CA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102FB336" w14:textId="77777777" w:rsidR="003E022E" w:rsidRDefault="003E022E">
            <w:pPr>
              <w:spacing w:before="200" w:after="200"/>
              <w:rPr>
                <w:rFonts w:ascii="Calibri" w:eastAsia="Times New Roman" w:hAnsi="Calibri" w:cs="Calibri"/>
                <w:color w:val="262626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262626"/>
                <w:sz w:val="19"/>
                <w:szCs w:val="19"/>
              </w:rPr>
              <w:t xml:space="preserve">CCT 2026 — </w:t>
            </w:r>
            <w:r>
              <w:rPr>
                <w:rStyle w:val="Forte"/>
                <w:rFonts w:ascii="Calibri" w:eastAsia="Times New Roman" w:hAnsi="Calibri" w:cs="Calibri"/>
                <w:sz w:val="19"/>
                <w:szCs w:val="19"/>
              </w:rPr>
              <w:t>Sincovaga</w:t>
            </w:r>
            <w:r>
              <w:rPr>
                <w:rFonts w:ascii="Calibri" w:eastAsia="Times New Roman" w:hAnsi="Calibri" w:cs="Calibri"/>
                <w:color w:val="262626"/>
                <w:sz w:val="19"/>
                <w:szCs w:val="19"/>
              </w:rPr>
              <w:t xml:space="preserve"> Alimentício — Região</w:t>
            </w:r>
          </w:p>
        </w:tc>
        <w:tc>
          <w:tcPr>
            <w:tcW w:w="0" w:type="auto"/>
            <w:tcBorders>
              <w:top w:val="single" w:sz="6" w:space="0" w:color="D8D5CA"/>
              <w:left w:val="single" w:sz="6" w:space="0" w:color="D8D5CA"/>
              <w:bottom w:val="single" w:sz="6" w:space="0" w:color="D8D5CA"/>
              <w:right w:val="single" w:sz="6" w:space="0" w:color="D8D5CA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10FADC36" w14:textId="77777777" w:rsidR="003E022E" w:rsidRDefault="003E022E">
            <w:pPr>
              <w:spacing w:before="200" w:after="200"/>
              <w:rPr>
                <w:rFonts w:ascii="Calibri" w:eastAsia="Times New Roman" w:hAnsi="Calibri" w:cs="Calibri"/>
                <w:color w:val="262626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262626"/>
                <w:sz w:val="19"/>
                <w:szCs w:val="19"/>
              </w:rPr>
              <w:t>—</w:t>
            </w:r>
          </w:p>
        </w:tc>
        <w:tc>
          <w:tcPr>
            <w:tcW w:w="0" w:type="auto"/>
            <w:tcBorders>
              <w:top w:val="single" w:sz="6" w:space="0" w:color="D8D5CA"/>
              <w:left w:val="single" w:sz="6" w:space="0" w:color="D8D5CA"/>
              <w:bottom w:val="single" w:sz="6" w:space="0" w:color="D8D5CA"/>
              <w:right w:val="single" w:sz="6" w:space="0" w:color="D8D5CA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02DEC2F0" w14:textId="77777777" w:rsidR="003E022E" w:rsidRDefault="003E022E">
            <w:pPr>
              <w:spacing w:before="200" w:after="200"/>
              <w:rPr>
                <w:rFonts w:ascii="Calibri" w:eastAsia="Times New Roman" w:hAnsi="Calibri" w:cs="Calibri"/>
                <w:color w:val="262626"/>
                <w:sz w:val="19"/>
                <w:szCs w:val="19"/>
              </w:rPr>
            </w:pPr>
            <w:r>
              <w:rPr>
                <w:rFonts w:ascii="Segoe UI Emoji" w:eastAsia="Times New Roman" w:hAnsi="Segoe UI Emoji" w:cs="Segoe UI Emoji"/>
                <w:color w:val="262626"/>
                <w:sz w:val="19"/>
                <w:szCs w:val="19"/>
              </w:rPr>
              <w:t>⚠️</w:t>
            </w:r>
            <w:r>
              <w:rPr>
                <w:rFonts w:ascii="Calibri" w:eastAsia="Times New Roman" w:hAnsi="Calibri" w:cs="Calibri"/>
                <w:color w:val="262626"/>
                <w:sz w:val="19"/>
                <w:szCs w:val="19"/>
              </w:rPr>
              <w:t xml:space="preserve"> </w:t>
            </w:r>
            <w:r>
              <w:rPr>
                <w:rStyle w:val="Forte"/>
                <w:rFonts w:ascii="Calibri" w:eastAsia="Times New Roman" w:hAnsi="Calibri" w:cs="Calibri"/>
                <w:sz w:val="19"/>
                <w:szCs w:val="19"/>
              </w:rPr>
              <w:t>[VERIFICAR]</w:t>
            </w:r>
            <w:r>
              <w:rPr>
                <w:rFonts w:ascii="Calibri" w:eastAsia="Times New Roman" w:hAnsi="Calibri" w:cs="Calibri"/>
                <w:color w:val="262626"/>
                <w:sz w:val="19"/>
                <w:szCs w:val="19"/>
              </w:rPr>
              <w:t xml:space="preserve"> ver §12</w:t>
            </w:r>
          </w:p>
        </w:tc>
      </w:tr>
      <w:tr w:rsidR="00000000" w14:paraId="0BDF5DE1" w14:textId="77777777">
        <w:tc>
          <w:tcPr>
            <w:tcW w:w="0" w:type="auto"/>
            <w:tcBorders>
              <w:top w:val="single" w:sz="6" w:space="0" w:color="D8D5CA"/>
              <w:left w:val="single" w:sz="6" w:space="0" w:color="D8D5CA"/>
              <w:bottom w:val="single" w:sz="6" w:space="0" w:color="D8D5CA"/>
              <w:right w:val="single" w:sz="6" w:space="0" w:color="D8D5CA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263C6172" w14:textId="77777777" w:rsidR="003E022E" w:rsidRDefault="003E022E">
            <w:pPr>
              <w:spacing w:before="200" w:after="200"/>
              <w:rPr>
                <w:rFonts w:ascii="Calibri" w:eastAsia="Times New Roman" w:hAnsi="Calibri" w:cs="Calibri"/>
                <w:color w:val="262626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262626"/>
                <w:sz w:val="19"/>
                <w:szCs w:val="19"/>
              </w:rPr>
              <w:t xml:space="preserve">CCT 2026 — </w:t>
            </w:r>
            <w:r>
              <w:rPr>
                <w:rStyle w:val="Forte"/>
                <w:rFonts w:ascii="Calibri" w:eastAsia="Times New Roman" w:hAnsi="Calibri" w:cs="Calibri"/>
                <w:sz w:val="19"/>
                <w:szCs w:val="19"/>
              </w:rPr>
              <w:t>SinPas</w:t>
            </w:r>
            <w:r>
              <w:rPr>
                <w:rFonts w:ascii="Calibri" w:eastAsia="Times New Roman" w:hAnsi="Calibri" w:cs="Calibri"/>
                <w:color w:val="262626"/>
                <w:sz w:val="19"/>
                <w:szCs w:val="19"/>
              </w:rPr>
              <w:t xml:space="preserve"> Varejista — Passos</w:t>
            </w:r>
          </w:p>
        </w:tc>
        <w:tc>
          <w:tcPr>
            <w:tcW w:w="0" w:type="auto"/>
            <w:tcBorders>
              <w:top w:val="single" w:sz="6" w:space="0" w:color="D8D5CA"/>
              <w:left w:val="single" w:sz="6" w:space="0" w:color="D8D5CA"/>
              <w:bottom w:val="single" w:sz="6" w:space="0" w:color="D8D5CA"/>
              <w:right w:val="single" w:sz="6" w:space="0" w:color="D8D5CA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573261B" w14:textId="77777777" w:rsidR="003E022E" w:rsidRDefault="003E022E">
            <w:pPr>
              <w:spacing w:before="200" w:after="200"/>
              <w:rPr>
                <w:rFonts w:ascii="Calibri" w:eastAsia="Times New Roman" w:hAnsi="Calibri" w:cs="Calibri"/>
                <w:color w:val="262626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262626"/>
                <w:sz w:val="19"/>
                <w:szCs w:val="19"/>
              </w:rPr>
              <w:t>—</w:t>
            </w:r>
          </w:p>
        </w:tc>
        <w:tc>
          <w:tcPr>
            <w:tcW w:w="0" w:type="auto"/>
            <w:tcBorders>
              <w:top w:val="single" w:sz="6" w:space="0" w:color="D8D5CA"/>
              <w:left w:val="single" w:sz="6" w:space="0" w:color="D8D5CA"/>
              <w:bottom w:val="single" w:sz="6" w:space="0" w:color="D8D5CA"/>
              <w:right w:val="single" w:sz="6" w:space="0" w:color="D8D5CA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5D89D5E3" w14:textId="77777777" w:rsidR="003E022E" w:rsidRDefault="003E022E">
            <w:pPr>
              <w:spacing w:before="200" w:after="200"/>
              <w:rPr>
                <w:rFonts w:ascii="Calibri" w:eastAsia="Times New Roman" w:hAnsi="Calibri" w:cs="Calibri"/>
                <w:color w:val="262626"/>
                <w:sz w:val="19"/>
                <w:szCs w:val="19"/>
              </w:rPr>
            </w:pPr>
            <w:r>
              <w:rPr>
                <w:rFonts w:ascii="Segoe UI Emoji" w:eastAsia="Times New Roman" w:hAnsi="Segoe UI Emoji" w:cs="Segoe UI Emoji"/>
                <w:color w:val="262626"/>
                <w:sz w:val="19"/>
                <w:szCs w:val="19"/>
              </w:rPr>
              <w:t>⚠️</w:t>
            </w:r>
            <w:r>
              <w:rPr>
                <w:rFonts w:ascii="Calibri" w:eastAsia="Times New Roman" w:hAnsi="Calibri" w:cs="Calibri"/>
                <w:color w:val="262626"/>
                <w:sz w:val="19"/>
                <w:szCs w:val="19"/>
              </w:rPr>
              <w:t xml:space="preserve"> </w:t>
            </w:r>
            <w:r>
              <w:rPr>
                <w:rStyle w:val="Forte"/>
                <w:rFonts w:ascii="Calibri" w:eastAsia="Times New Roman" w:hAnsi="Calibri" w:cs="Calibri"/>
                <w:sz w:val="19"/>
                <w:szCs w:val="19"/>
              </w:rPr>
              <w:t>[VERIFICAR]</w:t>
            </w:r>
            <w:r>
              <w:rPr>
                <w:rFonts w:ascii="Calibri" w:eastAsia="Times New Roman" w:hAnsi="Calibri" w:cs="Calibri"/>
                <w:color w:val="262626"/>
                <w:sz w:val="19"/>
                <w:szCs w:val="19"/>
              </w:rPr>
              <w:t xml:space="preserve"> ver §12</w:t>
            </w:r>
          </w:p>
        </w:tc>
      </w:tr>
    </w:tbl>
    <w:p w14:paraId="1321303F" w14:textId="77777777" w:rsidR="003E022E" w:rsidRDefault="003E022E">
      <w:pPr>
        <w:pStyle w:val="NormalWeb"/>
        <w:rPr>
          <w:rFonts w:ascii="Georgia" w:hAnsi="Georgia"/>
          <w:color w:val="262626"/>
          <w:sz w:val="22"/>
          <w:szCs w:val="22"/>
        </w:rPr>
      </w:pPr>
      <w:r>
        <w:rPr>
          <w:rStyle w:val="Forte"/>
          <w:rFonts w:ascii="Georgia" w:hAnsi="Georgia"/>
          <w:sz w:val="22"/>
          <w:szCs w:val="22"/>
        </w:rPr>
        <w:t>Três características tornam essa cláusula o alicerce do pedido:</w:t>
      </w:r>
    </w:p>
    <w:p w14:paraId="7B449A81" w14:textId="77777777" w:rsidR="003E022E" w:rsidRDefault="003E022E">
      <w:pPr>
        <w:numPr>
          <w:ilvl w:val="0"/>
          <w:numId w:val="3"/>
        </w:numPr>
        <w:spacing w:before="100" w:beforeAutospacing="1" w:after="60"/>
        <w:rPr>
          <w:rFonts w:ascii="Georgia" w:eastAsia="Times New Roman" w:hAnsi="Georgia"/>
          <w:color w:val="262626"/>
          <w:sz w:val="22"/>
          <w:szCs w:val="22"/>
        </w:rPr>
      </w:pPr>
      <w:r>
        <w:rPr>
          <w:rStyle w:val="Forte"/>
          <w:rFonts w:ascii="Georgia" w:eastAsia="Times New Roman" w:hAnsi="Georgia"/>
          <w:sz w:val="22"/>
          <w:szCs w:val="22"/>
        </w:rPr>
        <w:t>É incondicional.</w:t>
      </w:r>
      <w:r>
        <w:rPr>
          <w:rFonts w:ascii="Georgia" w:eastAsia="Times New Roman" w:hAnsi="Georgia"/>
          <w:color w:val="262626"/>
          <w:sz w:val="22"/>
          <w:szCs w:val="22"/>
        </w:rPr>
        <w:t xml:space="preserve"> Não depende de adesão, certificado ou contrapartida. Basta ter havido desconto.</w:t>
      </w:r>
    </w:p>
    <w:p w14:paraId="11E83ADB" w14:textId="77777777" w:rsidR="003E022E" w:rsidRDefault="003E022E">
      <w:pPr>
        <w:numPr>
          <w:ilvl w:val="0"/>
          <w:numId w:val="3"/>
        </w:numPr>
        <w:spacing w:before="100" w:beforeAutospacing="1" w:after="60"/>
        <w:rPr>
          <w:rFonts w:ascii="Georgia" w:eastAsia="Times New Roman" w:hAnsi="Georgia"/>
          <w:color w:val="262626"/>
          <w:sz w:val="22"/>
          <w:szCs w:val="22"/>
        </w:rPr>
      </w:pPr>
      <w:r>
        <w:rPr>
          <w:rStyle w:val="Forte"/>
          <w:rFonts w:ascii="Georgia" w:eastAsia="Times New Roman" w:hAnsi="Georgia"/>
          <w:sz w:val="22"/>
          <w:szCs w:val="22"/>
        </w:rPr>
        <w:t>Seu destinatário é o Sindicato dos trabalhadores</w:t>
      </w:r>
      <w:r>
        <w:rPr>
          <w:rFonts w:ascii="Georgia" w:eastAsia="Times New Roman" w:hAnsi="Georgia"/>
          <w:color w:val="262626"/>
          <w:sz w:val="22"/>
          <w:szCs w:val="22"/>
        </w:rPr>
        <w:t xml:space="preserve"> </w:t>
      </w:r>
      <w:r>
        <w:rPr>
          <w:rFonts w:ascii="Georgia" w:eastAsia="Times New Roman" w:hAnsi="Georgia"/>
          <w:color w:val="262626"/>
          <w:sz w:val="22"/>
          <w:szCs w:val="22"/>
        </w:rPr>
        <w:t>("Entidade Profissional"), não a entidade patronal.</w:t>
      </w:r>
    </w:p>
    <w:p w14:paraId="15269DEE" w14:textId="77777777" w:rsidR="003E022E" w:rsidRDefault="003E022E">
      <w:pPr>
        <w:numPr>
          <w:ilvl w:val="0"/>
          <w:numId w:val="3"/>
        </w:numPr>
        <w:spacing w:before="100" w:beforeAutospacing="1" w:after="60"/>
        <w:rPr>
          <w:rFonts w:ascii="Georgia" w:eastAsia="Times New Roman" w:hAnsi="Georgia"/>
          <w:color w:val="262626"/>
          <w:sz w:val="22"/>
          <w:szCs w:val="22"/>
        </w:rPr>
      </w:pPr>
      <w:r>
        <w:rPr>
          <w:rStyle w:val="Forte"/>
          <w:rFonts w:ascii="Georgia" w:eastAsia="Times New Roman" w:hAnsi="Georgia"/>
          <w:sz w:val="22"/>
          <w:szCs w:val="22"/>
        </w:rPr>
        <w:t>Seu objeto já inclui o que se pede</w:t>
      </w:r>
      <w:r>
        <w:rPr>
          <w:rFonts w:ascii="Georgia" w:eastAsia="Times New Roman" w:hAnsi="Georgia"/>
          <w:color w:val="262626"/>
          <w:sz w:val="22"/>
          <w:szCs w:val="22"/>
        </w:rPr>
        <w:t xml:space="preserve"> — relação nominal de empregados e os salários — e vai além, ao exigir os comprovantes de recolhimento.</w:t>
      </w:r>
    </w:p>
    <w:p w14:paraId="05857A0C" w14:textId="77777777" w:rsidR="003E022E" w:rsidRDefault="003E022E">
      <w:pPr>
        <w:pStyle w:val="NormalWeb"/>
        <w:rPr>
          <w:rFonts w:ascii="Georgia" w:hAnsi="Georgia"/>
          <w:color w:val="262626"/>
          <w:sz w:val="22"/>
          <w:szCs w:val="22"/>
        </w:rPr>
      </w:pPr>
      <w:r>
        <w:rPr>
          <w:rFonts w:ascii="Georgia" w:hAnsi="Georgia"/>
          <w:color w:val="262626"/>
          <w:sz w:val="22"/>
          <w:szCs w:val="22"/>
        </w:rPr>
        <w:t xml:space="preserve">Existe, ainda, obrigação acessória na cláusula </w:t>
      </w:r>
      <w:r>
        <w:rPr>
          <w:rStyle w:val="Forte"/>
          <w:rFonts w:ascii="Georgia" w:hAnsi="Georgia"/>
          <w:sz w:val="22"/>
          <w:szCs w:val="22"/>
        </w:rPr>
        <w:t>"Relação de Funcionários"</w:t>
      </w:r>
      <w:r>
        <w:rPr>
          <w:rFonts w:ascii="Georgia" w:hAnsi="Georgia"/>
          <w:color w:val="262626"/>
          <w:sz w:val="22"/>
          <w:szCs w:val="22"/>
        </w:rPr>
        <w:t xml:space="preserve"> (Cláusula Vigésima Nona nas CCTs do Fecomércio; Vigésima Sétima na do SindSuper), cujo inciso III determina que </w:t>
      </w:r>
      <w:r>
        <w:rPr>
          <w:rStyle w:val="nfase"/>
          <w:rFonts w:ascii="Georgia" w:hAnsi="Georgia"/>
          <w:color w:val="262626"/>
          <w:sz w:val="22"/>
          <w:szCs w:val="22"/>
        </w:rPr>
        <w:t>"as empresas se obrigam, quando solicitadas, a apresentarem à ENTIDADE LABORAL, no prazo de 10 (dez) dias"</w:t>
      </w:r>
      <w:r>
        <w:rPr>
          <w:rFonts w:ascii="Georgia" w:hAnsi="Georgia"/>
          <w:color w:val="262626"/>
          <w:sz w:val="22"/>
          <w:szCs w:val="22"/>
        </w:rPr>
        <w:t xml:space="preserve">, o </w:t>
      </w:r>
      <w:r>
        <w:rPr>
          <w:rStyle w:val="Forte"/>
          <w:rFonts w:ascii="Georgia" w:hAnsi="Georgia"/>
          <w:sz w:val="22"/>
          <w:szCs w:val="22"/>
        </w:rPr>
        <w:t>Relatório do FGTS Digital</w:t>
      </w:r>
      <w:r>
        <w:rPr>
          <w:rFonts w:ascii="Georgia" w:hAnsi="Georgia"/>
          <w:color w:val="262626"/>
          <w:sz w:val="22"/>
          <w:szCs w:val="22"/>
        </w:rPr>
        <w:t xml:space="preserve"> </w:t>
      </w:r>
      <w:r>
        <w:rPr>
          <w:rFonts w:ascii="Georgia" w:hAnsi="Georgia"/>
          <w:color w:val="262626"/>
          <w:sz w:val="22"/>
          <w:szCs w:val="22"/>
        </w:rPr>
        <w:t xml:space="preserve">ou </w:t>
      </w:r>
      <w:r>
        <w:rPr>
          <w:rStyle w:val="Forte"/>
          <w:rFonts w:ascii="Georgia" w:hAnsi="Georgia"/>
          <w:sz w:val="22"/>
          <w:szCs w:val="22"/>
        </w:rPr>
        <w:t>cópias das guias GFIP e/ou RAIS</w:t>
      </w:r>
      <w:r>
        <w:rPr>
          <w:rFonts w:ascii="Georgia" w:hAnsi="Georgia"/>
          <w:color w:val="262626"/>
          <w:sz w:val="22"/>
          <w:szCs w:val="22"/>
        </w:rPr>
        <w:t xml:space="preserve">. Essa obrigação, contudo, </w:t>
      </w:r>
      <w:r>
        <w:rPr>
          <w:rStyle w:val="Forte"/>
          <w:rFonts w:ascii="Georgia" w:hAnsi="Georgia"/>
          <w:sz w:val="22"/>
          <w:szCs w:val="22"/>
        </w:rPr>
        <w:t>está condicionada</w:t>
      </w:r>
      <w:r>
        <w:rPr>
          <w:rFonts w:ascii="Georgia" w:hAnsi="Georgia"/>
          <w:color w:val="262626"/>
          <w:sz w:val="22"/>
          <w:szCs w:val="22"/>
        </w:rPr>
        <w:t xml:space="preserve"> ao interesse da empresa em se beneficiar das cláusulas de trabalho em feriado — razão pela qual </w:t>
      </w:r>
      <w:r>
        <w:rPr>
          <w:rStyle w:val="Forte"/>
          <w:rFonts w:ascii="Georgia" w:hAnsi="Georgia"/>
          <w:sz w:val="22"/>
          <w:szCs w:val="22"/>
        </w:rPr>
        <w:t>não é o fundamento principal desta nota</w:t>
      </w:r>
      <w:r>
        <w:rPr>
          <w:rFonts w:ascii="Georgia" w:hAnsi="Georgia"/>
          <w:color w:val="262626"/>
          <w:sz w:val="22"/>
          <w:szCs w:val="22"/>
        </w:rPr>
        <w:t>, e sim reforço.</w:t>
      </w:r>
    </w:p>
    <w:p w14:paraId="6CA7D5E1" w14:textId="77777777" w:rsidR="003E022E" w:rsidRDefault="003E022E">
      <w:pPr>
        <w:pStyle w:val="Ttulo3"/>
        <w:rPr>
          <w:rFonts w:ascii="Georgia" w:eastAsia="Times New Roman" w:hAnsi="Georgia"/>
        </w:rPr>
      </w:pPr>
      <w:r>
        <w:rPr>
          <w:rFonts w:ascii="Georgia" w:eastAsia="Times New Roman" w:hAnsi="Georgia"/>
        </w:rPr>
        <w:t>5.2 Base legal do compartilhamento pelo controlador</w:t>
      </w:r>
    </w:p>
    <w:p w14:paraId="7DC5096D" w14:textId="77777777" w:rsidR="003E022E" w:rsidRDefault="003E022E">
      <w:pPr>
        <w:pStyle w:val="NormalWeb"/>
        <w:rPr>
          <w:rFonts w:ascii="Georgia" w:hAnsi="Georgia"/>
          <w:color w:val="262626"/>
          <w:sz w:val="22"/>
          <w:szCs w:val="22"/>
        </w:rPr>
      </w:pPr>
      <w:r>
        <w:rPr>
          <w:rFonts w:ascii="Georgia" w:hAnsi="Georgia"/>
          <w:color w:val="262626"/>
          <w:sz w:val="22"/>
          <w:szCs w:val="22"/>
        </w:rPr>
        <w:t xml:space="preserve">Havendo obrigação pactuada em norma coletiva — que tem </w:t>
      </w:r>
      <w:r>
        <w:rPr>
          <w:rStyle w:val="Forte"/>
          <w:rFonts w:ascii="Georgia" w:hAnsi="Georgia"/>
          <w:sz w:val="22"/>
          <w:szCs w:val="22"/>
        </w:rPr>
        <w:t>força de lei</w:t>
      </w:r>
      <w:r>
        <w:rPr>
          <w:rFonts w:ascii="Georgia" w:hAnsi="Georgia"/>
          <w:color w:val="262626"/>
          <w:sz w:val="22"/>
          <w:szCs w:val="22"/>
        </w:rPr>
        <w:t xml:space="preserve"> entre as partes (CF, art. 7º, XXVI; CLT, art. 611-A) </w:t>
      </w:r>
      <w:r>
        <w:rPr>
          <w:rStyle w:val="Forte"/>
          <w:rFonts w:ascii="Georgia" w:hAnsi="Georgia"/>
          <w:sz w:val="22"/>
          <w:szCs w:val="22"/>
        </w:rPr>
        <w:t>[VERIFICAR o enquadramento]</w:t>
      </w:r>
      <w:r>
        <w:rPr>
          <w:rFonts w:ascii="Georgia" w:hAnsi="Georgia"/>
          <w:color w:val="262626"/>
          <w:sz w:val="22"/>
          <w:szCs w:val="22"/>
        </w:rPr>
        <w:t xml:space="preserve"> —, o compartilhamento pela empresa ou por seu contador encontra base em:</w:t>
      </w:r>
    </w:p>
    <w:p w14:paraId="0B07A1FF" w14:textId="77777777" w:rsidR="003E022E" w:rsidRDefault="003E022E">
      <w:pPr>
        <w:numPr>
          <w:ilvl w:val="0"/>
          <w:numId w:val="4"/>
        </w:numPr>
        <w:spacing w:before="100" w:beforeAutospacing="1" w:after="60"/>
        <w:rPr>
          <w:rFonts w:ascii="Georgia" w:eastAsia="Times New Roman" w:hAnsi="Georgia"/>
          <w:color w:val="262626"/>
          <w:sz w:val="22"/>
          <w:szCs w:val="22"/>
        </w:rPr>
      </w:pPr>
      <w:r>
        <w:rPr>
          <w:rStyle w:val="Forte"/>
          <w:rFonts w:ascii="Georgia" w:eastAsia="Times New Roman" w:hAnsi="Georgia"/>
          <w:sz w:val="22"/>
          <w:szCs w:val="22"/>
        </w:rPr>
        <w:t>LGPD, art. 11, II, "a"</w:t>
      </w:r>
      <w:r>
        <w:rPr>
          <w:rFonts w:ascii="Georgia" w:eastAsia="Times New Roman" w:hAnsi="Georgia"/>
          <w:color w:val="262626"/>
          <w:sz w:val="22"/>
          <w:szCs w:val="22"/>
        </w:rPr>
        <w:t xml:space="preserve"> — cumprimento de obrigação legal ou regulatória, para o campo sensível;</w:t>
      </w:r>
    </w:p>
    <w:p w14:paraId="3EDE6FCE" w14:textId="77777777" w:rsidR="003E022E" w:rsidRDefault="003E022E">
      <w:pPr>
        <w:numPr>
          <w:ilvl w:val="0"/>
          <w:numId w:val="4"/>
        </w:numPr>
        <w:spacing w:before="100" w:beforeAutospacing="1" w:after="60"/>
        <w:rPr>
          <w:rFonts w:ascii="Georgia" w:eastAsia="Times New Roman" w:hAnsi="Georgia"/>
          <w:color w:val="262626"/>
          <w:sz w:val="22"/>
          <w:szCs w:val="22"/>
        </w:rPr>
      </w:pPr>
      <w:r>
        <w:rPr>
          <w:rStyle w:val="Forte"/>
          <w:rFonts w:ascii="Georgia" w:eastAsia="Times New Roman" w:hAnsi="Georgia"/>
          <w:sz w:val="22"/>
          <w:szCs w:val="22"/>
        </w:rPr>
        <w:t>LGPD, art. 7º, II</w:t>
      </w:r>
      <w:r>
        <w:rPr>
          <w:rFonts w:ascii="Georgia" w:eastAsia="Times New Roman" w:hAnsi="Georgia"/>
          <w:color w:val="262626"/>
          <w:sz w:val="22"/>
          <w:szCs w:val="22"/>
        </w:rPr>
        <w:t xml:space="preserve"> — cumprimento de obrigação legal ou regulatória, para os cinco campos comuns.</w:t>
      </w:r>
    </w:p>
    <w:p w14:paraId="76740634" w14:textId="77777777" w:rsidR="003E022E" w:rsidRDefault="003E022E">
      <w:pPr>
        <w:pStyle w:val="NormalWeb"/>
        <w:rPr>
          <w:rFonts w:ascii="Georgia" w:hAnsi="Georgia"/>
          <w:color w:val="262626"/>
          <w:sz w:val="22"/>
          <w:szCs w:val="22"/>
        </w:rPr>
      </w:pPr>
      <w:r>
        <w:rPr>
          <w:rFonts w:ascii="Georgia" w:hAnsi="Georgia"/>
          <w:color w:val="262626"/>
          <w:sz w:val="22"/>
          <w:szCs w:val="22"/>
        </w:rPr>
        <w:t xml:space="preserve">O contador que atende à solicitação </w:t>
      </w:r>
      <w:r>
        <w:rPr>
          <w:rStyle w:val="Forte"/>
          <w:rFonts w:ascii="Georgia" w:hAnsi="Georgia"/>
          <w:sz w:val="22"/>
          <w:szCs w:val="22"/>
        </w:rPr>
        <w:t>não pratica compartilhamento irregular: cumpre obrigação convencional do seu cliente</w:t>
      </w:r>
      <w:r>
        <w:rPr>
          <w:rFonts w:ascii="Georgia" w:hAnsi="Georgia"/>
          <w:color w:val="262626"/>
          <w:sz w:val="22"/>
          <w:szCs w:val="22"/>
        </w:rPr>
        <w:t>, com base legal própria e expressa.</w:t>
      </w:r>
    </w:p>
    <w:p w14:paraId="5C1EE6F5" w14:textId="77777777" w:rsidR="003E022E" w:rsidRDefault="003E022E">
      <w:pPr>
        <w:spacing w:before="320" w:after="320"/>
        <w:rPr>
          <w:rFonts w:ascii="Georgia" w:eastAsia="Times New Roman" w:hAnsi="Georgia"/>
          <w:color w:val="262626"/>
          <w:sz w:val="22"/>
          <w:szCs w:val="22"/>
        </w:rPr>
      </w:pPr>
      <w:r>
        <w:rPr>
          <w:rFonts w:ascii="Georgia" w:eastAsia="Times New Roman" w:hAnsi="Georgia"/>
          <w:color w:val="262626"/>
          <w:sz w:val="22"/>
          <w:szCs w:val="22"/>
        </w:rPr>
        <w:pict w14:anchorId="0068D914">
          <v:rect id="_x0000_i1029" style="width:0;height:1.5pt" o:hralign="center" o:hrstd="t" o:hr="t" fillcolor="#a0a0a0" stroked="f"/>
        </w:pict>
      </w:r>
    </w:p>
    <w:p w14:paraId="288F3EC4" w14:textId="77777777" w:rsidR="003E022E" w:rsidRDefault="003E022E">
      <w:pPr>
        <w:pStyle w:val="Ttulo2"/>
        <w:rPr>
          <w:rFonts w:ascii="Georgia" w:eastAsia="Times New Roman" w:hAnsi="Georgia"/>
        </w:rPr>
      </w:pPr>
      <w:r>
        <w:rPr>
          <w:rFonts w:ascii="Georgia" w:eastAsia="Times New Roman" w:hAnsi="Georgia"/>
        </w:rPr>
        <w:t>6. O campo sensível: por que a oposição precisa ser conhecida</w:t>
      </w:r>
    </w:p>
    <w:p w14:paraId="1A679F0D" w14:textId="77777777" w:rsidR="003E022E" w:rsidRDefault="003E022E">
      <w:pPr>
        <w:pStyle w:val="NormalWeb"/>
        <w:rPr>
          <w:rFonts w:ascii="Georgia" w:hAnsi="Georgia"/>
          <w:color w:val="262626"/>
          <w:sz w:val="22"/>
          <w:szCs w:val="22"/>
        </w:rPr>
      </w:pPr>
      <w:r>
        <w:rPr>
          <w:rFonts w:ascii="Georgia" w:hAnsi="Georgia"/>
          <w:color w:val="262626"/>
          <w:sz w:val="22"/>
          <w:szCs w:val="22"/>
        </w:rPr>
        <w:t>Esta é a seção que a nota existe para sustentar.</w:t>
      </w:r>
    </w:p>
    <w:p w14:paraId="144D71E5" w14:textId="77777777" w:rsidR="003E022E" w:rsidRDefault="003E022E">
      <w:pPr>
        <w:pStyle w:val="Ttulo3"/>
        <w:rPr>
          <w:rFonts w:ascii="Georgia" w:eastAsia="Times New Roman" w:hAnsi="Georgia"/>
        </w:rPr>
      </w:pPr>
      <w:r>
        <w:rPr>
          <w:rFonts w:ascii="Georgia" w:eastAsia="Times New Roman" w:hAnsi="Georgia"/>
        </w:rPr>
        <w:t>6.1 O regime jurídico da contribuição</w:t>
      </w:r>
    </w:p>
    <w:p w14:paraId="7A170C32" w14:textId="77777777" w:rsidR="003E022E" w:rsidRDefault="003E022E">
      <w:pPr>
        <w:pStyle w:val="NormalWeb"/>
        <w:rPr>
          <w:rFonts w:ascii="Georgia" w:hAnsi="Georgia"/>
          <w:color w:val="262626"/>
          <w:sz w:val="22"/>
          <w:szCs w:val="22"/>
        </w:rPr>
      </w:pPr>
      <w:r>
        <w:rPr>
          <w:rFonts w:ascii="Georgia" w:hAnsi="Georgia"/>
          <w:color w:val="262626"/>
          <w:sz w:val="22"/>
          <w:szCs w:val="22"/>
        </w:rPr>
        <w:t>O Supremo Tribunal Federal firmou, em repercussão geral (</w:t>
      </w:r>
      <w:r>
        <w:rPr>
          <w:rStyle w:val="Forte"/>
          <w:rFonts w:ascii="Georgia" w:hAnsi="Georgia"/>
          <w:sz w:val="22"/>
          <w:szCs w:val="22"/>
        </w:rPr>
        <w:t>Tema 935 / ARE 1018459</w:t>
      </w:r>
      <w:r>
        <w:rPr>
          <w:rFonts w:ascii="Georgia" w:hAnsi="Georgia"/>
          <w:color w:val="262626"/>
          <w:sz w:val="22"/>
          <w:szCs w:val="22"/>
        </w:rPr>
        <w:t xml:space="preserve">), a tese de que </w:t>
      </w:r>
      <w:r>
        <w:rPr>
          <w:rStyle w:val="nfase"/>
          <w:rFonts w:ascii="Georgia" w:hAnsi="Georgia"/>
          <w:color w:val="262626"/>
          <w:sz w:val="22"/>
          <w:szCs w:val="22"/>
        </w:rPr>
        <w:t xml:space="preserve">"é constitucional a instituição, por acordo ou convenção coletivos, de contribuições assistenciais a serem impostas a todos os empregados da categoria, ainda que não sindicalizados, </w:t>
      </w:r>
      <w:r>
        <w:rPr>
          <w:rStyle w:val="Forte"/>
          <w:rFonts w:ascii="Georgia" w:hAnsi="Georgia"/>
          <w:i/>
          <w:iCs/>
          <w:sz w:val="22"/>
          <w:szCs w:val="22"/>
        </w:rPr>
        <w:t>desde que assegurado o direito de oposição</w:t>
      </w:r>
      <w:r>
        <w:rPr>
          <w:rStyle w:val="nfase"/>
          <w:rFonts w:ascii="Georgia" w:hAnsi="Georgia"/>
          <w:color w:val="262626"/>
          <w:sz w:val="22"/>
          <w:szCs w:val="22"/>
        </w:rPr>
        <w:t>."</w:t>
      </w:r>
      <w:r>
        <w:rPr>
          <w:rFonts w:ascii="Georgia" w:hAnsi="Georgia"/>
          <w:color w:val="262626"/>
          <w:sz w:val="22"/>
          <w:szCs w:val="22"/>
        </w:rPr>
        <w:t xml:space="preserve"> </w:t>
      </w:r>
      <w:r>
        <w:rPr>
          <w:rStyle w:val="Forte"/>
          <w:rFonts w:ascii="Georgia" w:hAnsi="Georgia"/>
          <w:sz w:val="22"/>
          <w:szCs w:val="22"/>
        </w:rPr>
        <w:t>[VERIFICAR a redação exata e a data de fixação da tese]</w:t>
      </w:r>
    </w:p>
    <w:p w14:paraId="613BC83B" w14:textId="77777777" w:rsidR="003E022E" w:rsidRDefault="003E022E">
      <w:pPr>
        <w:pStyle w:val="NormalWeb"/>
        <w:rPr>
          <w:rFonts w:ascii="Georgia" w:hAnsi="Georgia"/>
          <w:color w:val="262626"/>
          <w:sz w:val="22"/>
          <w:szCs w:val="22"/>
        </w:rPr>
      </w:pPr>
      <w:r>
        <w:rPr>
          <w:rFonts w:ascii="Georgia" w:hAnsi="Georgia"/>
          <w:color w:val="262626"/>
          <w:sz w:val="22"/>
          <w:szCs w:val="22"/>
        </w:rPr>
        <w:t xml:space="preserve">A validade da cobrança está, portanto, </w:t>
      </w:r>
      <w:r>
        <w:rPr>
          <w:rStyle w:val="Forte"/>
          <w:rFonts w:ascii="Georgia" w:hAnsi="Georgia"/>
          <w:sz w:val="22"/>
          <w:szCs w:val="22"/>
        </w:rPr>
        <w:t>condicionada</w:t>
      </w:r>
      <w:r>
        <w:rPr>
          <w:rFonts w:ascii="Georgia" w:hAnsi="Georgia"/>
          <w:color w:val="262626"/>
          <w:sz w:val="22"/>
          <w:szCs w:val="22"/>
        </w:rPr>
        <w:t xml:space="preserve"> </w:t>
      </w:r>
      <w:r>
        <w:rPr>
          <w:rFonts w:ascii="Georgia" w:hAnsi="Georgia"/>
          <w:color w:val="262626"/>
          <w:sz w:val="22"/>
          <w:szCs w:val="22"/>
        </w:rPr>
        <w:t>à efetividade do direito de oposição. Não se trata de faculdade do Sindicato: é requisito de constitucionalidade.</w:t>
      </w:r>
    </w:p>
    <w:p w14:paraId="4D7D7931" w14:textId="77777777" w:rsidR="003E022E" w:rsidRDefault="003E022E">
      <w:pPr>
        <w:pStyle w:val="Ttulo3"/>
        <w:rPr>
          <w:rFonts w:ascii="Georgia" w:eastAsia="Times New Roman" w:hAnsi="Georgia"/>
        </w:rPr>
      </w:pPr>
      <w:r>
        <w:rPr>
          <w:rFonts w:ascii="Georgia" w:eastAsia="Times New Roman" w:hAnsi="Georgia"/>
        </w:rPr>
        <w:t xml:space="preserve">6.2 A norma coletiva permite opor-se </w:t>
      </w:r>
      <w:r>
        <w:rPr>
          <w:rStyle w:val="Forte"/>
          <w:rFonts w:ascii="Georgia" w:eastAsia="Times New Roman" w:hAnsi="Georgia"/>
          <w:b/>
          <w:bCs/>
        </w:rPr>
        <w:t>perante a empresa</w:t>
      </w:r>
    </w:p>
    <w:p w14:paraId="619F2D02" w14:textId="77777777" w:rsidR="003E022E" w:rsidRDefault="003E022E">
      <w:pPr>
        <w:pStyle w:val="NormalWeb"/>
        <w:rPr>
          <w:rFonts w:ascii="Georgia" w:hAnsi="Georgia"/>
          <w:color w:val="262626"/>
          <w:sz w:val="22"/>
          <w:szCs w:val="22"/>
        </w:rPr>
      </w:pPr>
      <w:r>
        <w:rPr>
          <w:rFonts w:ascii="Georgia" w:hAnsi="Georgia"/>
          <w:color w:val="262626"/>
          <w:sz w:val="22"/>
          <w:szCs w:val="22"/>
        </w:rPr>
        <w:t>E aqui está o ponto que decide a questão. A CCT do Fecomércio Atacadista, na cláusula da contribuição dos empregados, dispõe:</w:t>
      </w:r>
    </w:p>
    <w:p w14:paraId="328E8842" w14:textId="77777777" w:rsidR="003E022E" w:rsidRDefault="003E022E">
      <w:pPr>
        <w:shd w:val="clear" w:color="auto" w:fill="F7F6F1"/>
        <w:spacing w:after="100"/>
        <w:jc w:val="both"/>
        <w:divId w:val="42294590"/>
        <w:rPr>
          <w:rFonts w:ascii="Georgia" w:hAnsi="Georgia"/>
          <w:i/>
          <w:iCs/>
          <w:color w:val="3A3A3A"/>
          <w:sz w:val="22"/>
          <w:szCs w:val="22"/>
        </w:rPr>
      </w:pPr>
      <w:r>
        <w:rPr>
          <w:rStyle w:val="nfase"/>
          <w:rFonts w:ascii="Georgia" w:hAnsi="Georgia"/>
          <w:color w:val="3A3A3A"/>
          <w:sz w:val="22"/>
          <w:szCs w:val="22"/>
        </w:rPr>
        <w:t xml:space="preserve">"Fica assegurado o direito de oposição dos trabalhadores não sindicalizados quanto à contribuição prevista nesta cláusula, que poderá ser manifestado sem limitação temporal [...] sendo expressamente admitida a </w:t>
      </w:r>
      <w:r>
        <w:rPr>
          <w:rStyle w:val="Forte"/>
          <w:rFonts w:ascii="Georgia" w:hAnsi="Georgia"/>
          <w:i/>
          <w:iCs/>
          <w:sz w:val="22"/>
          <w:szCs w:val="22"/>
        </w:rPr>
        <w:t>oposição manifestada por escrito pelo trabalhador junto à empresa empregadora incumbida do recolhimento</w:t>
      </w:r>
      <w:r>
        <w:rPr>
          <w:rStyle w:val="nfase"/>
          <w:rFonts w:ascii="Georgia" w:hAnsi="Georgia"/>
          <w:color w:val="3A3A3A"/>
          <w:sz w:val="22"/>
          <w:szCs w:val="22"/>
        </w:rPr>
        <w:t xml:space="preserve"> ou, diretamente, ao Sindicato Profissional [...] </w:t>
      </w:r>
      <w:r>
        <w:rPr>
          <w:rStyle w:val="Forte"/>
          <w:rFonts w:ascii="Georgia" w:hAnsi="Georgia"/>
          <w:i/>
          <w:iCs/>
          <w:sz w:val="22"/>
          <w:szCs w:val="22"/>
        </w:rPr>
        <w:t>devendo o Sindicato Profissional devolver a quantia ao trabalhador</w:t>
      </w:r>
      <w:r>
        <w:rPr>
          <w:rStyle w:val="nfase"/>
          <w:rFonts w:ascii="Georgia" w:hAnsi="Georgia"/>
          <w:color w:val="3A3A3A"/>
          <w:sz w:val="22"/>
          <w:szCs w:val="22"/>
        </w:rPr>
        <w:t xml:space="preserve"> correlativo, acaso tenha sido a mesma equivocadamente descontada."</w:t>
      </w:r>
    </w:p>
    <w:p w14:paraId="210E2059" w14:textId="77777777" w:rsidR="003E022E" w:rsidRDefault="003E022E">
      <w:pPr>
        <w:pStyle w:val="NormalWeb"/>
        <w:rPr>
          <w:rFonts w:ascii="Georgia" w:hAnsi="Georgia"/>
          <w:color w:val="262626"/>
          <w:sz w:val="22"/>
          <w:szCs w:val="22"/>
        </w:rPr>
      </w:pPr>
      <w:r>
        <w:rPr>
          <w:rFonts w:ascii="Georgia" w:hAnsi="Georgia"/>
          <w:color w:val="262626"/>
          <w:sz w:val="22"/>
          <w:szCs w:val="22"/>
        </w:rPr>
        <w:t>Disso decorre uma consequência lógica inescapável:</w:t>
      </w:r>
    </w:p>
    <w:p w14:paraId="35FBBE0A" w14:textId="77777777" w:rsidR="003E022E" w:rsidRDefault="003E022E">
      <w:pPr>
        <w:shd w:val="clear" w:color="auto" w:fill="F7F6F1"/>
        <w:spacing w:after="100"/>
        <w:jc w:val="both"/>
        <w:divId w:val="1139614366"/>
        <w:rPr>
          <w:rFonts w:ascii="Georgia" w:hAnsi="Georgia"/>
          <w:i/>
          <w:iCs/>
          <w:color w:val="3A3A3A"/>
          <w:sz w:val="22"/>
          <w:szCs w:val="22"/>
        </w:rPr>
      </w:pPr>
      <w:r>
        <w:rPr>
          <w:rStyle w:val="Forte"/>
          <w:rFonts w:ascii="Georgia" w:hAnsi="Georgia"/>
          <w:i/>
          <w:iCs/>
          <w:sz w:val="22"/>
          <w:szCs w:val="22"/>
        </w:rPr>
        <w:t>A norma coletiva autoriza o trabalhador a manifestar oposição nas mãos da empresa. Quando ele o faz, somente a empresa sabe. Se a empresa não informa o Sindicato, o Sindicato cobra de quem se opôs — e passa a dever devolução, por força da mesma cláusula.</w:t>
      </w:r>
    </w:p>
    <w:p w14:paraId="15B658F5" w14:textId="77777777" w:rsidR="003E022E" w:rsidRDefault="003E022E">
      <w:pPr>
        <w:pStyle w:val="NormalWeb"/>
        <w:rPr>
          <w:rFonts w:ascii="Georgia" w:hAnsi="Georgia"/>
          <w:color w:val="262626"/>
          <w:sz w:val="22"/>
          <w:szCs w:val="22"/>
        </w:rPr>
      </w:pPr>
      <w:r>
        <w:rPr>
          <w:rFonts w:ascii="Georgia" w:hAnsi="Georgia"/>
          <w:color w:val="262626"/>
          <w:sz w:val="22"/>
          <w:szCs w:val="22"/>
        </w:rPr>
        <w:t xml:space="preserve">A solicitação de dados </w:t>
      </w:r>
      <w:r>
        <w:rPr>
          <w:rStyle w:val="Forte"/>
          <w:rFonts w:ascii="Georgia" w:hAnsi="Georgia"/>
          <w:sz w:val="22"/>
          <w:szCs w:val="22"/>
        </w:rPr>
        <w:t>não cria</w:t>
      </w:r>
      <w:r>
        <w:rPr>
          <w:rFonts w:ascii="Georgia" w:hAnsi="Georgia"/>
          <w:color w:val="262626"/>
          <w:sz w:val="22"/>
          <w:szCs w:val="22"/>
        </w:rPr>
        <w:t xml:space="preserve"> esse dever de informar: ela </w:t>
      </w:r>
      <w:r>
        <w:rPr>
          <w:rStyle w:val="Forte"/>
          <w:rFonts w:ascii="Georgia" w:hAnsi="Georgia"/>
          <w:sz w:val="22"/>
          <w:szCs w:val="22"/>
        </w:rPr>
        <w:t>resolve a assimetria de informação que a própria convenção instituiu</w:t>
      </w:r>
      <w:r>
        <w:rPr>
          <w:rFonts w:ascii="Georgia" w:hAnsi="Georgia"/>
          <w:color w:val="262626"/>
          <w:sz w:val="22"/>
          <w:szCs w:val="22"/>
        </w:rPr>
        <w:t>. Recusar-se a informar quem se opôs produz exatamente o dano que a cláusula de oposição pretende evitar.</w:t>
      </w:r>
    </w:p>
    <w:p w14:paraId="0F7F61E2" w14:textId="77777777" w:rsidR="003E022E" w:rsidRDefault="003E022E">
      <w:pPr>
        <w:pStyle w:val="NormalWeb"/>
        <w:rPr>
          <w:rFonts w:ascii="Georgia" w:hAnsi="Georgia"/>
          <w:color w:val="262626"/>
          <w:sz w:val="22"/>
          <w:szCs w:val="22"/>
        </w:rPr>
      </w:pPr>
      <w:r>
        <w:rPr>
          <w:rStyle w:val="Forte"/>
          <w:rFonts w:ascii="Georgia" w:hAnsi="Georgia"/>
          <w:sz w:val="22"/>
          <w:szCs w:val="22"/>
        </w:rPr>
        <w:t>Nota sobre divergência entre convenções — [VERIFICAR]:</w:t>
      </w:r>
      <w:r>
        <w:rPr>
          <w:rFonts w:ascii="Georgia" w:hAnsi="Georgia"/>
          <w:color w:val="262626"/>
          <w:sz w:val="22"/>
          <w:szCs w:val="22"/>
        </w:rPr>
        <w:t xml:space="preserve"> a CCT do Fecomércio Atacadista admite oposição </w:t>
      </w:r>
      <w:r>
        <w:rPr>
          <w:rStyle w:val="Forte"/>
          <w:rFonts w:ascii="Georgia" w:hAnsi="Georgia"/>
          <w:sz w:val="22"/>
          <w:szCs w:val="22"/>
        </w:rPr>
        <w:t>sem limitação temporal</w:t>
      </w:r>
      <w:r>
        <w:rPr>
          <w:rFonts w:ascii="Georgia" w:hAnsi="Georgia"/>
          <w:color w:val="262626"/>
          <w:sz w:val="22"/>
          <w:szCs w:val="22"/>
        </w:rPr>
        <w:t xml:space="preserve"> no curso da vigência; a do SindSuper a restringe a </w:t>
      </w:r>
      <w:r>
        <w:rPr>
          <w:rStyle w:val="Forte"/>
          <w:rFonts w:ascii="Georgia" w:hAnsi="Georgia"/>
          <w:sz w:val="22"/>
          <w:szCs w:val="22"/>
        </w:rPr>
        <w:t>30 dias contados da assinatura</w:t>
      </w:r>
      <w:r>
        <w:rPr>
          <w:rFonts w:ascii="Georgia" w:hAnsi="Georgia"/>
          <w:color w:val="262626"/>
          <w:sz w:val="22"/>
          <w:szCs w:val="22"/>
        </w:rPr>
        <w:t xml:space="preserve"> do instrumento, com entrega direta e pessoal à Entidade Profissional. São regimes distintos, e a nota deve evitar afirmação genérica sobre prazo.</w:t>
      </w:r>
    </w:p>
    <w:p w14:paraId="24DADB64" w14:textId="77777777" w:rsidR="003E022E" w:rsidRDefault="003E022E">
      <w:pPr>
        <w:pStyle w:val="Ttulo3"/>
        <w:rPr>
          <w:rFonts w:ascii="Georgia" w:eastAsia="Times New Roman" w:hAnsi="Georgia"/>
        </w:rPr>
      </w:pPr>
      <w:r>
        <w:rPr>
          <w:rFonts w:ascii="Georgia" w:eastAsia="Times New Roman" w:hAnsi="Georgia"/>
        </w:rPr>
        <w:t>6.3 Síntese do argumento</w:t>
      </w:r>
    </w:p>
    <w:p w14:paraId="7B1F5F52" w14:textId="77777777" w:rsidR="003E022E" w:rsidRDefault="003E022E">
      <w:pPr>
        <w:numPr>
          <w:ilvl w:val="0"/>
          <w:numId w:val="5"/>
        </w:numPr>
        <w:spacing w:before="100" w:beforeAutospacing="1" w:after="60"/>
        <w:rPr>
          <w:rFonts w:ascii="Georgia" w:eastAsia="Times New Roman" w:hAnsi="Georgia"/>
          <w:color w:val="262626"/>
          <w:sz w:val="22"/>
          <w:szCs w:val="22"/>
        </w:rPr>
      </w:pPr>
      <w:r>
        <w:rPr>
          <w:rFonts w:ascii="Georgia" w:eastAsia="Times New Roman" w:hAnsi="Georgia"/>
          <w:color w:val="262626"/>
          <w:sz w:val="22"/>
          <w:szCs w:val="22"/>
        </w:rPr>
        <w:t>A CLT, art. 513, "e" faculta ao Sindicato impor contribuições a toda a categoria.</w:t>
      </w:r>
    </w:p>
    <w:p w14:paraId="7D98BE60" w14:textId="77777777" w:rsidR="003E022E" w:rsidRDefault="003E022E">
      <w:pPr>
        <w:numPr>
          <w:ilvl w:val="0"/>
          <w:numId w:val="5"/>
        </w:numPr>
        <w:spacing w:before="100" w:beforeAutospacing="1" w:after="60"/>
        <w:rPr>
          <w:rFonts w:ascii="Georgia" w:eastAsia="Times New Roman" w:hAnsi="Georgia"/>
          <w:color w:val="262626"/>
          <w:sz w:val="22"/>
          <w:szCs w:val="22"/>
        </w:rPr>
      </w:pPr>
      <w:r>
        <w:rPr>
          <w:rFonts w:ascii="Georgia" w:eastAsia="Times New Roman" w:hAnsi="Georgia"/>
          <w:color w:val="262626"/>
          <w:sz w:val="22"/>
          <w:szCs w:val="22"/>
        </w:rPr>
        <w:t>O STF só admite a cobrança se assegurado o direito de oposição.</w:t>
      </w:r>
    </w:p>
    <w:p w14:paraId="67CC7729" w14:textId="77777777" w:rsidR="003E022E" w:rsidRDefault="003E022E">
      <w:pPr>
        <w:numPr>
          <w:ilvl w:val="0"/>
          <w:numId w:val="5"/>
        </w:numPr>
        <w:spacing w:before="100" w:beforeAutospacing="1" w:after="60"/>
        <w:rPr>
          <w:rFonts w:ascii="Georgia" w:eastAsia="Times New Roman" w:hAnsi="Georgia"/>
          <w:color w:val="262626"/>
          <w:sz w:val="22"/>
          <w:szCs w:val="22"/>
        </w:rPr>
      </w:pPr>
      <w:r>
        <w:rPr>
          <w:rFonts w:ascii="Georgia" w:eastAsia="Times New Roman" w:hAnsi="Georgia"/>
          <w:color w:val="262626"/>
          <w:sz w:val="22"/>
          <w:szCs w:val="22"/>
        </w:rPr>
        <w:t>A norma coletiva permite que a oposição seja manifestada perante a empresa.</w:t>
      </w:r>
    </w:p>
    <w:p w14:paraId="2A045DB3" w14:textId="77777777" w:rsidR="003E022E" w:rsidRDefault="003E022E">
      <w:pPr>
        <w:numPr>
          <w:ilvl w:val="0"/>
          <w:numId w:val="5"/>
        </w:numPr>
        <w:spacing w:before="100" w:beforeAutospacing="1" w:after="60"/>
        <w:rPr>
          <w:rFonts w:ascii="Georgia" w:eastAsia="Times New Roman" w:hAnsi="Georgia"/>
          <w:color w:val="262626"/>
          <w:sz w:val="22"/>
          <w:szCs w:val="22"/>
        </w:rPr>
      </w:pPr>
      <w:r>
        <w:rPr>
          <w:rFonts w:ascii="Georgia" w:eastAsia="Times New Roman" w:hAnsi="Georgia"/>
          <w:color w:val="262626"/>
          <w:sz w:val="22"/>
          <w:szCs w:val="22"/>
        </w:rPr>
        <w:t xml:space="preserve">Logo, </w:t>
      </w:r>
      <w:r>
        <w:rPr>
          <w:rStyle w:val="Forte"/>
          <w:rFonts w:ascii="Georgia" w:eastAsia="Times New Roman" w:hAnsi="Georgia"/>
          <w:sz w:val="22"/>
          <w:szCs w:val="22"/>
        </w:rPr>
        <w:t>conhecer quem se opôs é condição de legalidade da cobrança</w:t>
      </w:r>
      <w:r>
        <w:rPr>
          <w:rFonts w:ascii="Georgia" w:eastAsia="Times New Roman" w:hAnsi="Georgia"/>
          <w:color w:val="262626"/>
          <w:sz w:val="22"/>
          <w:szCs w:val="22"/>
        </w:rPr>
        <w:t xml:space="preserve"> — e o dado sensível é tratado para produzir uma </w:t>
      </w:r>
      <w:r>
        <w:rPr>
          <w:rStyle w:val="Forte"/>
          <w:rFonts w:ascii="Georgia" w:eastAsia="Times New Roman" w:hAnsi="Georgia"/>
          <w:sz w:val="22"/>
          <w:szCs w:val="22"/>
        </w:rPr>
        <w:t>abstenção</w:t>
      </w:r>
      <w:r>
        <w:rPr>
          <w:rFonts w:ascii="Georgia" w:eastAsia="Times New Roman" w:hAnsi="Georgia"/>
          <w:color w:val="262626"/>
          <w:sz w:val="22"/>
          <w:szCs w:val="22"/>
        </w:rPr>
        <w:t xml:space="preserve"> do Sindicato, jamais uma ação contra o trabalhador.</w:t>
      </w:r>
    </w:p>
    <w:p w14:paraId="048B74E5" w14:textId="77777777" w:rsidR="003E022E" w:rsidRDefault="003E022E">
      <w:pPr>
        <w:spacing w:before="320" w:after="320"/>
        <w:rPr>
          <w:rFonts w:ascii="Georgia" w:eastAsia="Times New Roman" w:hAnsi="Georgia"/>
          <w:color w:val="262626"/>
          <w:sz w:val="22"/>
          <w:szCs w:val="22"/>
        </w:rPr>
      </w:pPr>
      <w:r>
        <w:rPr>
          <w:rFonts w:ascii="Georgia" w:eastAsia="Times New Roman" w:hAnsi="Georgia"/>
          <w:color w:val="262626"/>
          <w:sz w:val="22"/>
          <w:szCs w:val="22"/>
        </w:rPr>
        <w:pict w14:anchorId="515C8E1C">
          <v:rect id="_x0000_i1030" style="width:0;height:1.5pt" o:hralign="center" o:hrstd="t" o:hr="t" fillcolor="#a0a0a0" stroked="f"/>
        </w:pict>
      </w:r>
    </w:p>
    <w:p w14:paraId="75103900" w14:textId="77777777" w:rsidR="003E022E" w:rsidRDefault="003E022E">
      <w:pPr>
        <w:pStyle w:val="Ttulo2"/>
        <w:rPr>
          <w:rFonts w:ascii="Georgia" w:eastAsia="Times New Roman" w:hAnsi="Georgia"/>
        </w:rPr>
      </w:pPr>
      <w:r>
        <w:rPr>
          <w:rFonts w:ascii="Georgia" w:eastAsia="Times New Roman" w:hAnsi="Georgia"/>
        </w:rPr>
        <w:t>7. A recusa injustificada</w:t>
      </w:r>
    </w:p>
    <w:p w14:paraId="0A679D9A" w14:textId="77777777" w:rsidR="003E022E" w:rsidRDefault="003E022E">
      <w:pPr>
        <w:pStyle w:val="NormalWeb"/>
        <w:rPr>
          <w:rFonts w:ascii="Georgia" w:hAnsi="Georgia"/>
          <w:color w:val="262626"/>
          <w:sz w:val="22"/>
          <w:szCs w:val="22"/>
        </w:rPr>
      </w:pPr>
      <w:r>
        <w:rPr>
          <w:rStyle w:val="Forte"/>
          <w:rFonts w:ascii="Georgia" w:hAnsi="Georgia"/>
          <w:sz w:val="22"/>
          <w:szCs w:val="22"/>
        </w:rPr>
        <w:t>[VERIFICAR — esta seção contém a recomendação em que tenho menos segurança; ver a ressalva ao final.]</w:t>
      </w:r>
    </w:p>
    <w:p w14:paraId="4415E64D" w14:textId="77777777" w:rsidR="003E022E" w:rsidRDefault="003E022E">
      <w:pPr>
        <w:pStyle w:val="Ttulo3"/>
        <w:rPr>
          <w:rFonts w:ascii="Georgia" w:eastAsia="Times New Roman" w:hAnsi="Georgia"/>
        </w:rPr>
      </w:pPr>
      <w:r>
        <w:rPr>
          <w:rFonts w:ascii="Georgia" w:eastAsia="Times New Roman" w:hAnsi="Georgia"/>
        </w:rPr>
        <w:t>7.1 Primeiro plano: descumprimento de norma coletiva</w:t>
      </w:r>
    </w:p>
    <w:p w14:paraId="1730EB25" w14:textId="77777777" w:rsidR="003E022E" w:rsidRDefault="003E022E">
      <w:pPr>
        <w:pStyle w:val="NormalWeb"/>
        <w:rPr>
          <w:rFonts w:ascii="Georgia" w:hAnsi="Georgia"/>
          <w:color w:val="262626"/>
          <w:sz w:val="22"/>
          <w:szCs w:val="22"/>
        </w:rPr>
      </w:pPr>
      <w:r>
        <w:rPr>
          <w:rFonts w:ascii="Georgia" w:hAnsi="Georgia"/>
          <w:color w:val="262626"/>
          <w:sz w:val="22"/>
          <w:szCs w:val="22"/>
        </w:rPr>
        <w:t xml:space="preserve">A recusa em prestar informação expressamente devida por cláusula convencional configura, antes de tudo, </w:t>
      </w:r>
      <w:r>
        <w:rPr>
          <w:rStyle w:val="Forte"/>
          <w:rFonts w:ascii="Georgia" w:hAnsi="Georgia"/>
          <w:sz w:val="22"/>
          <w:szCs w:val="22"/>
        </w:rPr>
        <w:t>inadimplemento de norma coletiva</w:t>
      </w:r>
      <w:r>
        <w:rPr>
          <w:rFonts w:ascii="Georgia" w:hAnsi="Georgia"/>
          <w:color w:val="262626"/>
          <w:sz w:val="22"/>
          <w:szCs w:val="22"/>
        </w:rPr>
        <w:t>, com as consequências nela previstas — inclusive as multas convencionais — e sujeita à fiscalização da Superintendência Regional do Trabalho, autorizada nas próprias convenções.</w:t>
      </w:r>
    </w:p>
    <w:p w14:paraId="4AB9B5BE" w14:textId="77777777" w:rsidR="003E022E" w:rsidRDefault="003E022E">
      <w:pPr>
        <w:pStyle w:val="Ttulo3"/>
        <w:rPr>
          <w:rFonts w:ascii="Georgia" w:eastAsia="Times New Roman" w:hAnsi="Georgia"/>
        </w:rPr>
      </w:pPr>
      <w:r>
        <w:rPr>
          <w:rFonts w:ascii="Georgia" w:eastAsia="Times New Roman" w:hAnsi="Georgia"/>
        </w:rPr>
        <w:t>7.2 Segundo plano: conduta antissindical</w:t>
      </w:r>
    </w:p>
    <w:p w14:paraId="517E28EB" w14:textId="77777777" w:rsidR="003E022E" w:rsidRDefault="003E022E">
      <w:pPr>
        <w:pStyle w:val="NormalWeb"/>
        <w:rPr>
          <w:rFonts w:ascii="Georgia" w:hAnsi="Georgia"/>
          <w:color w:val="262626"/>
          <w:sz w:val="22"/>
          <w:szCs w:val="22"/>
        </w:rPr>
      </w:pPr>
      <w:r>
        <w:rPr>
          <w:rFonts w:ascii="Georgia" w:hAnsi="Georgia"/>
          <w:color w:val="262626"/>
          <w:sz w:val="22"/>
          <w:szCs w:val="22"/>
        </w:rPr>
        <w:t xml:space="preserve">A liberdade sindical é protegida pela </w:t>
      </w:r>
      <w:r>
        <w:rPr>
          <w:rStyle w:val="Forte"/>
          <w:rFonts w:ascii="Georgia" w:hAnsi="Georgia"/>
          <w:sz w:val="22"/>
          <w:szCs w:val="22"/>
        </w:rPr>
        <w:t>Convenção nº 98 da OIT</w:t>
      </w:r>
      <w:r>
        <w:rPr>
          <w:rFonts w:ascii="Georgia" w:hAnsi="Georgia"/>
          <w:color w:val="262626"/>
          <w:sz w:val="22"/>
          <w:szCs w:val="22"/>
        </w:rPr>
        <w:t xml:space="preserve"> — aprovada pelo Decreto Legislativo nº 49/1952, ratificada em 18/11/1952 e promulgada pelo </w:t>
      </w:r>
      <w:r>
        <w:rPr>
          <w:rStyle w:val="Forte"/>
          <w:rFonts w:ascii="Georgia" w:hAnsi="Georgia"/>
          <w:sz w:val="22"/>
          <w:szCs w:val="22"/>
        </w:rPr>
        <w:t>Decreto nº 33.196, de 19/06/1953</w:t>
      </w:r>
      <w:r>
        <w:rPr>
          <w:rFonts w:ascii="Georgia" w:hAnsi="Georgia"/>
          <w:color w:val="262626"/>
          <w:sz w:val="22"/>
          <w:szCs w:val="22"/>
        </w:rPr>
        <w:t xml:space="preserve">, vigente no Brasil —, cujo </w:t>
      </w:r>
      <w:r>
        <w:rPr>
          <w:rStyle w:val="Forte"/>
          <w:rFonts w:ascii="Georgia" w:hAnsi="Georgia"/>
          <w:sz w:val="22"/>
          <w:szCs w:val="22"/>
        </w:rPr>
        <w:t>Artigo 2º</w:t>
      </w:r>
      <w:r>
        <w:rPr>
          <w:rFonts w:ascii="Georgia" w:hAnsi="Georgia"/>
          <w:color w:val="262626"/>
          <w:sz w:val="22"/>
          <w:szCs w:val="22"/>
        </w:rPr>
        <w:t xml:space="preserve"> assegura às organizações de trabalhadores </w:t>
      </w:r>
      <w:r>
        <w:rPr>
          <w:rStyle w:val="nfase"/>
          <w:rFonts w:ascii="Georgia" w:hAnsi="Georgia"/>
          <w:color w:val="262626"/>
          <w:sz w:val="22"/>
          <w:szCs w:val="22"/>
        </w:rPr>
        <w:t>"proteção adequada contra quaisquer atos de ingerência"</w:t>
      </w:r>
      <w:r>
        <w:rPr>
          <w:rFonts w:ascii="Georgia" w:hAnsi="Georgia"/>
          <w:color w:val="262626"/>
          <w:sz w:val="22"/>
          <w:szCs w:val="22"/>
        </w:rPr>
        <w:t xml:space="preserve"> em sua </w:t>
      </w:r>
      <w:r>
        <w:rPr>
          <w:rStyle w:val="Forte"/>
          <w:rFonts w:ascii="Georgia" w:hAnsi="Georgia"/>
          <w:sz w:val="22"/>
          <w:szCs w:val="22"/>
        </w:rPr>
        <w:t>formação, funcionamento e administração</w:t>
      </w:r>
      <w:r>
        <w:rPr>
          <w:rFonts w:ascii="Georgia" w:hAnsi="Georgia"/>
          <w:color w:val="262626"/>
          <w:sz w:val="22"/>
          <w:szCs w:val="22"/>
        </w:rPr>
        <w:t>.</w:t>
      </w:r>
    </w:p>
    <w:p w14:paraId="6FF4929D" w14:textId="77777777" w:rsidR="003E022E" w:rsidRDefault="003E022E">
      <w:pPr>
        <w:pStyle w:val="NormalWeb"/>
        <w:rPr>
          <w:rFonts w:ascii="Georgia" w:hAnsi="Georgia"/>
          <w:color w:val="262626"/>
          <w:sz w:val="22"/>
          <w:szCs w:val="22"/>
        </w:rPr>
      </w:pPr>
      <w:r>
        <w:rPr>
          <w:rFonts w:ascii="Georgia" w:hAnsi="Georgia"/>
          <w:color w:val="262626"/>
          <w:sz w:val="22"/>
          <w:szCs w:val="22"/>
        </w:rPr>
        <w:t xml:space="preserve">Os princípios da </w:t>
      </w:r>
      <w:r>
        <w:rPr>
          <w:rStyle w:val="Forte"/>
          <w:rFonts w:ascii="Georgia" w:hAnsi="Georgia"/>
          <w:sz w:val="22"/>
          <w:szCs w:val="22"/>
        </w:rPr>
        <w:t>Convenção nº 87</w:t>
      </w:r>
      <w:r>
        <w:rPr>
          <w:rFonts w:ascii="Georgia" w:hAnsi="Georgia"/>
          <w:color w:val="262626"/>
          <w:sz w:val="22"/>
          <w:szCs w:val="22"/>
        </w:rPr>
        <w:t xml:space="preserve"> da OIT, embora </w:t>
      </w:r>
      <w:r>
        <w:rPr>
          <w:rStyle w:val="Forte"/>
          <w:rFonts w:ascii="Georgia" w:hAnsi="Georgia"/>
          <w:sz w:val="22"/>
          <w:szCs w:val="22"/>
        </w:rPr>
        <w:t>não ratificada pelo Brasil</w:t>
      </w:r>
      <w:r>
        <w:rPr>
          <w:rFonts w:ascii="Georgia" w:hAnsi="Georgia"/>
          <w:color w:val="262626"/>
          <w:sz w:val="22"/>
          <w:szCs w:val="22"/>
        </w:rPr>
        <w:t xml:space="preserve">, são de observância obrigatória por força da Declaração da OIT sobre Princípios e Direitos Fundamentais no Trabalho (1998) — que vincula os Estados-membros </w:t>
      </w:r>
      <w:r>
        <w:rPr>
          <w:rStyle w:val="nfase"/>
          <w:rFonts w:ascii="Georgia" w:hAnsi="Georgia"/>
          <w:color w:val="262626"/>
          <w:sz w:val="22"/>
          <w:szCs w:val="22"/>
        </w:rPr>
        <w:t>"tenham ou não ratificado as Convenções relevantes"</w:t>
      </w:r>
      <w:r>
        <w:rPr>
          <w:rFonts w:ascii="Georgia" w:hAnsi="Georgia"/>
          <w:color w:val="262626"/>
          <w:sz w:val="22"/>
          <w:szCs w:val="22"/>
        </w:rPr>
        <w:t xml:space="preserve"> </w:t>
      </w:r>
      <w:r>
        <w:rPr>
          <w:rFonts w:ascii="Georgia" w:hAnsi="Georgia"/>
          <w:color w:val="262626"/>
          <w:sz w:val="22"/>
          <w:szCs w:val="22"/>
        </w:rPr>
        <w:t xml:space="preserve">— e, no plano interno, por via do art. 8º da CLT. </w:t>
      </w:r>
      <w:r>
        <w:rPr>
          <w:rStyle w:val="Forte"/>
          <w:rFonts w:ascii="Georgia" w:hAnsi="Georgia"/>
          <w:sz w:val="22"/>
          <w:szCs w:val="22"/>
        </w:rPr>
        <w:t>A nota deve citá-la exatamente nesses termos: como princípio de observância obrigatória, jamais como norma interna ratificada.</w:t>
      </w:r>
      <w:r>
        <w:rPr>
          <w:rFonts w:ascii="Georgia" w:hAnsi="Georgia"/>
          <w:color w:val="262626"/>
          <w:sz w:val="22"/>
          <w:szCs w:val="22"/>
        </w:rPr>
        <w:t xml:space="preserve"> Afirmar o contrário é erro que um leitor técnico identifica de imediato, e que compromete a credibilidade do documento inteiro.</w:t>
      </w:r>
    </w:p>
    <w:p w14:paraId="14A989AC" w14:textId="77777777" w:rsidR="003E022E" w:rsidRDefault="003E022E">
      <w:pPr>
        <w:pStyle w:val="NormalWeb"/>
        <w:rPr>
          <w:rFonts w:ascii="Georgia" w:hAnsi="Georgia"/>
          <w:color w:val="262626"/>
          <w:sz w:val="22"/>
          <w:szCs w:val="22"/>
        </w:rPr>
      </w:pPr>
      <w:r>
        <w:rPr>
          <w:rFonts w:ascii="Georgia" w:hAnsi="Georgia"/>
          <w:color w:val="262626"/>
          <w:sz w:val="22"/>
          <w:szCs w:val="22"/>
        </w:rPr>
        <w:t xml:space="preserve">A doutrina e a jurisprudência arrolam entre as condutas antissindicais a </w:t>
      </w:r>
      <w:r>
        <w:rPr>
          <w:rStyle w:val="nfase"/>
          <w:rFonts w:ascii="Georgia" w:hAnsi="Georgia"/>
          <w:color w:val="262626"/>
          <w:sz w:val="22"/>
          <w:szCs w:val="22"/>
        </w:rPr>
        <w:t>"obstrução, omissão ou resistência"</w:t>
      </w:r>
      <w:r>
        <w:rPr>
          <w:rFonts w:ascii="Georgia" w:hAnsi="Georgia"/>
          <w:color w:val="262626"/>
          <w:sz w:val="22"/>
          <w:szCs w:val="22"/>
        </w:rPr>
        <w:t xml:space="preserve"> ao exercício da atividade sindical, e há precedente reconhecendo conduta antissindical na </w:t>
      </w:r>
      <w:r>
        <w:rPr>
          <w:rStyle w:val="Forte"/>
          <w:rFonts w:ascii="Georgia" w:hAnsi="Georgia"/>
          <w:sz w:val="22"/>
          <w:szCs w:val="22"/>
        </w:rPr>
        <w:t>recusa patronal em receber fichas de filiação</w:t>
      </w:r>
      <w:r>
        <w:rPr>
          <w:rFonts w:ascii="Georgia" w:hAnsi="Georgia"/>
          <w:color w:val="262626"/>
          <w:sz w:val="22"/>
          <w:szCs w:val="22"/>
        </w:rPr>
        <w:t xml:space="preserve"> assinadas por empregados (TRT-20, RO 0000286-54.2021.5.20.0003, Rel. Jorge Antonio Andrade Cardoso, publ. 01/07/2022) </w:t>
      </w:r>
      <w:r>
        <w:rPr>
          <w:rStyle w:val="Forte"/>
          <w:rFonts w:ascii="Georgia" w:hAnsi="Georgia"/>
          <w:sz w:val="22"/>
          <w:szCs w:val="22"/>
        </w:rPr>
        <w:t>[VERIFICAR a citação]</w:t>
      </w:r>
      <w:r>
        <w:rPr>
          <w:rFonts w:ascii="Georgia" w:hAnsi="Georgia"/>
          <w:color w:val="262626"/>
          <w:sz w:val="22"/>
          <w:szCs w:val="22"/>
        </w:rPr>
        <w:t xml:space="preserve"> — hipótese análoga, por também consistir em recusa patronal que obsta a relação entre trabalhador e sindicato.</w:t>
      </w:r>
    </w:p>
    <w:p w14:paraId="4713500B" w14:textId="77777777" w:rsidR="003E022E" w:rsidRDefault="003E022E">
      <w:pPr>
        <w:shd w:val="clear" w:color="auto" w:fill="F7F6F1"/>
        <w:spacing w:after="100"/>
        <w:jc w:val="both"/>
        <w:divId w:val="111825406"/>
        <w:rPr>
          <w:rFonts w:ascii="Georgia" w:hAnsi="Georgia"/>
          <w:i/>
          <w:iCs/>
          <w:color w:val="3A3A3A"/>
          <w:sz w:val="22"/>
          <w:szCs w:val="22"/>
        </w:rPr>
      </w:pPr>
      <w:r>
        <w:rPr>
          <w:rStyle w:val="Forte"/>
          <w:rFonts w:ascii="Segoe UI Emoji" w:hAnsi="Segoe UI Emoji" w:cs="Segoe UI Emoji"/>
          <w:i/>
          <w:iCs/>
          <w:sz w:val="22"/>
          <w:szCs w:val="22"/>
        </w:rPr>
        <w:t>⚠</w:t>
      </w:r>
      <w:r>
        <w:rPr>
          <w:rStyle w:val="Forte"/>
          <w:rFonts w:ascii="Segoe UI Emoji" w:hAnsi="Segoe UI Emoji" w:cs="Segoe UI Emoji"/>
          <w:i/>
          <w:iCs/>
          <w:sz w:val="22"/>
          <w:szCs w:val="22"/>
        </w:rPr>
        <w:t>️</w:t>
      </w:r>
      <w:r>
        <w:rPr>
          <w:rStyle w:val="Forte"/>
          <w:rFonts w:ascii="Georgia" w:hAnsi="Georgia"/>
          <w:i/>
          <w:iCs/>
          <w:sz w:val="22"/>
          <w:szCs w:val="22"/>
        </w:rPr>
        <w:t xml:space="preserve"> Ressalva de método, dirigida ao Dr. Adenilson.</w:t>
      </w:r>
      <w:r>
        <w:rPr>
          <w:rFonts w:ascii="Georgia" w:hAnsi="Georgia"/>
          <w:i/>
          <w:iCs/>
          <w:color w:val="3A3A3A"/>
          <w:sz w:val="22"/>
          <w:szCs w:val="22"/>
        </w:rPr>
        <w:t xml:space="preserve"> O catálogo clássico de condutas antissindicais organiza-se em torno de dispensa, greve, negociação coletiva e filiação — </w:t>
      </w:r>
      <w:r>
        <w:rPr>
          <w:rStyle w:val="Forte"/>
          <w:rFonts w:ascii="Georgia" w:hAnsi="Georgia"/>
          <w:i/>
          <w:iCs/>
          <w:sz w:val="22"/>
          <w:szCs w:val="22"/>
        </w:rPr>
        <w:t>a recusa em fornecer dados cadastrais não figura nominalmente nele</w:t>
      </w:r>
      <w:r>
        <w:rPr>
          <w:rFonts w:ascii="Georgia" w:hAnsi="Georgia"/>
          <w:i/>
          <w:iCs/>
          <w:color w:val="3A3A3A"/>
          <w:sz w:val="22"/>
          <w:szCs w:val="22"/>
        </w:rPr>
        <w:t xml:space="preserve">. O enquadramento é defensável por analogia e pela cláusula geral de obstrução, mas é </w:t>
      </w:r>
      <w:r>
        <w:rPr>
          <w:rStyle w:val="Forte"/>
          <w:rFonts w:ascii="Georgia" w:hAnsi="Georgia"/>
          <w:i/>
          <w:iCs/>
          <w:sz w:val="22"/>
          <w:szCs w:val="22"/>
        </w:rPr>
        <w:t>construção</w:t>
      </w:r>
      <w:r>
        <w:rPr>
          <w:rFonts w:ascii="Georgia" w:hAnsi="Georgia"/>
          <w:i/>
          <w:iCs/>
          <w:color w:val="3A3A3A"/>
          <w:sz w:val="22"/>
          <w:szCs w:val="22"/>
        </w:rPr>
        <w:t xml:space="preserve">, não subsunção direta. Recomendo que o argumento principal seja sempre o </w:t>
      </w:r>
      <w:r>
        <w:rPr>
          <w:rStyle w:val="Forte"/>
          <w:rFonts w:ascii="Georgia" w:hAnsi="Georgia"/>
          <w:i/>
          <w:iCs/>
          <w:sz w:val="22"/>
          <w:szCs w:val="22"/>
        </w:rPr>
        <w:t>descumprimento da cláusula convencional</w:t>
      </w:r>
      <w:r>
        <w:rPr>
          <w:rFonts w:ascii="Georgia" w:hAnsi="Georgia"/>
          <w:i/>
          <w:iCs/>
          <w:color w:val="3A3A3A"/>
          <w:sz w:val="22"/>
          <w:szCs w:val="22"/>
        </w:rPr>
        <w:t xml:space="preserve"> (§7.1), que é direto e incontroverso, ficando o enquadramento antissindical em plano subsidiário. Sustentar o inverso enfraquece a peça — e a mesma nota que pretende obter colaboração passaria a ameaçar quem se pretende convencer.</w:t>
      </w:r>
    </w:p>
    <w:p w14:paraId="4AF2978D" w14:textId="77777777" w:rsidR="003E022E" w:rsidRDefault="003E022E">
      <w:pPr>
        <w:spacing w:before="320" w:after="320"/>
        <w:rPr>
          <w:rFonts w:ascii="Georgia" w:eastAsia="Times New Roman" w:hAnsi="Georgia"/>
          <w:color w:val="262626"/>
          <w:sz w:val="22"/>
          <w:szCs w:val="22"/>
        </w:rPr>
      </w:pPr>
      <w:r>
        <w:rPr>
          <w:rFonts w:ascii="Georgia" w:eastAsia="Times New Roman" w:hAnsi="Georgia"/>
          <w:color w:val="262626"/>
          <w:sz w:val="22"/>
          <w:szCs w:val="22"/>
        </w:rPr>
        <w:pict w14:anchorId="66C4AAB4">
          <v:rect id="_x0000_i1031" style="width:0;height:1.5pt" o:hralign="center" o:hrstd="t" o:hr="t" fillcolor="#a0a0a0" stroked="f"/>
        </w:pict>
      </w:r>
    </w:p>
    <w:p w14:paraId="57ACE918" w14:textId="77777777" w:rsidR="003E022E" w:rsidRDefault="003E022E">
      <w:pPr>
        <w:pStyle w:val="Ttulo2"/>
        <w:rPr>
          <w:rFonts w:ascii="Georgia" w:eastAsia="Times New Roman" w:hAnsi="Georgia"/>
        </w:rPr>
      </w:pPr>
      <w:r>
        <w:rPr>
          <w:rFonts w:ascii="Georgia" w:eastAsia="Times New Roman" w:hAnsi="Georgia"/>
        </w:rPr>
        <w:t>8. Segurança do tratamento</w:t>
      </w:r>
    </w:p>
    <w:p w14:paraId="1F7714A3" w14:textId="77777777" w:rsidR="003E022E" w:rsidRDefault="003E022E">
      <w:pPr>
        <w:pStyle w:val="NormalWeb"/>
        <w:rPr>
          <w:rFonts w:ascii="Georgia" w:hAnsi="Georgia"/>
          <w:color w:val="262626"/>
          <w:sz w:val="22"/>
          <w:szCs w:val="22"/>
        </w:rPr>
      </w:pPr>
      <w:r>
        <w:rPr>
          <w:rFonts w:ascii="Georgia" w:hAnsi="Georgia"/>
          <w:color w:val="262626"/>
          <w:sz w:val="22"/>
          <w:szCs w:val="22"/>
        </w:rPr>
        <w:t xml:space="preserve">As medidas abaixo </w:t>
      </w:r>
      <w:r>
        <w:rPr>
          <w:rStyle w:val="Forte"/>
          <w:rFonts w:ascii="Georgia" w:hAnsi="Georgia"/>
          <w:sz w:val="22"/>
          <w:szCs w:val="22"/>
        </w:rPr>
        <w:t>não são declarações de intenção</w:t>
      </w:r>
      <w:r>
        <w:rPr>
          <w:rFonts w:ascii="Georgia" w:hAnsi="Georgia"/>
          <w:color w:val="262626"/>
          <w:sz w:val="22"/>
          <w:szCs w:val="22"/>
        </w:rPr>
        <w:t>: são características implementadas do sistema que recebe os dados, verificáveis e submetidas a teste de invasão deliberado antes de qualquer operação.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53"/>
        <w:gridCol w:w="4835"/>
      </w:tblGrid>
      <w:tr w:rsidR="00000000" w14:paraId="1C25317D" w14:textId="77777777">
        <w:trPr>
          <w:tblHeader/>
        </w:trPr>
        <w:tc>
          <w:tcPr>
            <w:tcW w:w="0" w:type="auto"/>
            <w:tcBorders>
              <w:top w:val="single" w:sz="6" w:space="0" w:color="B9B6AA"/>
              <w:left w:val="single" w:sz="6" w:space="0" w:color="B9B6AA"/>
              <w:bottom w:val="single" w:sz="6" w:space="0" w:color="B9B6AA"/>
              <w:right w:val="single" w:sz="6" w:space="0" w:color="B9B6AA"/>
            </w:tcBorders>
            <w:shd w:val="clear" w:color="auto" w:fill="EFEEE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365F7FAA" w14:textId="77777777" w:rsidR="003E022E" w:rsidRDefault="003E022E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42424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424242"/>
                <w:sz w:val="19"/>
                <w:szCs w:val="19"/>
              </w:rPr>
              <w:t>Medida</w:t>
            </w:r>
          </w:p>
        </w:tc>
        <w:tc>
          <w:tcPr>
            <w:tcW w:w="0" w:type="auto"/>
            <w:tcBorders>
              <w:top w:val="single" w:sz="6" w:space="0" w:color="B9B6AA"/>
              <w:left w:val="single" w:sz="6" w:space="0" w:color="B9B6AA"/>
              <w:bottom w:val="single" w:sz="6" w:space="0" w:color="B9B6AA"/>
              <w:right w:val="single" w:sz="6" w:space="0" w:color="B9B6AA"/>
            </w:tcBorders>
            <w:shd w:val="clear" w:color="auto" w:fill="EFEEE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08B17D6B" w14:textId="77777777" w:rsidR="003E022E" w:rsidRDefault="003E022E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42424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424242"/>
                <w:sz w:val="19"/>
                <w:szCs w:val="19"/>
              </w:rPr>
              <w:t>Efeito</w:t>
            </w:r>
          </w:p>
        </w:tc>
      </w:tr>
      <w:tr w:rsidR="00000000" w14:paraId="72BA3F2F" w14:textId="77777777">
        <w:tc>
          <w:tcPr>
            <w:tcW w:w="0" w:type="auto"/>
            <w:tcBorders>
              <w:top w:val="single" w:sz="6" w:space="0" w:color="D8D5CA"/>
              <w:left w:val="single" w:sz="6" w:space="0" w:color="D8D5CA"/>
              <w:bottom w:val="single" w:sz="6" w:space="0" w:color="D8D5CA"/>
              <w:right w:val="single" w:sz="6" w:space="0" w:color="D8D5CA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59E8440D" w14:textId="77777777" w:rsidR="003E022E" w:rsidRDefault="003E022E">
            <w:pPr>
              <w:spacing w:before="200" w:after="200"/>
              <w:rPr>
                <w:rFonts w:ascii="Calibri" w:eastAsia="Times New Roman" w:hAnsi="Calibri" w:cs="Calibri"/>
                <w:color w:val="262626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262626"/>
                <w:sz w:val="19"/>
                <w:szCs w:val="19"/>
              </w:rPr>
              <w:t xml:space="preserve">Envio por </w:t>
            </w:r>
            <w:r>
              <w:rPr>
                <w:rStyle w:val="Forte"/>
                <w:rFonts w:ascii="Calibri" w:eastAsia="Times New Roman" w:hAnsi="Calibri" w:cs="Calibri"/>
                <w:sz w:val="19"/>
                <w:szCs w:val="19"/>
              </w:rPr>
              <w:t>link com token individual</w:t>
            </w:r>
            <w:r>
              <w:rPr>
                <w:rFonts w:ascii="Calibri" w:eastAsia="Times New Roman" w:hAnsi="Calibri" w:cs="Calibri"/>
                <w:color w:val="262626"/>
                <w:sz w:val="19"/>
                <w:szCs w:val="19"/>
              </w:rPr>
              <w:t>, com prazo de validade e revogável</w:t>
            </w:r>
          </w:p>
        </w:tc>
        <w:tc>
          <w:tcPr>
            <w:tcW w:w="0" w:type="auto"/>
            <w:tcBorders>
              <w:top w:val="single" w:sz="6" w:space="0" w:color="D8D5CA"/>
              <w:left w:val="single" w:sz="6" w:space="0" w:color="D8D5CA"/>
              <w:bottom w:val="single" w:sz="6" w:space="0" w:color="D8D5CA"/>
              <w:right w:val="single" w:sz="6" w:space="0" w:color="D8D5CA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3E87970A" w14:textId="77777777" w:rsidR="003E022E" w:rsidRDefault="003E022E">
            <w:pPr>
              <w:spacing w:before="200" w:after="200"/>
              <w:rPr>
                <w:rFonts w:ascii="Calibri" w:eastAsia="Times New Roman" w:hAnsi="Calibri" w:cs="Calibri"/>
                <w:color w:val="262626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262626"/>
                <w:sz w:val="19"/>
                <w:szCs w:val="19"/>
              </w:rPr>
              <w:t>o acesso não se torna credencial permanente; um link comprometido é desligado sem perda de histórico</w:t>
            </w:r>
          </w:p>
        </w:tc>
      </w:tr>
      <w:tr w:rsidR="00000000" w14:paraId="502D76E7" w14:textId="77777777">
        <w:tc>
          <w:tcPr>
            <w:tcW w:w="0" w:type="auto"/>
            <w:tcBorders>
              <w:top w:val="single" w:sz="6" w:space="0" w:color="D8D5CA"/>
              <w:left w:val="single" w:sz="6" w:space="0" w:color="D8D5CA"/>
              <w:bottom w:val="single" w:sz="6" w:space="0" w:color="D8D5CA"/>
              <w:right w:val="single" w:sz="6" w:space="0" w:color="D8D5CA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6E16E522" w14:textId="77777777" w:rsidR="003E022E" w:rsidRDefault="003E022E">
            <w:pPr>
              <w:spacing w:before="200" w:after="200"/>
              <w:rPr>
                <w:rFonts w:ascii="Calibri" w:eastAsia="Times New Roman" w:hAnsi="Calibri" w:cs="Calibri"/>
                <w:color w:val="262626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262626"/>
                <w:sz w:val="19"/>
                <w:szCs w:val="19"/>
              </w:rPr>
              <w:t xml:space="preserve">O token </w:t>
            </w:r>
            <w:r>
              <w:rPr>
                <w:rStyle w:val="Forte"/>
                <w:rFonts w:ascii="Calibri" w:eastAsia="Times New Roman" w:hAnsi="Calibri" w:cs="Calibri"/>
                <w:sz w:val="19"/>
                <w:szCs w:val="19"/>
              </w:rPr>
              <w:t>não lê dado algum</w:t>
            </w:r>
          </w:p>
        </w:tc>
        <w:tc>
          <w:tcPr>
            <w:tcW w:w="0" w:type="auto"/>
            <w:tcBorders>
              <w:top w:val="single" w:sz="6" w:space="0" w:color="D8D5CA"/>
              <w:left w:val="single" w:sz="6" w:space="0" w:color="D8D5CA"/>
              <w:bottom w:val="single" w:sz="6" w:space="0" w:color="D8D5CA"/>
              <w:right w:val="single" w:sz="6" w:space="0" w:color="D8D5CA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F613B50" w14:textId="77777777" w:rsidR="003E022E" w:rsidRDefault="003E022E">
            <w:pPr>
              <w:spacing w:before="200" w:after="200"/>
              <w:rPr>
                <w:rFonts w:ascii="Calibri" w:eastAsia="Times New Roman" w:hAnsi="Calibri" w:cs="Calibri"/>
                <w:color w:val="262626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262626"/>
                <w:sz w:val="19"/>
                <w:szCs w:val="19"/>
              </w:rPr>
              <w:t xml:space="preserve">quem recebe o link consegue apenas </w:t>
            </w:r>
            <w:r>
              <w:rPr>
                <w:rStyle w:val="Forte"/>
                <w:rFonts w:ascii="Calibri" w:eastAsia="Times New Roman" w:hAnsi="Calibri" w:cs="Calibri"/>
                <w:sz w:val="19"/>
                <w:szCs w:val="19"/>
              </w:rPr>
              <w:t>enviar</w:t>
            </w:r>
            <w:r>
              <w:rPr>
                <w:rFonts w:ascii="Calibri" w:eastAsia="Times New Roman" w:hAnsi="Calibri" w:cs="Calibri"/>
                <w:color w:val="262626"/>
                <w:sz w:val="19"/>
                <w:szCs w:val="19"/>
              </w:rPr>
              <w:t>; jamais consultar ou listar informação de terceiros</w:t>
            </w:r>
          </w:p>
        </w:tc>
      </w:tr>
      <w:tr w:rsidR="00000000" w14:paraId="124C5F9D" w14:textId="77777777">
        <w:tc>
          <w:tcPr>
            <w:tcW w:w="0" w:type="auto"/>
            <w:tcBorders>
              <w:top w:val="single" w:sz="6" w:space="0" w:color="D8D5CA"/>
              <w:left w:val="single" w:sz="6" w:space="0" w:color="D8D5CA"/>
              <w:bottom w:val="single" w:sz="6" w:space="0" w:color="D8D5CA"/>
              <w:right w:val="single" w:sz="6" w:space="0" w:color="D8D5CA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B376C15" w14:textId="77777777" w:rsidR="003E022E" w:rsidRDefault="003E022E">
            <w:pPr>
              <w:spacing w:before="200" w:after="200"/>
              <w:rPr>
                <w:rFonts w:ascii="Calibri" w:eastAsia="Times New Roman" w:hAnsi="Calibri" w:cs="Calibri"/>
                <w:color w:val="262626"/>
                <w:sz w:val="19"/>
                <w:szCs w:val="19"/>
              </w:rPr>
            </w:pPr>
            <w:r>
              <w:rPr>
                <w:rStyle w:val="Forte"/>
                <w:rFonts w:ascii="Calibri" w:eastAsia="Times New Roman" w:hAnsi="Calibri" w:cs="Calibri"/>
                <w:sz w:val="19"/>
                <w:szCs w:val="19"/>
              </w:rPr>
              <w:t>Limite de tentativas</w:t>
            </w:r>
            <w:r>
              <w:rPr>
                <w:rFonts w:ascii="Calibri" w:eastAsia="Times New Roman" w:hAnsi="Calibri" w:cs="Calibri"/>
                <w:color w:val="262626"/>
                <w:sz w:val="19"/>
                <w:szCs w:val="19"/>
              </w:rPr>
              <w:t xml:space="preserve"> por token</w:t>
            </w:r>
          </w:p>
        </w:tc>
        <w:tc>
          <w:tcPr>
            <w:tcW w:w="0" w:type="auto"/>
            <w:tcBorders>
              <w:top w:val="single" w:sz="6" w:space="0" w:color="D8D5CA"/>
              <w:left w:val="single" w:sz="6" w:space="0" w:color="D8D5CA"/>
              <w:bottom w:val="single" w:sz="6" w:space="0" w:color="D8D5CA"/>
              <w:right w:val="single" w:sz="6" w:space="0" w:color="D8D5CA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183A5E9D" w14:textId="77777777" w:rsidR="003E022E" w:rsidRDefault="003E022E">
            <w:pPr>
              <w:spacing w:before="200" w:after="200"/>
              <w:rPr>
                <w:rFonts w:ascii="Calibri" w:eastAsia="Times New Roman" w:hAnsi="Calibri" w:cs="Calibri"/>
                <w:color w:val="262626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262626"/>
                <w:sz w:val="19"/>
                <w:szCs w:val="19"/>
              </w:rPr>
              <w:t>protege o recurso sem penalizar o remetente legítimo</w:t>
            </w:r>
          </w:p>
        </w:tc>
      </w:tr>
      <w:tr w:rsidR="00000000" w14:paraId="6576B3B9" w14:textId="77777777">
        <w:tc>
          <w:tcPr>
            <w:tcW w:w="0" w:type="auto"/>
            <w:tcBorders>
              <w:top w:val="single" w:sz="6" w:space="0" w:color="D8D5CA"/>
              <w:left w:val="single" w:sz="6" w:space="0" w:color="D8D5CA"/>
              <w:bottom w:val="single" w:sz="6" w:space="0" w:color="D8D5CA"/>
              <w:right w:val="single" w:sz="6" w:space="0" w:color="D8D5CA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16FCD4D1" w14:textId="77777777" w:rsidR="003E022E" w:rsidRDefault="003E022E">
            <w:pPr>
              <w:spacing w:before="200" w:after="200"/>
              <w:rPr>
                <w:rFonts w:ascii="Calibri" w:eastAsia="Times New Roman" w:hAnsi="Calibri" w:cs="Calibri"/>
                <w:color w:val="262626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262626"/>
                <w:sz w:val="19"/>
                <w:szCs w:val="19"/>
              </w:rPr>
              <w:t xml:space="preserve">Arquivo em </w:t>
            </w:r>
            <w:r>
              <w:rPr>
                <w:rStyle w:val="Forte"/>
                <w:rFonts w:ascii="Calibri" w:eastAsia="Times New Roman" w:hAnsi="Calibri" w:cs="Calibri"/>
                <w:sz w:val="19"/>
                <w:szCs w:val="19"/>
              </w:rPr>
              <w:t>repositório privado</w:t>
            </w:r>
            <w:r>
              <w:rPr>
                <w:rFonts w:ascii="Calibri" w:eastAsia="Times New Roman" w:hAnsi="Calibri" w:cs="Calibri"/>
                <w:color w:val="262626"/>
                <w:sz w:val="19"/>
                <w:szCs w:val="19"/>
              </w:rPr>
              <w:t>, servido por URL assinada de validade curta</w:t>
            </w:r>
          </w:p>
        </w:tc>
        <w:tc>
          <w:tcPr>
            <w:tcW w:w="0" w:type="auto"/>
            <w:tcBorders>
              <w:top w:val="single" w:sz="6" w:space="0" w:color="D8D5CA"/>
              <w:left w:val="single" w:sz="6" w:space="0" w:color="D8D5CA"/>
              <w:bottom w:val="single" w:sz="6" w:space="0" w:color="D8D5CA"/>
              <w:right w:val="single" w:sz="6" w:space="0" w:color="D8D5CA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C7D140A" w14:textId="77777777" w:rsidR="003E022E" w:rsidRDefault="003E022E">
            <w:pPr>
              <w:spacing w:before="200" w:after="200"/>
              <w:rPr>
                <w:rFonts w:ascii="Calibri" w:eastAsia="Times New Roman" w:hAnsi="Calibri" w:cs="Calibri"/>
                <w:color w:val="262626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262626"/>
                <w:sz w:val="19"/>
                <w:szCs w:val="19"/>
              </w:rPr>
              <w:t>planilha com CPF nunca acessível por endereço público</w:t>
            </w:r>
          </w:p>
        </w:tc>
      </w:tr>
      <w:tr w:rsidR="00000000" w14:paraId="46C8E32F" w14:textId="77777777">
        <w:tc>
          <w:tcPr>
            <w:tcW w:w="0" w:type="auto"/>
            <w:tcBorders>
              <w:top w:val="single" w:sz="6" w:space="0" w:color="D8D5CA"/>
              <w:left w:val="single" w:sz="6" w:space="0" w:color="D8D5CA"/>
              <w:bottom w:val="single" w:sz="6" w:space="0" w:color="D8D5CA"/>
              <w:right w:val="single" w:sz="6" w:space="0" w:color="D8D5CA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15D9B639" w14:textId="77777777" w:rsidR="003E022E" w:rsidRDefault="003E022E">
            <w:pPr>
              <w:spacing w:before="200" w:after="200"/>
              <w:rPr>
                <w:rFonts w:ascii="Calibri" w:eastAsia="Times New Roman" w:hAnsi="Calibri" w:cs="Calibri"/>
                <w:color w:val="262626"/>
                <w:sz w:val="19"/>
                <w:szCs w:val="19"/>
              </w:rPr>
            </w:pPr>
            <w:r>
              <w:rPr>
                <w:rStyle w:val="Forte"/>
                <w:rFonts w:ascii="Calibri" w:eastAsia="Times New Roman" w:hAnsi="Calibri" w:cs="Calibri"/>
                <w:sz w:val="19"/>
                <w:szCs w:val="19"/>
              </w:rPr>
              <w:t>Validação no próprio navegador</w:t>
            </w:r>
            <w:r>
              <w:rPr>
                <w:rFonts w:ascii="Calibri" w:eastAsia="Times New Roman" w:hAnsi="Calibri" w:cs="Calibri"/>
                <w:color w:val="262626"/>
                <w:sz w:val="19"/>
                <w:szCs w:val="19"/>
              </w:rPr>
              <w:t xml:space="preserve"> de quem envia</w:t>
            </w:r>
          </w:p>
        </w:tc>
        <w:tc>
          <w:tcPr>
            <w:tcW w:w="0" w:type="auto"/>
            <w:tcBorders>
              <w:top w:val="single" w:sz="6" w:space="0" w:color="D8D5CA"/>
              <w:left w:val="single" w:sz="6" w:space="0" w:color="D8D5CA"/>
              <w:bottom w:val="single" w:sz="6" w:space="0" w:color="D8D5CA"/>
              <w:right w:val="single" w:sz="6" w:space="0" w:color="D8D5CA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5C305F67" w14:textId="77777777" w:rsidR="003E022E" w:rsidRDefault="003E022E">
            <w:pPr>
              <w:spacing w:before="200" w:after="200"/>
              <w:rPr>
                <w:rFonts w:ascii="Calibri" w:eastAsia="Times New Roman" w:hAnsi="Calibri" w:cs="Calibri"/>
                <w:color w:val="262626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262626"/>
                <w:sz w:val="19"/>
                <w:szCs w:val="19"/>
              </w:rPr>
              <w:t>dígito verificador de CPF conferido antes da transmissão</w:t>
            </w:r>
          </w:p>
        </w:tc>
      </w:tr>
      <w:tr w:rsidR="00000000" w14:paraId="7B4AA6EF" w14:textId="77777777">
        <w:tc>
          <w:tcPr>
            <w:tcW w:w="0" w:type="auto"/>
            <w:tcBorders>
              <w:top w:val="single" w:sz="6" w:space="0" w:color="D8D5CA"/>
              <w:left w:val="single" w:sz="6" w:space="0" w:color="D8D5CA"/>
              <w:bottom w:val="single" w:sz="6" w:space="0" w:color="D8D5CA"/>
              <w:right w:val="single" w:sz="6" w:space="0" w:color="D8D5CA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23C06A14" w14:textId="77777777" w:rsidR="003E022E" w:rsidRDefault="003E022E">
            <w:pPr>
              <w:spacing w:before="200" w:after="200"/>
              <w:rPr>
                <w:rFonts w:ascii="Calibri" w:eastAsia="Times New Roman" w:hAnsi="Calibri" w:cs="Calibri"/>
                <w:color w:val="262626"/>
                <w:sz w:val="19"/>
                <w:szCs w:val="19"/>
              </w:rPr>
            </w:pPr>
            <w:r>
              <w:rPr>
                <w:rStyle w:val="Forte"/>
                <w:rFonts w:ascii="Calibri" w:eastAsia="Times New Roman" w:hAnsi="Calibri" w:cs="Calibri"/>
                <w:sz w:val="19"/>
                <w:szCs w:val="19"/>
              </w:rPr>
              <w:t>Nenhum dado ingressa no cadastro sem revisão humana</w:t>
            </w:r>
          </w:p>
        </w:tc>
        <w:tc>
          <w:tcPr>
            <w:tcW w:w="0" w:type="auto"/>
            <w:tcBorders>
              <w:top w:val="single" w:sz="6" w:space="0" w:color="D8D5CA"/>
              <w:left w:val="single" w:sz="6" w:space="0" w:color="D8D5CA"/>
              <w:bottom w:val="single" w:sz="6" w:space="0" w:color="D8D5CA"/>
              <w:right w:val="single" w:sz="6" w:space="0" w:color="D8D5CA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27B2393D" w14:textId="77777777" w:rsidR="003E022E" w:rsidRDefault="003E022E">
            <w:pPr>
              <w:spacing w:before="200" w:after="200"/>
              <w:rPr>
                <w:rFonts w:ascii="Calibri" w:eastAsia="Times New Roman" w:hAnsi="Calibri" w:cs="Calibri"/>
                <w:color w:val="262626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262626"/>
                <w:sz w:val="19"/>
                <w:szCs w:val="19"/>
              </w:rPr>
              <w:t>não há gravação automática a partir de origem externa</w:t>
            </w:r>
          </w:p>
        </w:tc>
      </w:tr>
      <w:tr w:rsidR="00000000" w14:paraId="107F29E7" w14:textId="77777777">
        <w:tc>
          <w:tcPr>
            <w:tcW w:w="0" w:type="auto"/>
            <w:tcBorders>
              <w:top w:val="single" w:sz="6" w:space="0" w:color="D8D5CA"/>
              <w:left w:val="single" w:sz="6" w:space="0" w:color="D8D5CA"/>
              <w:bottom w:val="single" w:sz="6" w:space="0" w:color="D8D5CA"/>
              <w:right w:val="single" w:sz="6" w:space="0" w:color="D8D5CA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9F30D7D" w14:textId="77777777" w:rsidR="003E022E" w:rsidRDefault="003E022E">
            <w:pPr>
              <w:spacing w:before="200" w:after="200"/>
              <w:rPr>
                <w:rFonts w:ascii="Calibri" w:eastAsia="Times New Roman" w:hAnsi="Calibri" w:cs="Calibri"/>
                <w:color w:val="262626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262626"/>
                <w:sz w:val="19"/>
                <w:szCs w:val="19"/>
              </w:rPr>
              <w:t xml:space="preserve">Remessa </w:t>
            </w:r>
            <w:r>
              <w:rPr>
                <w:rStyle w:val="Forte"/>
                <w:rFonts w:ascii="Calibri" w:eastAsia="Times New Roman" w:hAnsi="Calibri" w:cs="Calibri"/>
                <w:sz w:val="19"/>
                <w:szCs w:val="19"/>
              </w:rPr>
              <w:t>imutável</w:t>
            </w:r>
            <w:r>
              <w:rPr>
                <w:rFonts w:ascii="Calibri" w:eastAsia="Times New Roman" w:hAnsi="Calibri" w:cs="Calibri"/>
                <w:color w:val="262626"/>
                <w:sz w:val="19"/>
                <w:szCs w:val="19"/>
              </w:rPr>
              <w:t>, com registro de IP e identificação do navegador</w:t>
            </w:r>
          </w:p>
        </w:tc>
        <w:tc>
          <w:tcPr>
            <w:tcW w:w="0" w:type="auto"/>
            <w:tcBorders>
              <w:top w:val="single" w:sz="6" w:space="0" w:color="D8D5CA"/>
              <w:left w:val="single" w:sz="6" w:space="0" w:color="D8D5CA"/>
              <w:bottom w:val="single" w:sz="6" w:space="0" w:color="D8D5CA"/>
              <w:right w:val="single" w:sz="6" w:space="0" w:color="D8D5CA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C597F8C" w14:textId="77777777" w:rsidR="003E022E" w:rsidRDefault="003E022E">
            <w:pPr>
              <w:spacing w:before="200" w:after="200"/>
              <w:rPr>
                <w:rFonts w:ascii="Calibri" w:eastAsia="Times New Roman" w:hAnsi="Calibri" w:cs="Calibri"/>
                <w:color w:val="262626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262626"/>
                <w:sz w:val="19"/>
                <w:szCs w:val="19"/>
              </w:rPr>
              <w:t>rastreabilidade de quem enviou o quê e quando</w:t>
            </w:r>
          </w:p>
        </w:tc>
      </w:tr>
      <w:tr w:rsidR="00000000" w14:paraId="76B53BD6" w14:textId="77777777">
        <w:tc>
          <w:tcPr>
            <w:tcW w:w="0" w:type="auto"/>
            <w:tcBorders>
              <w:top w:val="single" w:sz="6" w:space="0" w:color="D8D5CA"/>
              <w:left w:val="single" w:sz="6" w:space="0" w:color="D8D5CA"/>
              <w:bottom w:val="single" w:sz="6" w:space="0" w:color="D8D5CA"/>
              <w:right w:val="single" w:sz="6" w:space="0" w:color="D8D5CA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977491F" w14:textId="77777777" w:rsidR="003E022E" w:rsidRDefault="003E022E">
            <w:pPr>
              <w:spacing w:before="200" w:after="200"/>
              <w:rPr>
                <w:rFonts w:ascii="Calibri" w:eastAsia="Times New Roman" w:hAnsi="Calibri" w:cs="Calibri"/>
                <w:color w:val="262626"/>
                <w:sz w:val="19"/>
                <w:szCs w:val="19"/>
              </w:rPr>
            </w:pPr>
            <w:r>
              <w:rPr>
                <w:rStyle w:val="Forte"/>
                <w:rFonts w:ascii="Calibri" w:eastAsia="Times New Roman" w:hAnsi="Calibri" w:cs="Calibri"/>
                <w:sz w:val="19"/>
                <w:szCs w:val="19"/>
              </w:rPr>
              <w:t>Controle de acesso em nível de registro</w:t>
            </w:r>
            <w:r>
              <w:rPr>
                <w:rFonts w:ascii="Calibri" w:eastAsia="Times New Roman" w:hAnsi="Calibri" w:cs="Calibri"/>
                <w:color w:val="262626"/>
                <w:sz w:val="19"/>
                <w:szCs w:val="19"/>
              </w:rPr>
              <w:t xml:space="preserve"> no banco de dados</w:t>
            </w:r>
          </w:p>
        </w:tc>
        <w:tc>
          <w:tcPr>
            <w:tcW w:w="0" w:type="auto"/>
            <w:tcBorders>
              <w:top w:val="single" w:sz="6" w:space="0" w:color="D8D5CA"/>
              <w:left w:val="single" w:sz="6" w:space="0" w:color="D8D5CA"/>
              <w:bottom w:val="single" w:sz="6" w:space="0" w:color="D8D5CA"/>
              <w:right w:val="single" w:sz="6" w:space="0" w:color="D8D5CA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03D3207" w14:textId="77777777" w:rsidR="003E022E" w:rsidRDefault="003E022E">
            <w:pPr>
              <w:spacing w:before="200" w:after="200"/>
              <w:rPr>
                <w:rFonts w:ascii="Calibri" w:eastAsia="Times New Roman" w:hAnsi="Calibri" w:cs="Calibri"/>
                <w:color w:val="262626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262626"/>
                <w:sz w:val="19"/>
                <w:szCs w:val="19"/>
              </w:rPr>
              <w:t>isolamento verificado na base, não apenas na aplicação</w:t>
            </w:r>
          </w:p>
        </w:tc>
      </w:tr>
      <w:tr w:rsidR="00000000" w14:paraId="1C781CE2" w14:textId="77777777">
        <w:tc>
          <w:tcPr>
            <w:tcW w:w="0" w:type="auto"/>
            <w:tcBorders>
              <w:top w:val="single" w:sz="6" w:space="0" w:color="D8D5CA"/>
              <w:left w:val="single" w:sz="6" w:space="0" w:color="D8D5CA"/>
              <w:bottom w:val="single" w:sz="6" w:space="0" w:color="D8D5CA"/>
              <w:right w:val="single" w:sz="6" w:space="0" w:color="D8D5CA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21C58657" w14:textId="77777777" w:rsidR="003E022E" w:rsidRDefault="003E022E">
            <w:pPr>
              <w:spacing w:before="200" w:after="200"/>
              <w:rPr>
                <w:rFonts w:ascii="Calibri" w:eastAsia="Times New Roman" w:hAnsi="Calibri" w:cs="Calibri"/>
                <w:color w:val="262626"/>
                <w:sz w:val="19"/>
                <w:szCs w:val="19"/>
              </w:rPr>
            </w:pPr>
            <w:r>
              <w:rPr>
                <w:rStyle w:val="Forte"/>
                <w:rFonts w:ascii="Calibri" w:eastAsia="Times New Roman" w:hAnsi="Calibri" w:cs="Calibri"/>
                <w:sz w:val="19"/>
                <w:szCs w:val="19"/>
              </w:rPr>
              <w:t>Teste adversarial obrigatório</w:t>
            </w:r>
            <w:r>
              <w:rPr>
                <w:rFonts w:ascii="Calibri" w:eastAsia="Times New Roman" w:hAnsi="Calibri" w:cs="Calibri"/>
                <w:color w:val="262626"/>
                <w:sz w:val="19"/>
                <w:szCs w:val="19"/>
              </w:rPr>
              <w:t xml:space="preserve"> antes de qualquer ampliação de superfície</w:t>
            </w:r>
          </w:p>
        </w:tc>
        <w:tc>
          <w:tcPr>
            <w:tcW w:w="0" w:type="auto"/>
            <w:tcBorders>
              <w:top w:val="single" w:sz="6" w:space="0" w:color="D8D5CA"/>
              <w:left w:val="single" w:sz="6" w:space="0" w:color="D8D5CA"/>
              <w:bottom w:val="single" w:sz="6" w:space="0" w:color="D8D5CA"/>
              <w:right w:val="single" w:sz="6" w:space="0" w:color="D8D5CA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31BF8C5A" w14:textId="77777777" w:rsidR="003E022E" w:rsidRDefault="003E022E">
            <w:pPr>
              <w:spacing w:before="200" w:after="200"/>
              <w:rPr>
                <w:rFonts w:ascii="Calibri" w:eastAsia="Times New Roman" w:hAnsi="Calibri" w:cs="Calibri"/>
                <w:color w:val="262626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262626"/>
                <w:sz w:val="19"/>
                <w:szCs w:val="19"/>
              </w:rPr>
              <w:t>o sistema é atacado de propósito antes de entrar em operação</w:t>
            </w:r>
          </w:p>
        </w:tc>
      </w:tr>
    </w:tbl>
    <w:p w14:paraId="46F8C8D1" w14:textId="77777777" w:rsidR="003E022E" w:rsidRDefault="003E022E">
      <w:pPr>
        <w:pStyle w:val="NormalWeb"/>
        <w:rPr>
          <w:rFonts w:ascii="Georgia" w:hAnsi="Georgia"/>
          <w:color w:val="262626"/>
          <w:sz w:val="22"/>
          <w:szCs w:val="22"/>
        </w:rPr>
      </w:pPr>
      <w:r>
        <w:rPr>
          <w:rFonts w:ascii="Georgia" w:hAnsi="Georgia"/>
          <w:color w:val="262626"/>
          <w:sz w:val="22"/>
          <w:szCs w:val="22"/>
        </w:rPr>
        <w:t xml:space="preserve">Atendem-se, assim, os princípios do </w:t>
      </w:r>
      <w:r>
        <w:rPr>
          <w:rStyle w:val="Forte"/>
          <w:rFonts w:ascii="Georgia" w:hAnsi="Georgia"/>
          <w:sz w:val="22"/>
          <w:szCs w:val="22"/>
        </w:rPr>
        <w:t>art. 6º</w:t>
      </w:r>
      <w:r>
        <w:rPr>
          <w:rFonts w:ascii="Georgia" w:hAnsi="Georgia"/>
          <w:color w:val="262626"/>
          <w:sz w:val="22"/>
          <w:szCs w:val="22"/>
        </w:rPr>
        <w:t xml:space="preserve"> da LGPD — finalidade, adequação, necessidade, segurança e prevenção — e o dever de segurança do </w:t>
      </w:r>
      <w:r>
        <w:rPr>
          <w:rStyle w:val="Forte"/>
          <w:rFonts w:ascii="Georgia" w:hAnsi="Georgia"/>
          <w:sz w:val="22"/>
          <w:szCs w:val="22"/>
        </w:rPr>
        <w:t>art. 46</w:t>
      </w:r>
      <w:r>
        <w:rPr>
          <w:rFonts w:ascii="Georgia" w:hAnsi="Georgia"/>
          <w:color w:val="262626"/>
          <w:sz w:val="22"/>
          <w:szCs w:val="22"/>
        </w:rPr>
        <w:t>.</w:t>
      </w:r>
    </w:p>
    <w:p w14:paraId="513CD50A" w14:textId="77777777" w:rsidR="003E022E" w:rsidRDefault="003E022E">
      <w:pPr>
        <w:spacing w:before="320" w:after="320"/>
        <w:rPr>
          <w:rFonts w:ascii="Georgia" w:eastAsia="Times New Roman" w:hAnsi="Georgia"/>
          <w:color w:val="262626"/>
          <w:sz w:val="22"/>
          <w:szCs w:val="22"/>
        </w:rPr>
      </w:pPr>
      <w:r>
        <w:rPr>
          <w:rFonts w:ascii="Georgia" w:eastAsia="Times New Roman" w:hAnsi="Georgia"/>
          <w:color w:val="262626"/>
          <w:sz w:val="22"/>
          <w:szCs w:val="22"/>
        </w:rPr>
        <w:pict w14:anchorId="21D59E26">
          <v:rect id="_x0000_i1032" style="width:0;height:1.5pt" o:hralign="center" o:hrstd="t" o:hr="t" fillcolor="#a0a0a0" stroked="f"/>
        </w:pict>
      </w:r>
    </w:p>
    <w:p w14:paraId="25C5B5AE" w14:textId="77777777" w:rsidR="003E022E" w:rsidRDefault="003E022E">
      <w:pPr>
        <w:pStyle w:val="Ttulo2"/>
        <w:rPr>
          <w:rFonts w:ascii="Georgia" w:eastAsia="Times New Roman" w:hAnsi="Georgia"/>
        </w:rPr>
      </w:pPr>
      <w:r>
        <w:rPr>
          <w:rFonts w:ascii="Georgia" w:eastAsia="Times New Roman" w:hAnsi="Georgia"/>
        </w:rPr>
        <w:t>9. Guarda, exclusão e eliminação</w:t>
      </w:r>
    </w:p>
    <w:p w14:paraId="2CD78DE8" w14:textId="77777777" w:rsidR="003E022E" w:rsidRDefault="003E022E">
      <w:pPr>
        <w:pStyle w:val="Ttulo3"/>
        <w:rPr>
          <w:rFonts w:ascii="Georgia" w:eastAsia="Times New Roman" w:hAnsi="Georgia"/>
        </w:rPr>
      </w:pPr>
      <w:r>
        <w:rPr>
          <w:rFonts w:ascii="Georgia" w:eastAsia="Times New Roman" w:hAnsi="Georgia"/>
        </w:rPr>
        <w:t>9.1 Trabalhadores filiados</w:t>
      </w:r>
    </w:p>
    <w:p w14:paraId="646BD1E0" w14:textId="77777777" w:rsidR="003E022E" w:rsidRDefault="003E022E">
      <w:pPr>
        <w:pStyle w:val="NormalWeb"/>
        <w:rPr>
          <w:rFonts w:ascii="Georgia" w:hAnsi="Georgia"/>
          <w:color w:val="262626"/>
          <w:sz w:val="22"/>
          <w:szCs w:val="22"/>
        </w:rPr>
      </w:pPr>
      <w:r>
        <w:rPr>
          <w:rFonts w:ascii="Georgia" w:hAnsi="Georgia"/>
          <w:color w:val="262626"/>
          <w:sz w:val="22"/>
          <w:szCs w:val="22"/>
        </w:rPr>
        <w:t xml:space="preserve">A manutenção e atualização dos dados é </w:t>
      </w:r>
      <w:r>
        <w:rPr>
          <w:rStyle w:val="Forte"/>
          <w:rFonts w:ascii="Georgia" w:hAnsi="Georgia"/>
          <w:sz w:val="22"/>
          <w:szCs w:val="22"/>
        </w:rPr>
        <w:t>pré-requisito da prestação dos serviços</w:t>
      </w:r>
      <w:r>
        <w:rPr>
          <w:rFonts w:ascii="Georgia" w:hAnsi="Georgia"/>
          <w:color w:val="262626"/>
          <w:sz w:val="22"/>
          <w:szCs w:val="22"/>
        </w:rPr>
        <w:t xml:space="preserve"> que a filiação assegura — defesa jurídica, convênios, descontos e benefícios, extensivos aos beneficiários indicados. O pedido de exclusão será atendido, </w:t>
      </w:r>
      <w:r>
        <w:rPr>
          <w:rStyle w:val="Forte"/>
          <w:rFonts w:ascii="Georgia" w:hAnsi="Georgia"/>
          <w:sz w:val="22"/>
          <w:szCs w:val="22"/>
        </w:rPr>
        <w:t>com prévia comunicação ao titular</w:t>
      </w:r>
      <w:r>
        <w:rPr>
          <w:rFonts w:ascii="Georgia" w:hAnsi="Georgia"/>
          <w:color w:val="262626"/>
          <w:sz w:val="22"/>
          <w:szCs w:val="22"/>
        </w:rPr>
        <w:t xml:space="preserve"> de que a exclusão implica a perda dos serviços e benefícios correspondentes. O pedido se formaliza por </w:t>
      </w:r>
      <w:r>
        <w:rPr>
          <w:rStyle w:val="Forte"/>
          <w:rFonts w:ascii="Georgia" w:hAnsi="Georgia"/>
          <w:sz w:val="22"/>
          <w:szCs w:val="22"/>
        </w:rPr>
        <w:t>Carta de Exclusão</w:t>
      </w:r>
      <w:r>
        <w:rPr>
          <w:rFonts w:ascii="Georgia" w:hAnsi="Georgia"/>
          <w:color w:val="262626"/>
          <w:sz w:val="22"/>
          <w:szCs w:val="22"/>
        </w:rPr>
        <w:t>, redigida e entregue pelo próprio titular.</w:t>
      </w:r>
    </w:p>
    <w:p w14:paraId="175F5AFD" w14:textId="77777777" w:rsidR="003E022E" w:rsidRDefault="003E022E">
      <w:pPr>
        <w:pStyle w:val="Ttulo3"/>
        <w:rPr>
          <w:rFonts w:ascii="Georgia" w:eastAsia="Times New Roman" w:hAnsi="Georgia"/>
        </w:rPr>
      </w:pPr>
      <w:r>
        <w:rPr>
          <w:rFonts w:ascii="Georgia" w:eastAsia="Times New Roman" w:hAnsi="Georgia"/>
        </w:rPr>
        <w:t>9.2 Trabalhadores representados não filiados</w:t>
      </w:r>
    </w:p>
    <w:p w14:paraId="403262DE" w14:textId="77777777" w:rsidR="003E022E" w:rsidRDefault="003E022E">
      <w:pPr>
        <w:pStyle w:val="NormalWeb"/>
        <w:rPr>
          <w:rFonts w:ascii="Georgia" w:hAnsi="Georgia"/>
          <w:color w:val="262626"/>
          <w:sz w:val="22"/>
          <w:szCs w:val="22"/>
        </w:rPr>
      </w:pPr>
      <w:r>
        <w:rPr>
          <w:rFonts w:ascii="Georgia" w:hAnsi="Georgia"/>
          <w:color w:val="262626"/>
          <w:sz w:val="22"/>
          <w:szCs w:val="22"/>
        </w:rPr>
        <w:t xml:space="preserve">A manutenção dos dados destina-se </w:t>
      </w:r>
      <w:r>
        <w:rPr>
          <w:rStyle w:val="Forte"/>
          <w:rFonts w:ascii="Georgia" w:hAnsi="Georgia"/>
          <w:sz w:val="22"/>
          <w:szCs w:val="22"/>
        </w:rPr>
        <w:t>exclusivamente a impedir cobrança indevida</w:t>
      </w:r>
      <w:r>
        <w:rPr>
          <w:rFonts w:ascii="Georgia" w:hAnsi="Georgia"/>
          <w:color w:val="262626"/>
          <w:sz w:val="22"/>
          <w:szCs w:val="22"/>
        </w:rPr>
        <w:t xml:space="preserve">. Havendo pedido de exclusão, igualmente por Carta de Exclusão, o registro passa a conter apenas as </w:t>
      </w:r>
      <w:r>
        <w:rPr>
          <w:rStyle w:val="Forte"/>
          <w:rFonts w:ascii="Georgia" w:hAnsi="Georgia"/>
          <w:sz w:val="22"/>
          <w:szCs w:val="22"/>
        </w:rPr>
        <w:t>iniciais do nome</w:t>
      </w:r>
      <w:r>
        <w:rPr>
          <w:rFonts w:ascii="Georgia" w:hAnsi="Georgia"/>
          <w:color w:val="262626"/>
          <w:sz w:val="22"/>
          <w:szCs w:val="22"/>
        </w:rPr>
        <w:t xml:space="preserve"> e o </w:t>
      </w:r>
      <w:r>
        <w:rPr>
          <w:rStyle w:val="Forte"/>
          <w:rFonts w:ascii="Georgia" w:hAnsi="Georgia"/>
          <w:sz w:val="22"/>
          <w:szCs w:val="22"/>
        </w:rPr>
        <w:t>CPF mascarado</w:t>
      </w:r>
      <w:r>
        <w:rPr>
          <w:rFonts w:ascii="Georgia" w:hAnsi="Georgia"/>
          <w:color w:val="262626"/>
          <w:sz w:val="22"/>
          <w:szCs w:val="22"/>
        </w:rPr>
        <w:t>, o mesmo se aplicando aos beneficiários.</w:t>
      </w:r>
    </w:p>
    <w:p w14:paraId="6807B903" w14:textId="77777777" w:rsidR="003E022E" w:rsidRDefault="003E022E">
      <w:pPr>
        <w:pStyle w:val="Ttulo3"/>
        <w:rPr>
          <w:rFonts w:ascii="Georgia" w:eastAsia="Times New Roman" w:hAnsi="Georgia"/>
        </w:rPr>
      </w:pPr>
      <w:r>
        <w:rPr>
          <w:rFonts w:ascii="Georgia" w:eastAsia="Times New Roman" w:hAnsi="Georgia"/>
        </w:rPr>
        <w:t>9.3 Retenção e eliminação</w:t>
      </w:r>
    </w:p>
    <w:p w14:paraId="0B51842E" w14:textId="77777777" w:rsidR="003E022E" w:rsidRDefault="003E022E">
      <w:pPr>
        <w:pStyle w:val="NormalWeb"/>
        <w:rPr>
          <w:rFonts w:ascii="Georgia" w:hAnsi="Georgia"/>
          <w:color w:val="262626"/>
          <w:sz w:val="22"/>
          <w:szCs w:val="22"/>
        </w:rPr>
      </w:pPr>
      <w:r>
        <w:rPr>
          <w:rFonts w:ascii="Georgia" w:hAnsi="Georgia"/>
          <w:color w:val="262626"/>
          <w:sz w:val="22"/>
          <w:szCs w:val="22"/>
        </w:rPr>
        <w:t xml:space="preserve">Os dados são mantidos e atualizados a partir das informações prestadas pelas empresas e contabilidades até que sobrevenha pedido de exclusão ou se extinga o vínculo empregatício. Ainda então o registro </w:t>
      </w:r>
      <w:r>
        <w:rPr>
          <w:rStyle w:val="Forte"/>
          <w:rFonts w:ascii="Georgia" w:hAnsi="Georgia"/>
          <w:sz w:val="22"/>
          <w:szCs w:val="22"/>
        </w:rPr>
        <w:t>não é apagado, mas reduzido</w:t>
      </w:r>
      <w:r>
        <w:rPr>
          <w:rFonts w:ascii="Georgia" w:hAnsi="Georgia"/>
          <w:color w:val="262626"/>
          <w:sz w:val="22"/>
          <w:szCs w:val="22"/>
        </w:rPr>
        <w:t>, preservando rastreabilidade mínima para auditorias, investigações e requisições judiciais — hipótese concreta: ex-filiado que, em ação judicial, necessite comprovar a série histórica de serviços prestados a seus dependentes.</w:t>
      </w:r>
    </w:p>
    <w:p w14:paraId="51489541" w14:textId="77777777" w:rsidR="003E022E" w:rsidRDefault="003E022E">
      <w:pPr>
        <w:pStyle w:val="NormalWeb"/>
        <w:rPr>
          <w:rFonts w:ascii="Georgia" w:hAnsi="Georgia"/>
          <w:color w:val="262626"/>
          <w:sz w:val="22"/>
          <w:szCs w:val="22"/>
        </w:rPr>
      </w:pPr>
      <w:r>
        <w:rPr>
          <w:rFonts w:ascii="Georgia" w:hAnsi="Georgia"/>
          <w:color w:val="262626"/>
          <w:sz w:val="22"/>
          <w:szCs w:val="22"/>
        </w:rPr>
        <w:t xml:space="preserve">A </w:t>
      </w:r>
      <w:r>
        <w:rPr>
          <w:rStyle w:val="Forte"/>
          <w:rFonts w:ascii="Georgia" w:hAnsi="Georgia"/>
          <w:sz w:val="22"/>
          <w:szCs w:val="22"/>
        </w:rPr>
        <w:t>eliminação definitiva</w:t>
      </w:r>
      <w:r>
        <w:rPr>
          <w:rFonts w:ascii="Georgia" w:hAnsi="Georgia"/>
          <w:color w:val="262626"/>
          <w:sz w:val="22"/>
          <w:szCs w:val="22"/>
        </w:rPr>
        <w:t xml:space="preserve"> </w:t>
      </w:r>
      <w:r>
        <w:rPr>
          <w:rFonts w:ascii="Georgia" w:hAnsi="Georgia"/>
          <w:color w:val="262626"/>
          <w:sz w:val="22"/>
          <w:szCs w:val="22"/>
        </w:rPr>
        <w:t xml:space="preserve">ocorre na ausência de qualquer movimentação por </w:t>
      </w:r>
      <w:r>
        <w:rPr>
          <w:rStyle w:val="Forte"/>
          <w:rFonts w:ascii="Georgia" w:hAnsi="Georgia"/>
          <w:sz w:val="22"/>
          <w:szCs w:val="22"/>
        </w:rPr>
        <w:t>20 anos</w:t>
      </w:r>
      <w:r>
        <w:rPr>
          <w:rFonts w:ascii="Georgia" w:hAnsi="Georgia"/>
          <w:color w:val="262626"/>
          <w:sz w:val="22"/>
          <w:szCs w:val="22"/>
        </w:rPr>
        <w:t xml:space="preserve"> contados da última atualização, prazo adotado </w:t>
      </w:r>
      <w:r>
        <w:rPr>
          <w:rStyle w:val="Forte"/>
          <w:rFonts w:ascii="Georgia" w:hAnsi="Georgia"/>
          <w:sz w:val="22"/>
          <w:szCs w:val="22"/>
        </w:rPr>
        <w:t>por analogia</w:t>
      </w:r>
      <w:r>
        <w:rPr>
          <w:rFonts w:ascii="Georgia" w:hAnsi="Georgia"/>
          <w:color w:val="262626"/>
          <w:sz w:val="22"/>
          <w:szCs w:val="22"/>
        </w:rPr>
        <w:t xml:space="preserve"> ao art. 6º da Lei 13.787/2018.</w:t>
      </w:r>
    </w:p>
    <w:p w14:paraId="6892AF75" w14:textId="77777777" w:rsidR="003E022E" w:rsidRDefault="003E022E">
      <w:pPr>
        <w:shd w:val="clear" w:color="auto" w:fill="F7F6F1"/>
        <w:spacing w:after="100"/>
        <w:jc w:val="both"/>
        <w:divId w:val="110125323"/>
        <w:rPr>
          <w:rFonts w:ascii="Georgia" w:hAnsi="Georgia"/>
          <w:i/>
          <w:iCs/>
          <w:color w:val="3A3A3A"/>
          <w:sz w:val="22"/>
          <w:szCs w:val="22"/>
        </w:rPr>
      </w:pPr>
      <w:r>
        <w:rPr>
          <w:rStyle w:val="Forte"/>
          <w:rFonts w:ascii="Segoe UI Emoji" w:hAnsi="Segoe UI Emoji" w:cs="Segoe UI Emoji"/>
          <w:i/>
          <w:iCs/>
          <w:sz w:val="22"/>
          <w:szCs w:val="22"/>
        </w:rPr>
        <w:t>⚠</w:t>
      </w:r>
      <w:r>
        <w:rPr>
          <w:rStyle w:val="Forte"/>
          <w:rFonts w:ascii="Segoe UI Emoji" w:hAnsi="Segoe UI Emoji" w:cs="Segoe UI Emoji"/>
          <w:i/>
          <w:iCs/>
          <w:sz w:val="22"/>
          <w:szCs w:val="22"/>
        </w:rPr>
        <w:t>️</w:t>
      </w:r>
      <w:r>
        <w:rPr>
          <w:rStyle w:val="Forte"/>
          <w:rFonts w:ascii="Georgia" w:hAnsi="Georgia"/>
          <w:i/>
          <w:iCs/>
          <w:sz w:val="22"/>
          <w:szCs w:val="22"/>
        </w:rPr>
        <w:t xml:space="preserve"> Duas ressalvas técnicas — [VERIFICAR], e são materiais.</w:t>
      </w:r>
    </w:p>
    <w:p w14:paraId="5E621B54" w14:textId="77777777" w:rsidR="003E022E" w:rsidRDefault="003E022E">
      <w:pPr>
        <w:shd w:val="clear" w:color="auto" w:fill="F7F6F1"/>
        <w:spacing w:after="100"/>
        <w:jc w:val="both"/>
        <w:divId w:val="110125323"/>
        <w:rPr>
          <w:rFonts w:ascii="Georgia" w:hAnsi="Georgia"/>
          <w:i/>
          <w:iCs/>
          <w:color w:val="3A3A3A"/>
          <w:sz w:val="22"/>
          <w:szCs w:val="22"/>
        </w:rPr>
      </w:pPr>
      <w:r>
        <w:rPr>
          <w:rStyle w:val="Forte"/>
          <w:rFonts w:ascii="Georgia" w:hAnsi="Georgia"/>
          <w:i/>
          <w:iCs/>
          <w:sz w:val="22"/>
          <w:szCs w:val="22"/>
        </w:rPr>
        <w:t>(a) A Lei 13.787/2018 rege prontuários de paciente.</w:t>
      </w:r>
      <w:r>
        <w:rPr>
          <w:rFonts w:ascii="Georgia" w:hAnsi="Georgia"/>
          <w:i/>
          <w:iCs/>
          <w:color w:val="3A3A3A"/>
          <w:sz w:val="22"/>
          <w:szCs w:val="22"/>
        </w:rPr>
        <w:t xml:space="preserve"> Sua aplicação a cadastro sindical é </w:t>
      </w:r>
      <w:r>
        <w:rPr>
          <w:rStyle w:val="Forte"/>
          <w:rFonts w:ascii="Georgia" w:hAnsi="Georgia"/>
          <w:i/>
          <w:iCs/>
          <w:sz w:val="22"/>
          <w:szCs w:val="22"/>
        </w:rPr>
        <w:t>analogia</w:t>
      </w:r>
      <w:r>
        <w:rPr>
          <w:rFonts w:ascii="Georgia" w:hAnsi="Georgia"/>
          <w:i/>
          <w:iCs/>
          <w:color w:val="3A3A3A"/>
          <w:sz w:val="22"/>
          <w:szCs w:val="22"/>
        </w:rPr>
        <w:t xml:space="preserve">, e a nota deve dizê-lo expressamente — </w:t>
      </w:r>
      <w:r>
        <w:rPr>
          <w:rStyle w:val="nfase"/>
          <w:rFonts w:ascii="Georgia" w:hAnsi="Georgia"/>
          <w:color w:val="3A3A3A"/>
          <w:sz w:val="22"/>
          <w:szCs w:val="22"/>
        </w:rPr>
        <w:t>"adota-se, por analogia, o prazo de vinte anos"</w:t>
      </w:r>
      <w:r>
        <w:rPr>
          <w:rFonts w:ascii="Georgia" w:hAnsi="Georgia"/>
          <w:i/>
          <w:iCs/>
          <w:color w:val="3A3A3A"/>
          <w:sz w:val="22"/>
          <w:szCs w:val="22"/>
        </w:rPr>
        <w:t>. Apresentá-la como incidente sobre o caso é impreciso e atacável.</w:t>
      </w:r>
    </w:p>
    <w:p w14:paraId="74BF6112" w14:textId="77777777" w:rsidR="003E022E" w:rsidRDefault="003E022E">
      <w:pPr>
        <w:shd w:val="clear" w:color="auto" w:fill="F7F6F1"/>
        <w:spacing w:after="100"/>
        <w:jc w:val="both"/>
        <w:divId w:val="110125323"/>
        <w:rPr>
          <w:rFonts w:ascii="Georgia" w:hAnsi="Georgia"/>
          <w:i/>
          <w:iCs/>
          <w:color w:val="3A3A3A"/>
          <w:sz w:val="22"/>
          <w:szCs w:val="22"/>
        </w:rPr>
      </w:pPr>
      <w:r>
        <w:rPr>
          <w:rStyle w:val="Forte"/>
          <w:rFonts w:ascii="Georgia" w:hAnsi="Georgia"/>
          <w:i/>
          <w:iCs/>
          <w:sz w:val="22"/>
          <w:szCs w:val="22"/>
        </w:rPr>
        <w:t>(b) "Anonimização" é o termo errado para o que o sistema faz.</w:t>
      </w:r>
      <w:r>
        <w:rPr>
          <w:rFonts w:ascii="Georgia" w:hAnsi="Georgia"/>
          <w:i/>
          <w:iCs/>
          <w:color w:val="3A3A3A"/>
          <w:sz w:val="22"/>
          <w:szCs w:val="22"/>
        </w:rPr>
        <w:t xml:space="preserve"> Manter iniciais do nome e CPF mascarado ao lado de município e histórico de vínculos </w:t>
      </w:r>
      <w:r>
        <w:rPr>
          <w:rStyle w:val="Forte"/>
          <w:rFonts w:ascii="Georgia" w:hAnsi="Georgia"/>
          <w:i/>
          <w:iCs/>
          <w:sz w:val="22"/>
          <w:szCs w:val="22"/>
        </w:rPr>
        <w:t>muito provavelmente permite reidentificar o titular</w:t>
      </w:r>
      <w:r>
        <w:rPr>
          <w:rFonts w:ascii="Georgia" w:hAnsi="Georgia"/>
          <w:i/>
          <w:iCs/>
          <w:color w:val="3A3A3A"/>
          <w:sz w:val="22"/>
          <w:szCs w:val="22"/>
        </w:rPr>
        <w:t xml:space="preserve"> por meios razoáveis. Nesse caso o dado é </w:t>
      </w:r>
      <w:r>
        <w:rPr>
          <w:rStyle w:val="Forte"/>
          <w:rFonts w:ascii="Georgia" w:hAnsi="Georgia"/>
          <w:i/>
          <w:iCs/>
          <w:sz w:val="22"/>
          <w:szCs w:val="22"/>
        </w:rPr>
        <w:t>pseudonimizado</w:t>
      </w:r>
      <w:r>
        <w:rPr>
          <w:rFonts w:ascii="Georgia" w:hAnsi="Georgia"/>
          <w:i/>
          <w:iCs/>
          <w:color w:val="3A3A3A"/>
          <w:sz w:val="22"/>
          <w:szCs w:val="22"/>
        </w:rPr>
        <w:t xml:space="preserve">, não anonimizado, e </w:t>
      </w:r>
      <w:r>
        <w:rPr>
          <w:rStyle w:val="Forte"/>
          <w:rFonts w:ascii="Georgia" w:hAnsi="Georgia"/>
          <w:i/>
          <w:iCs/>
          <w:sz w:val="22"/>
          <w:szCs w:val="22"/>
        </w:rPr>
        <w:t>permanece sob a LGPD</w:t>
      </w:r>
      <w:r>
        <w:rPr>
          <w:rFonts w:ascii="Georgia" w:hAnsi="Georgia"/>
          <w:i/>
          <w:iCs/>
          <w:color w:val="3A3A3A"/>
          <w:sz w:val="22"/>
          <w:szCs w:val="22"/>
        </w:rPr>
        <w:t xml:space="preserve"> (art. 5º, XI; art. 12). Isso não invalida a política — invalida apenas a promessa. Recomendo que a nota fale em </w:t>
      </w:r>
      <w:r>
        <w:rPr>
          <w:rStyle w:val="Forte"/>
          <w:rFonts w:ascii="Georgia" w:hAnsi="Georgia"/>
          <w:i/>
          <w:iCs/>
          <w:sz w:val="22"/>
          <w:szCs w:val="22"/>
        </w:rPr>
        <w:t>redução a dados mínimos com pseudonimização e restrição de acesso</w:t>
      </w:r>
      <w:r>
        <w:rPr>
          <w:rFonts w:ascii="Georgia" w:hAnsi="Georgia"/>
          <w:i/>
          <w:iCs/>
          <w:color w:val="3A3A3A"/>
          <w:sz w:val="22"/>
          <w:szCs w:val="22"/>
        </w:rPr>
        <w:t>, que é sustentável, em vez de prometer anonimização, que não é.</w:t>
      </w:r>
    </w:p>
    <w:p w14:paraId="6CFBDD88" w14:textId="77777777" w:rsidR="003E022E" w:rsidRDefault="003E022E">
      <w:pPr>
        <w:spacing w:before="320" w:after="320"/>
        <w:rPr>
          <w:rFonts w:ascii="Georgia" w:eastAsia="Times New Roman" w:hAnsi="Georgia"/>
          <w:color w:val="262626"/>
          <w:sz w:val="22"/>
          <w:szCs w:val="22"/>
        </w:rPr>
      </w:pPr>
      <w:r>
        <w:rPr>
          <w:rFonts w:ascii="Georgia" w:eastAsia="Times New Roman" w:hAnsi="Georgia"/>
          <w:color w:val="262626"/>
          <w:sz w:val="22"/>
          <w:szCs w:val="22"/>
        </w:rPr>
        <w:pict w14:anchorId="1B20DAB8">
          <v:rect id="_x0000_i1033" style="width:0;height:1.5pt" o:hralign="center" o:hrstd="t" o:hr="t" fillcolor="#a0a0a0" stroked="f"/>
        </w:pict>
      </w:r>
    </w:p>
    <w:p w14:paraId="156E9D20" w14:textId="77777777" w:rsidR="003E022E" w:rsidRDefault="003E022E">
      <w:pPr>
        <w:pStyle w:val="Ttulo2"/>
        <w:rPr>
          <w:rFonts w:ascii="Georgia" w:eastAsia="Times New Roman" w:hAnsi="Georgia"/>
        </w:rPr>
      </w:pPr>
      <w:r>
        <w:rPr>
          <w:rFonts w:ascii="Georgia" w:eastAsia="Times New Roman" w:hAnsi="Georgia"/>
        </w:rPr>
        <w:t>10. Direitos do titular</w:t>
      </w:r>
    </w:p>
    <w:p w14:paraId="4F8E8BB2" w14:textId="77777777" w:rsidR="003E022E" w:rsidRDefault="003E022E">
      <w:pPr>
        <w:pStyle w:val="NormalWeb"/>
        <w:rPr>
          <w:rFonts w:ascii="Georgia" w:hAnsi="Georgia"/>
          <w:color w:val="262626"/>
          <w:sz w:val="22"/>
          <w:szCs w:val="22"/>
        </w:rPr>
      </w:pPr>
      <w:r>
        <w:rPr>
          <w:rFonts w:ascii="Georgia" w:hAnsi="Georgia"/>
          <w:color w:val="262626"/>
          <w:sz w:val="22"/>
          <w:szCs w:val="22"/>
        </w:rPr>
        <w:t xml:space="preserve">Ficam assegurados os direitos do </w:t>
      </w:r>
      <w:r>
        <w:rPr>
          <w:rStyle w:val="Forte"/>
          <w:rFonts w:ascii="Georgia" w:hAnsi="Georgia"/>
          <w:sz w:val="22"/>
          <w:szCs w:val="22"/>
        </w:rPr>
        <w:t>art. 18</w:t>
      </w:r>
      <w:r>
        <w:rPr>
          <w:rFonts w:ascii="Georgia" w:hAnsi="Georgia"/>
          <w:color w:val="262626"/>
          <w:sz w:val="22"/>
          <w:szCs w:val="22"/>
        </w:rPr>
        <w:t xml:space="preserve"> da LGPD — confirmação, acesso, correção, anonimização/bloqueio/eliminação, portabilidade, informação sobre compartilhamento e revogação de consentimento, no que couber.</w:t>
      </w:r>
    </w:p>
    <w:p w14:paraId="2A9218E9" w14:textId="77777777" w:rsidR="003E022E" w:rsidRDefault="003E022E">
      <w:pPr>
        <w:pStyle w:val="NormalWeb"/>
        <w:rPr>
          <w:rFonts w:ascii="Georgia" w:hAnsi="Georgia"/>
          <w:color w:val="262626"/>
          <w:sz w:val="22"/>
          <w:szCs w:val="22"/>
        </w:rPr>
      </w:pPr>
      <w:r>
        <w:rPr>
          <w:rStyle w:val="Forte"/>
          <w:rFonts w:ascii="Georgia" w:hAnsi="Georgia"/>
          <w:sz w:val="22"/>
          <w:szCs w:val="22"/>
        </w:rPr>
        <w:t>Canais:</w:t>
      </w:r>
    </w:p>
    <w:p w14:paraId="41D2760A" w14:textId="77777777" w:rsidR="003E022E" w:rsidRDefault="003E022E">
      <w:pPr>
        <w:numPr>
          <w:ilvl w:val="0"/>
          <w:numId w:val="6"/>
        </w:numPr>
        <w:spacing w:before="100" w:beforeAutospacing="1" w:after="60"/>
        <w:rPr>
          <w:rFonts w:ascii="Georgia" w:eastAsia="Times New Roman" w:hAnsi="Georgia"/>
          <w:color w:val="262626"/>
          <w:sz w:val="22"/>
          <w:szCs w:val="22"/>
        </w:rPr>
      </w:pPr>
      <w:r>
        <w:rPr>
          <w:rStyle w:val="cod1"/>
          <w:rFonts w:eastAsia="Times New Roman"/>
          <w:b/>
          <w:bCs/>
          <w:color w:val="1F1F1F"/>
        </w:rPr>
        <w:t>juridico@sindcompassos.org</w:t>
      </w:r>
    </w:p>
    <w:p w14:paraId="42073DD7" w14:textId="77777777" w:rsidR="003E022E" w:rsidRDefault="003E022E">
      <w:pPr>
        <w:numPr>
          <w:ilvl w:val="0"/>
          <w:numId w:val="6"/>
        </w:numPr>
        <w:spacing w:before="100" w:beforeAutospacing="1" w:after="60"/>
        <w:rPr>
          <w:rFonts w:ascii="Georgia" w:eastAsia="Times New Roman" w:hAnsi="Georgia"/>
          <w:color w:val="262626"/>
          <w:sz w:val="22"/>
          <w:szCs w:val="22"/>
        </w:rPr>
      </w:pPr>
      <w:r>
        <w:rPr>
          <w:rStyle w:val="Forte"/>
          <w:rFonts w:ascii="Georgia" w:eastAsia="Times New Roman" w:hAnsi="Georgia"/>
          <w:sz w:val="22"/>
          <w:szCs w:val="22"/>
        </w:rPr>
        <w:t>WhatsApp do setor jurídico: (35) 98827-0406</w:t>
      </w:r>
      <w:r>
        <w:rPr>
          <w:rFonts w:ascii="Georgia" w:eastAsia="Times New Roman" w:hAnsi="Georgia"/>
          <w:color w:val="262626"/>
          <w:sz w:val="22"/>
          <w:szCs w:val="22"/>
        </w:rPr>
        <w:t xml:space="preserve">, já divulgado em </w:t>
      </w:r>
      <w:r>
        <w:rPr>
          <w:rStyle w:val="cod1"/>
          <w:rFonts w:eastAsia="Times New Roman"/>
          <w:color w:val="262626"/>
        </w:rPr>
        <w:t>sindcompassos.org/servicos-sindicais/#consultas</w:t>
      </w:r>
    </w:p>
    <w:p w14:paraId="2ADC43A3" w14:textId="77777777" w:rsidR="003E022E" w:rsidRDefault="003E022E">
      <w:pPr>
        <w:numPr>
          <w:ilvl w:val="0"/>
          <w:numId w:val="6"/>
        </w:numPr>
        <w:spacing w:before="100" w:beforeAutospacing="1" w:after="60"/>
        <w:rPr>
          <w:rFonts w:ascii="Georgia" w:eastAsia="Times New Roman" w:hAnsi="Georgia"/>
          <w:color w:val="262626"/>
          <w:sz w:val="22"/>
          <w:szCs w:val="22"/>
        </w:rPr>
      </w:pPr>
      <w:r>
        <w:rPr>
          <w:rFonts w:ascii="Georgia" w:eastAsia="Times New Roman" w:hAnsi="Georgia"/>
          <w:color w:val="262626"/>
          <w:sz w:val="22"/>
          <w:szCs w:val="22"/>
        </w:rPr>
        <w:t>atendimento presencial na sede, Av. dos Expedicionários, 137, Centro, Passos/MG</w:t>
      </w:r>
    </w:p>
    <w:p w14:paraId="5F1B9895" w14:textId="77777777" w:rsidR="003E022E" w:rsidRDefault="003E022E">
      <w:pPr>
        <w:pStyle w:val="NormalWeb"/>
        <w:rPr>
          <w:rFonts w:ascii="Georgia" w:hAnsi="Georgia"/>
          <w:color w:val="262626"/>
          <w:sz w:val="22"/>
          <w:szCs w:val="22"/>
        </w:rPr>
      </w:pPr>
      <w:r>
        <w:rPr>
          <w:rStyle w:val="Forte"/>
          <w:rFonts w:ascii="Georgia" w:hAnsi="Georgia"/>
          <w:sz w:val="22"/>
          <w:szCs w:val="22"/>
        </w:rPr>
        <w:t>[VERIFICAR — decisão do Dr. Adenilson]</w:t>
      </w:r>
      <w:r>
        <w:rPr>
          <w:rFonts w:ascii="Georgia" w:hAnsi="Georgia"/>
          <w:color w:val="262626"/>
          <w:sz w:val="22"/>
          <w:szCs w:val="22"/>
        </w:rPr>
        <w:t xml:space="preserve"> Encarregado pelo tratamento de dados (LGPD, art. 41): o SINDCOM não possui encarregado designado. Propõe-se atribuir a função ao próprio setor jurídico. A designação exige </w:t>
      </w:r>
      <w:r>
        <w:rPr>
          <w:rStyle w:val="Forte"/>
          <w:rFonts w:ascii="Georgia" w:hAnsi="Georgia"/>
          <w:sz w:val="22"/>
          <w:szCs w:val="22"/>
        </w:rPr>
        <w:t>divulgação pública da identidade e do contato</w:t>
      </w:r>
      <w:r>
        <w:rPr>
          <w:rFonts w:ascii="Georgia" w:hAnsi="Georgia"/>
          <w:color w:val="262626"/>
          <w:sz w:val="22"/>
          <w:szCs w:val="22"/>
        </w:rPr>
        <w:t xml:space="preserve"> do encarregado, que se torna canal de comunicação com titulares </w:t>
      </w:r>
      <w:r>
        <w:rPr>
          <w:rStyle w:val="Forte"/>
          <w:rFonts w:ascii="Georgia" w:hAnsi="Georgia"/>
          <w:sz w:val="22"/>
          <w:szCs w:val="22"/>
        </w:rPr>
        <w:t>e com a ANPD</w:t>
      </w:r>
      <w:r>
        <w:rPr>
          <w:rFonts w:ascii="Georgia" w:hAnsi="Georgia"/>
          <w:color w:val="262626"/>
          <w:sz w:val="22"/>
          <w:szCs w:val="22"/>
        </w:rPr>
        <w:t xml:space="preserve"> </w:t>
      </w:r>
      <w:r>
        <w:rPr>
          <w:rFonts w:ascii="Georgia" w:hAnsi="Georgia"/>
          <w:color w:val="262626"/>
          <w:sz w:val="22"/>
          <w:szCs w:val="22"/>
        </w:rPr>
        <w:t>— razão pela qual a aceitação do encargo, e a definição de qual canal se torna oficial, são decisões dele.</w:t>
      </w:r>
    </w:p>
    <w:p w14:paraId="40B97A33" w14:textId="77777777" w:rsidR="003E022E" w:rsidRDefault="003E022E">
      <w:pPr>
        <w:spacing w:before="320" w:after="320"/>
        <w:rPr>
          <w:rFonts w:ascii="Georgia" w:eastAsia="Times New Roman" w:hAnsi="Georgia"/>
          <w:color w:val="262626"/>
          <w:sz w:val="22"/>
          <w:szCs w:val="22"/>
        </w:rPr>
      </w:pPr>
      <w:r>
        <w:rPr>
          <w:rFonts w:ascii="Georgia" w:eastAsia="Times New Roman" w:hAnsi="Georgia"/>
          <w:color w:val="262626"/>
          <w:sz w:val="22"/>
          <w:szCs w:val="22"/>
        </w:rPr>
        <w:pict w14:anchorId="56738030">
          <v:rect id="_x0000_i1034" style="width:0;height:1.5pt" o:hralign="center" o:hrstd="t" o:hr="t" fillcolor="#a0a0a0" stroked="f"/>
        </w:pict>
      </w:r>
    </w:p>
    <w:p w14:paraId="2691C9D9" w14:textId="77777777" w:rsidR="003E022E" w:rsidRDefault="003E022E">
      <w:pPr>
        <w:pStyle w:val="Ttulo2"/>
        <w:rPr>
          <w:rFonts w:ascii="Georgia" w:eastAsia="Times New Roman" w:hAnsi="Georgia"/>
        </w:rPr>
      </w:pPr>
      <w:r>
        <w:rPr>
          <w:rFonts w:ascii="Georgia" w:eastAsia="Times New Roman" w:hAnsi="Georgia"/>
        </w:rPr>
        <w:t>11. Conclusão</w:t>
      </w:r>
    </w:p>
    <w:p w14:paraId="41F96312" w14:textId="77777777" w:rsidR="003E022E" w:rsidRDefault="003E022E">
      <w:pPr>
        <w:numPr>
          <w:ilvl w:val="0"/>
          <w:numId w:val="7"/>
        </w:numPr>
        <w:spacing w:before="100" w:beforeAutospacing="1" w:after="60"/>
        <w:rPr>
          <w:rFonts w:ascii="Georgia" w:eastAsia="Times New Roman" w:hAnsi="Georgia"/>
          <w:color w:val="262626"/>
          <w:sz w:val="22"/>
          <w:szCs w:val="22"/>
        </w:rPr>
      </w:pPr>
      <w:r>
        <w:rPr>
          <w:rFonts w:ascii="Georgia" w:eastAsia="Times New Roman" w:hAnsi="Georgia"/>
          <w:color w:val="262626"/>
          <w:sz w:val="22"/>
          <w:szCs w:val="22"/>
        </w:rPr>
        <w:t>O SINDCOM tem fundamento constitucional e legal para conhecer os dados dos trabalhadores que representa (CF art. 8º, III; CLT art. 513, "a" e "e"), com base no art. 11, II, "d" da LGPD quanto ao dado sensível.</w:t>
      </w:r>
    </w:p>
    <w:p w14:paraId="175A9032" w14:textId="77777777" w:rsidR="003E022E" w:rsidRDefault="003E022E">
      <w:pPr>
        <w:numPr>
          <w:ilvl w:val="0"/>
          <w:numId w:val="7"/>
        </w:numPr>
        <w:spacing w:before="100" w:beforeAutospacing="1" w:after="60"/>
        <w:rPr>
          <w:rFonts w:ascii="Georgia" w:eastAsia="Times New Roman" w:hAnsi="Georgia"/>
          <w:color w:val="262626"/>
          <w:sz w:val="22"/>
          <w:szCs w:val="22"/>
        </w:rPr>
      </w:pPr>
      <w:r>
        <w:rPr>
          <w:rFonts w:ascii="Georgia" w:eastAsia="Times New Roman" w:hAnsi="Georgia"/>
          <w:color w:val="262626"/>
          <w:sz w:val="22"/>
          <w:szCs w:val="22"/>
        </w:rPr>
        <w:t xml:space="preserve">As empresas e contabilidades têm </w:t>
      </w:r>
      <w:r>
        <w:rPr>
          <w:rStyle w:val="Forte"/>
          <w:rFonts w:ascii="Georgia" w:eastAsia="Times New Roman" w:hAnsi="Georgia"/>
          <w:sz w:val="22"/>
          <w:szCs w:val="22"/>
        </w:rPr>
        <w:t>dever convencional expresso</w:t>
      </w:r>
      <w:r>
        <w:rPr>
          <w:rFonts w:ascii="Georgia" w:eastAsia="Times New Roman" w:hAnsi="Georgia"/>
          <w:color w:val="262626"/>
          <w:sz w:val="22"/>
          <w:szCs w:val="22"/>
        </w:rPr>
        <w:t xml:space="preserve"> </w:t>
      </w:r>
      <w:r>
        <w:rPr>
          <w:rFonts w:ascii="Georgia" w:eastAsia="Times New Roman" w:hAnsi="Georgia"/>
          <w:color w:val="262626"/>
          <w:sz w:val="22"/>
          <w:szCs w:val="22"/>
        </w:rPr>
        <w:t>de encaminhar as relações de empregados e os comprovantes de recolhimento, com base própria no art. 11, II, "a" e no art. 7º, II da LGPD.</w:t>
      </w:r>
    </w:p>
    <w:p w14:paraId="085A7BCD" w14:textId="77777777" w:rsidR="003E022E" w:rsidRDefault="003E022E">
      <w:pPr>
        <w:numPr>
          <w:ilvl w:val="0"/>
          <w:numId w:val="7"/>
        </w:numPr>
        <w:spacing w:before="100" w:beforeAutospacing="1" w:after="60"/>
        <w:rPr>
          <w:rFonts w:ascii="Georgia" w:eastAsia="Times New Roman" w:hAnsi="Georgia"/>
          <w:color w:val="262626"/>
          <w:sz w:val="22"/>
          <w:szCs w:val="22"/>
        </w:rPr>
      </w:pPr>
      <w:r>
        <w:rPr>
          <w:rFonts w:ascii="Georgia" w:eastAsia="Times New Roman" w:hAnsi="Georgia"/>
          <w:color w:val="262626"/>
          <w:sz w:val="22"/>
          <w:szCs w:val="22"/>
        </w:rPr>
        <w:t xml:space="preserve">O dado sobre oposição é tratado </w:t>
      </w:r>
      <w:r>
        <w:rPr>
          <w:rStyle w:val="Forte"/>
          <w:rFonts w:ascii="Georgia" w:eastAsia="Times New Roman" w:hAnsi="Georgia"/>
          <w:sz w:val="22"/>
          <w:szCs w:val="22"/>
        </w:rPr>
        <w:t>para que o Sindicato deixe de cobrar</w:t>
      </w:r>
      <w:r>
        <w:rPr>
          <w:rFonts w:ascii="Georgia" w:eastAsia="Times New Roman" w:hAnsi="Georgia"/>
          <w:color w:val="262626"/>
          <w:sz w:val="22"/>
          <w:szCs w:val="22"/>
        </w:rPr>
        <w:t xml:space="preserve"> de quem se opôs, sendo condição de legalidade da cobrança segundo o Tema 935 do STF.</w:t>
      </w:r>
    </w:p>
    <w:p w14:paraId="124C0C57" w14:textId="77777777" w:rsidR="003E022E" w:rsidRDefault="003E022E">
      <w:pPr>
        <w:numPr>
          <w:ilvl w:val="0"/>
          <w:numId w:val="7"/>
        </w:numPr>
        <w:spacing w:before="100" w:beforeAutospacing="1" w:after="60"/>
        <w:rPr>
          <w:rFonts w:ascii="Georgia" w:eastAsia="Times New Roman" w:hAnsi="Georgia"/>
          <w:color w:val="262626"/>
          <w:sz w:val="22"/>
          <w:szCs w:val="22"/>
        </w:rPr>
      </w:pPr>
      <w:r>
        <w:rPr>
          <w:rFonts w:ascii="Georgia" w:eastAsia="Times New Roman" w:hAnsi="Georgia"/>
          <w:color w:val="262626"/>
          <w:sz w:val="22"/>
          <w:szCs w:val="22"/>
        </w:rPr>
        <w:t>A recusa injustificada configura descumprimento de norma coletiva, com as consequências nela previstas.</w:t>
      </w:r>
    </w:p>
    <w:p w14:paraId="0A82272C" w14:textId="77777777" w:rsidR="003E022E" w:rsidRDefault="003E022E">
      <w:pPr>
        <w:numPr>
          <w:ilvl w:val="0"/>
          <w:numId w:val="7"/>
        </w:numPr>
        <w:spacing w:before="100" w:beforeAutospacing="1" w:after="60"/>
        <w:rPr>
          <w:rFonts w:ascii="Georgia" w:eastAsia="Times New Roman" w:hAnsi="Georgia"/>
          <w:color w:val="262626"/>
          <w:sz w:val="22"/>
          <w:szCs w:val="22"/>
        </w:rPr>
      </w:pPr>
      <w:r>
        <w:rPr>
          <w:rFonts w:ascii="Georgia" w:eastAsia="Times New Roman" w:hAnsi="Georgia"/>
          <w:color w:val="262626"/>
          <w:sz w:val="22"/>
          <w:szCs w:val="22"/>
        </w:rPr>
        <w:t>O tratamento observa finalidade, necessidade e segurança, com medidas técnicas verificáveis e revisão humana obrigatória.</w:t>
      </w:r>
    </w:p>
    <w:p w14:paraId="3E2573FD" w14:textId="77777777" w:rsidR="003E022E" w:rsidRDefault="003E022E">
      <w:pPr>
        <w:spacing w:before="320" w:after="320"/>
        <w:rPr>
          <w:rFonts w:ascii="Georgia" w:eastAsia="Times New Roman" w:hAnsi="Georgia"/>
          <w:color w:val="262626"/>
          <w:sz w:val="22"/>
          <w:szCs w:val="22"/>
        </w:rPr>
      </w:pPr>
      <w:r>
        <w:rPr>
          <w:rFonts w:ascii="Georgia" w:eastAsia="Times New Roman" w:hAnsi="Georgia"/>
          <w:color w:val="262626"/>
          <w:sz w:val="22"/>
          <w:szCs w:val="22"/>
        </w:rPr>
        <w:pict w14:anchorId="280985E2">
          <v:rect id="_x0000_i1035" style="width:0;height:1.5pt" o:hralign="center" o:hrstd="t" o:hr="t" fillcolor="#a0a0a0" stroked="f"/>
        </w:pict>
      </w:r>
    </w:p>
    <w:p w14:paraId="3DDF82CF" w14:textId="77777777" w:rsidR="003E022E" w:rsidRDefault="003E022E">
      <w:pPr>
        <w:pStyle w:val="Ttulo2"/>
        <w:rPr>
          <w:rFonts w:ascii="Georgia" w:eastAsia="Times New Roman" w:hAnsi="Georgia"/>
        </w:rPr>
      </w:pPr>
      <w:r>
        <w:rPr>
          <w:rFonts w:ascii="Georgia" w:eastAsia="Times New Roman" w:hAnsi="Georgia"/>
        </w:rPr>
        <w:t>12. Pendências desta minuta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7"/>
        <w:gridCol w:w="8111"/>
      </w:tblGrid>
      <w:tr w:rsidR="00000000" w14:paraId="2E97BBDC" w14:textId="77777777">
        <w:trPr>
          <w:tblHeader/>
        </w:trPr>
        <w:tc>
          <w:tcPr>
            <w:tcW w:w="0" w:type="auto"/>
            <w:tcBorders>
              <w:top w:val="single" w:sz="6" w:space="0" w:color="B9B6AA"/>
              <w:left w:val="single" w:sz="6" w:space="0" w:color="B9B6AA"/>
              <w:bottom w:val="single" w:sz="6" w:space="0" w:color="B9B6AA"/>
              <w:right w:val="single" w:sz="6" w:space="0" w:color="B9B6AA"/>
            </w:tcBorders>
            <w:shd w:val="clear" w:color="auto" w:fill="EFEEE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42AA0721" w14:textId="77777777" w:rsidR="003E022E" w:rsidRDefault="003E022E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42424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424242"/>
                <w:sz w:val="19"/>
                <w:szCs w:val="19"/>
              </w:rPr>
              <w:t>#</w:t>
            </w:r>
          </w:p>
        </w:tc>
        <w:tc>
          <w:tcPr>
            <w:tcW w:w="0" w:type="auto"/>
            <w:tcBorders>
              <w:top w:val="single" w:sz="6" w:space="0" w:color="B9B6AA"/>
              <w:left w:val="single" w:sz="6" w:space="0" w:color="B9B6AA"/>
              <w:bottom w:val="single" w:sz="6" w:space="0" w:color="B9B6AA"/>
              <w:right w:val="single" w:sz="6" w:space="0" w:color="B9B6AA"/>
            </w:tcBorders>
            <w:shd w:val="clear" w:color="auto" w:fill="EFEEE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0FE06537" w14:textId="77777777" w:rsidR="003E022E" w:rsidRDefault="003E022E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424242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424242"/>
                <w:sz w:val="19"/>
                <w:szCs w:val="19"/>
              </w:rPr>
              <w:t>Pendência</w:t>
            </w:r>
          </w:p>
        </w:tc>
      </w:tr>
      <w:tr w:rsidR="00000000" w14:paraId="768C049F" w14:textId="77777777">
        <w:tc>
          <w:tcPr>
            <w:tcW w:w="0" w:type="auto"/>
            <w:tcBorders>
              <w:top w:val="single" w:sz="6" w:space="0" w:color="D8D5CA"/>
              <w:left w:val="single" w:sz="6" w:space="0" w:color="D8D5CA"/>
              <w:bottom w:val="single" w:sz="6" w:space="0" w:color="D8D5CA"/>
              <w:right w:val="single" w:sz="6" w:space="0" w:color="D8D5CA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0E0EA856" w14:textId="77777777" w:rsidR="003E022E" w:rsidRDefault="003E022E">
            <w:pPr>
              <w:spacing w:before="200" w:after="200"/>
              <w:rPr>
                <w:rFonts w:ascii="Calibri" w:eastAsia="Times New Roman" w:hAnsi="Calibri" w:cs="Calibri"/>
                <w:color w:val="262626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262626"/>
                <w:sz w:val="19"/>
                <w:szCs w:val="19"/>
              </w:rPr>
              <w:t>1</w:t>
            </w:r>
          </w:p>
        </w:tc>
        <w:tc>
          <w:tcPr>
            <w:tcW w:w="0" w:type="auto"/>
            <w:tcBorders>
              <w:top w:val="single" w:sz="6" w:space="0" w:color="D8D5CA"/>
              <w:left w:val="single" w:sz="6" w:space="0" w:color="D8D5CA"/>
              <w:bottom w:val="single" w:sz="6" w:space="0" w:color="D8D5CA"/>
              <w:right w:val="single" w:sz="6" w:space="0" w:color="D8D5CA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635CB4AC" w14:textId="77777777" w:rsidR="003E022E" w:rsidRDefault="003E022E">
            <w:pPr>
              <w:spacing w:before="200" w:after="200"/>
              <w:rPr>
                <w:rFonts w:ascii="Calibri" w:eastAsia="Times New Roman" w:hAnsi="Calibri" w:cs="Calibri"/>
                <w:color w:val="262626"/>
                <w:sz w:val="19"/>
                <w:szCs w:val="19"/>
              </w:rPr>
            </w:pPr>
            <w:r>
              <w:rPr>
                <w:rStyle w:val="Forte"/>
                <w:rFonts w:ascii="Calibri" w:eastAsia="Times New Roman" w:hAnsi="Calibri" w:cs="Calibri"/>
                <w:sz w:val="19"/>
                <w:szCs w:val="19"/>
              </w:rPr>
              <w:t>Duas CCTs não puderam ser lidas</w:t>
            </w:r>
            <w:r>
              <w:rPr>
                <w:rFonts w:ascii="Calibri" w:eastAsia="Times New Roman" w:hAnsi="Calibri" w:cs="Calibri"/>
                <w:color w:val="262626"/>
                <w:sz w:val="19"/>
                <w:szCs w:val="19"/>
              </w:rPr>
              <w:t xml:space="preserve"> — </w:t>
            </w:r>
            <w:r>
              <w:rPr>
                <w:rStyle w:val="cod1"/>
                <w:rFonts w:eastAsia="Times New Roman" w:cs="Calibri"/>
                <w:color w:val="262626"/>
              </w:rPr>
              <w:t>Sincovaga Alimentício</w:t>
            </w:r>
            <w:r>
              <w:rPr>
                <w:rFonts w:ascii="Calibri" w:eastAsia="Times New Roman" w:hAnsi="Calibri" w:cs="Calibri"/>
                <w:color w:val="262626"/>
                <w:sz w:val="19"/>
                <w:szCs w:val="19"/>
              </w:rPr>
              <w:t xml:space="preserve"> e </w:t>
            </w:r>
            <w:r>
              <w:rPr>
                <w:rStyle w:val="cod1"/>
                <w:rFonts w:eastAsia="Times New Roman" w:cs="Calibri"/>
                <w:color w:val="262626"/>
              </w:rPr>
              <w:t>SinPas Varejista</w:t>
            </w:r>
            <w:r>
              <w:rPr>
                <w:rFonts w:ascii="Calibri" w:eastAsia="Times New Roman" w:hAnsi="Calibri" w:cs="Calibri"/>
                <w:color w:val="262626"/>
                <w:sz w:val="19"/>
                <w:szCs w:val="19"/>
              </w:rPr>
              <w:t xml:space="preserve"> são PDFs digitalizados, sem camada de texto, e o ambiente não dispõe de OCR. </w:t>
            </w:r>
            <w:r>
              <w:rPr>
                <w:rStyle w:val="Forte"/>
                <w:rFonts w:ascii="Calibri" w:eastAsia="Times New Roman" w:hAnsi="Calibri" w:cs="Calibri"/>
                <w:sz w:val="19"/>
                <w:szCs w:val="19"/>
              </w:rPr>
              <w:t>A cláusula precisa ser localizada manualmente nelas</w:t>
            </w:r>
            <w:r>
              <w:rPr>
                <w:rFonts w:ascii="Calibri" w:eastAsia="Times New Roman" w:hAnsi="Calibri" w:cs="Calibri"/>
                <w:color w:val="262626"/>
                <w:sz w:val="19"/>
                <w:szCs w:val="19"/>
              </w:rPr>
              <w:t>, ou os arquivos reenviados com texto pesquisável. Até lá, o §5.1 cobre 3 das 5 CCTs.</w:t>
            </w:r>
          </w:p>
        </w:tc>
      </w:tr>
      <w:tr w:rsidR="00000000" w14:paraId="0BEA29DA" w14:textId="77777777">
        <w:tc>
          <w:tcPr>
            <w:tcW w:w="0" w:type="auto"/>
            <w:tcBorders>
              <w:top w:val="single" w:sz="6" w:space="0" w:color="D8D5CA"/>
              <w:left w:val="single" w:sz="6" w:space="0" w:color="D8D5CA"/>
              <w:bottom w:val="single" w:sz="6" w:space="0" w:color="D8D5CA"/>
              <w:right w:val="single" w:sz="6" w:space="0" w:color="D8D5CA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49A354E" w14:textId="77777777" w:rsidR="003E022E" w:rsidRDefault="003E022E">
            <w:pPr>
              <w:spacing w:before="200" w:after="200"/>
              <w:rPr>
                <w:rFonts w:ascii="Calibri" w:eastAsia="Times New Roman" w:hAnsi="Calibri" w:cs="Calibri"/>
                <w:color w:val="262626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262626"/>
                <w:sz w:val="19"/>
                <w:szCs w:val="19"/>
              </w:rPr>
              <w:t>2</w:t>
            </w:r>
          </w:p>
        </w:tc>
        <w:tc>
          <w:tcPr>
            <w:tcW w:w="0" w:type="auto"/>
            <w:tcBorders>
              <w:top w:val="single" w:sz="6" w:space="0" w:color="D8D5CA"/>
              <w:left w:val="single" w:sz="6" w:space="0" w:color="D8D5CA"/>
              <w:bottom w:val="single" w:sz="6" w:space="0" w:color="D8D5CA"/>
              <w:right w:val="single" w:sz="6" w:space="0" w:color="D8D5CA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5AFBE0C1" w14:textId="77777777" w:rsidR="003E022E" w:rsidRDefault="003E022E">
            <w:pPr>
              <w:spacing w:before="200" w:after="200"/>
              <w:rPr>
                <w:rFonts w:ascii="Calibri" w:eastAsia="Times New Roman" w:hAnsi="Calibri" w:cs="Calibri"/>
                <w:color w:val="262626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262626"/>
                <w:sz w:val="19"/>
                <w:szCs w:val="19"/>
              </w:rPr>
              <w:t>Conferir todas as citações legais e jurisprudenciais na fonte</w:t>
            </w:r>
          </w:p>
        </w:tc>
      </w:tr>
      <w:tr w:rsidR="00000000" w14:paraId="6302E3E8" w14:textId="77777777">
        <w:tc>
          <w:tcPr>
            <w:tcW w:w="0" w:type="auto"/>
            <w:tcBorders>
              <w:top w:val="single" w:sz="6" w:space="0" w:color="D8D5CA"/>
              <w:left w:val="single" w:sz="6" w:space="0" w:color="D8D5CA"/>
              <w:bottom w:val="single" w:sz="6" w:space="0" w:color="D8D5CA"/>
              <w:right w:val="single" w:sz="6" w:space="0" w:color="D8D5CA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31544C97" w14:textId="77777777" w:rsidR="003E022E" w:rsidRDefault="003E022E">
            <w:pPr>
              <w:spacing w:before="200" w:after="200"/>
              <w:rPr>
                <w:rFonts w:ascii="Calibri" w:eastAsia="Times New Roman" w:hAnsi="Calibri" w:cs="Calibri"/>
                <w:color w:val="262626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262626"/>
                <w:sz w:val="19"/>
                <w:szCs w:val="19"/>
              </w:rPr>
              <w:t>3</w:t>
            </w:r>
          </w:p>
        </w:tc>
        <w:tc>
          <w:tcPr>
            <w:tcW w:w="0" w:type="auto"/>
            <w:tcBorders>
              <w:top w:val="single" w:sz="6" w:space="0" w:color="D8D5CA"/>
              <w:left w:val="single" w:sz="6" w:space="0" w:color="D8D5CA"/>
              <w:bottom w:val="single" w:sz="6" w:space="0" w:color="D8D5CA"/>
              <w:right w:val="single" w:sz="6" w:space="0" w:color="D8D5CA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0A0AFFC5" w14:textId="77777777" w:rsidR="003E022E" w:rsidRDefault="003E022E">
            <w:pPr>
              <w:spacing w:before="200" w:after="200"/>
              <w:rPr>
                <w:rFonts w:ascii="Calibri" w:eastAsia="Times New Roman" w:hAnsi="Calibri" w:cs="Calibri"/>
                <w:color w:val="262626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262626"/>
                <w:sz w:val="19"/>
                <w:szCs w:val="19"/>
              </w:rPr>
              <w:t>Decidir a extensão do §7.2 (enquadramento antissindical)</w:t>
            </w:r>
          </w:p>
        </w:tc>
      </w:tr>
      <w:tr w:rsidR="00000000" w14:paraId="3C82051B" w14:textId="77777777">
        <w:tc>
          <w:tcPr>
            <w:tcW w:w="0" w:type="auto"/>
            <w:tcBorders>
              <w:top w:val="single" w:sz="6" w:space="0" w:color="D8D5CA"/>
              <w:left w:val="single" w:sz="6" w:space="0" w:color="D8D5CA"/>
              <w:bottom w:val="single" w:sz="6" w:space="0" w:color="D8D5CA"/>
              <w:right w:val="single" w:sz="6" w:space="0" w:color="D8D5CA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00EE3618" w14:textId="77777777" w:rsidR="003E022E" w:rsidRDefault="003E022E">
            <w:pPr>
              <w:spacing w:before="200" w:after="200"/>
              <w:rPr>
                <w:rFonts w:ascii="Calibri" w:eastAsia="Times New Roman" w:hAnsi="Calibri" w:cs="Calibri"/>
                <w:color w:val="262626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262626"/>
                <w:sz w:val="19"/>
                <w:szCs w:val="19"/>
              </w:rPr>
              <w:t>4</w:t>
            </w:r>
          </w:p>
        </w:tc>
        <w:tc>
          <w:tcPr>
            <w:tcW w:w="0" w:type="auto"/>
            <w:tcBorders>
              <w:top w:val="single" w:sz="6" w:space="0" w:color="D8D5CA"/>
              <w:left w:val="single" w:sz="6" w:space="0" w:color="D8D5CA"/>
              <w:bottom w:val="single" w:sz="6" w:space="0" w:color="D8D5CA"/>
              <w:right w:val="single" w:sz="6" w:space="0" w:color="D8D5CA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4D9DDF08" w14:textId="77777777" w:rsidR="003E022E" w:rsidRDefault="003E022E">
            <w:pPr>
              <w:spacing w:before="200" w:after="200"/>
              <w:rPr>
                <w:rFonts w:ascii="Calibri" w:eastAsia="Times New Roman" w:hAnsi="Calibri" w:cs="Calibri"/>
                <w:color w:val="262626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262626"/>
                <w:sz w:val="19"/>
                <w:szCs w:val="19"/>
              </w:rPr>
              <w:t>Confirmar a analogia da Lei 13.787/2018 e a troca de "anonimização" por "pseudonimização" (§9.3)</w:t>
            </w:r>
          </w:p>
        </w:tc>
      </w:tr>
      <w:tr w:rsidR="00000000" w14:paraId="23328ED0" w14:textId="77777777">
        <w:tc>
          <w:tcPr>
            <w:tcW w:w="0" w:type="auto"/>
            <w:tcBorders>
              <w:top w:val="single" w:sz="6" w:space="0" w:color="D8D5CA"/>
              <w:left w:val="single" w:sz="6" w:space="0" w:color="D8D5CA"/>
              <w:bottom w:val="single" w:sz="6" w:space="0" w:color="D8D5CA"/>
              <w:right w:val="single" w:sz="6" w:space="0" w:color="D8D5CA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630AC1E3" w14:textId="77777777" w:rsidR="003E022E" w:rsidRDefault="003E022E">
            <w:pPr>
              <w:spacing w:before="200" w:after="200"/>
              <w:rPr>
                <w:rFonts w:ascii="Calibri" w:eastAsia="Times New Roman" w:hAnsi="Calibri" w:cs="Calibri"/>
                <w:color w:val="262626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262626"/>
                <w:sz w:val="19"/>
                <w:szCs w:val="19"/>
              </w:rPr>
              <w:t>5</w:t>
            </w:r>
          </w:p>
        </w:tc>
        <w:tc>
          <w:tcPr>
            <w:tcW w:w="0" w:type="auto"/>
            <w:tcBorders>
              <w:top w:val="single" w:sz="6" w:space="0" w:color="D8D5CA"/>
              <w:left w:val="single" w:sz="6" w:space="0" w:color="D8D5CA"/>
              <w:bottom w:val="single" w:sz="6" w:space="0" w:color="D8D5CA"/>
              <w:right w:val="single" w:sz="6" w:space="0" w:color="D8D5CA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2EBCFC94" w14:textId="77777777" w:rsidR="003E022E" w:rsidRDefault="003E022E">
            <w:pPr>
              <w:spacing w:before="200" w:after="200"/>
              <w:rPr>
                <w:rFonts w:ascii="Calibri" w:eastAsia="Times New Roman" w:hAnsi="Calibri" w:cs="Calibri"/>
                <w:color w:val="262626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262626"/>
                <w:sz w:val="19"/>
                <w:szCs w:val="19"/>
              </w:rPr>
              <w:t>Aceitação do encargo de encarregado e canal oficial (§10)</w:t>
            </w:r>
          </w:p>
        </w:tc>
      </w:tr>
      <w:tr w:rsidR="00000000" w14:paraId="232828A7" w14:textId="77777777">
        <w:tc>
          <w:tcPr>
            <w:tcW w:w="0" w:type="auto"/>
            <w:tcBorders>
              <w:top w:val="single" w:sz="6" w:space="0" w:color="D8D5CA"/>
              <w:left w:val="single" w:sz="6" w:space="0" w:color="D8D5CA"/>
              <w:bottom w:val="single" w:sz="6" w:space="0" w:color="D8D5CA"/>
              <w:right w:val="single" w:sz="6" w:space="0" w:color="D8D5CA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659D7B41" w14:textId="77777777" w:rsidR="003E022E" w:rsidRDefault="003E022E">
            <w:pPr>
              <w:spacing w:before="200" w:after="200"/>
              <w:rPr>
                <w:rFonts w:ascii="Calibri" w:eastAsia="Times New Roman" w:hAnsi="Calibri" w:cs="Calibri"/>
                <w:color w:val="262626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262626"/>
                <w:sz w:val="19"/>
                <w:szCs w:val="19"/>
              </w:rPr>
              <w:t>6</w:t>
            </w:r>
          </w:p>
        </w:tc>
        <w:tc>
          <w:tcPr>
            <w:tcW w:w="0" w:type="auto"/>
            <w:tcBorders>
              <w:top w:val="single" w:sz="6" w:space="0" w:color="D8D5CA"/>
              <w:left w:val="single" w:sz="6" w:space="0" w:color="D8D5CA"/>
              <w:bottom w:val="single" w:sz="6" w:space="0" w:color="D8D5CA"/>
              <w:right w:val="single" w:sz="6" w:space="0" w:color="D8D5CA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658E6792" w14:textId="77777777" w:rsidR="003E022E" w:rsidRDefault="003E022E">
            <w:pPr>
              <w:spacing w:before="200" w:after="200"/>
              <w:rPr>
                <w:rFonts w:ascii="Calibri" w:eastAsia="Times New Roman" w:hAnsi="Calibri" w:cs="Calibri"/>
                <w:color w:val="262626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262626"/>
                <w:sz w:val="19"/>
                <w:szCs w:val="19"/>
              </w:rPr>
              <w:t xml:space="preserve">Nome completo e inscrição </w:t>
            </w:r>
            <w:r>
              <w:rPr>
                <w:rStyle w:val="Forte"/>
                <w:rFonts w:ascii="Calibri" w:eastAsia="Times New Roman" w:hAnsi="Calibri" w:cs="Calibri"/>
                <w:sz w:val="19"/>
                <w:szCs w:val="19"/>
              </w:rPr>
              <w:t>OAB/MG</w:t>
            </w:r>
            <w:r>
              <w:rPr>
                <w:rFonts w:ascii="Calibri" w:eastAsia="Times New Roman" w:hAnsi="Calibri" w:cs="Calibri"/>
                <w:color w:val="262626"/>
                <w:sz w:val="19"/>
                <w:szCs w:val="19"/>
              </w:rPr>
              <w:t xml:space="preserve"> para a assinatura</w:t>
            </w:r>
          </w:p>
        </w:tc>
      </w:tr>
      <w:tr w:rsidR="00000000" w14:paraId="22085880" w14:textId="77777777">
        <w:tc>
          <w:tcPr>
            <w:tcW w:w="0" w:type="auto"/>
            <w:tcBorders>
              <w:top w:val="single" w:sz="6" w:space="0" w:color="D8D5CA"/>
              <w:left w:val="single" w:sz="6" w:space="0" w:color="D8D5CA"/>
              <w:bottom w:val="single" w:sz="6" w:space="0" w:color="D8D5CA"/>
              <w:right w:val="single" w:sz="6" w:space="0" w:color="D8D5CA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56AC55A0" w14:textId="77777777" w:rsidR="003E022E" w:rsidRDefault="003E022E">
            <w:pPr>
              <w:spacing w:before="200" w:after="200"/>
              <w:rPr>
                <w:rFonts w:ascii="Calibri" w:eastAsia="Times New Roman" w:hAnsi="Calibri" w:cs="Calibri"/>
                <w:color w:val="262626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262626"/>
                <w:sz w:val="19"/>
                <w:szCs w:val="19"/>
              </w:rPr>
              <w:t>7</w:t>
            </w:r>
          </w:p>
        </w:tc>
        <w:tc>
          <w:tcPr>
            <w:tcW w:w="0" w:type="auto"/>
            <w:tcBorders>
              <w:top w:val="single" w:sz="6" w:space="0" w:color="D8D5CA"/>
              <w:left w:val="single" w:sz="6" w:space="0" w:color="D8D5CA"/>
              <w:bottom w:val="single" w:sz="6" w:space="0" w:color="D8D5CA"/>
              <w:right w:val="single" w:sz="6" w:space="0" w:color="D8D5CA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2C5DB57D" w14:textId="77777777" w:rsidR="003E022E" w:rsidRDefault="003E022E">
            <w:pPr>
              <w:spacing w:before="200" w:after="200"/>
              <w:rPr>
                <w:rFonts w:ascii="Calibri" w:eastAsia="Times New Roman" w:hAnsi="Calibri" w:cs="Calibri"/>
                <w:color w:val="262626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262626"/>
                <w:sz w:val="19"/>
                <w:szCs w:val="19"/>
              </w:rPr>
              <w:t xml:space="preserve">Cláusulas dos </w:t>
            </w:r>
            <w:r>
              <w:rPr>
                <w:rStyle w:val="Forte"/>
                <w:rFonts w:ascii="Calibri" w:eastAsia="Times New Roman" w:hAnsi="Calibri" w:cs="Calibri"/>
                <w:sz w:val="19"/>
                <w:szCs w:val="19"/>
              </w:rPr>
              <w:t>22 ACTs</w:t>
            </w:r>
            <w:r>
              <w:rPr>
                <w:rFonts w:ascii="Calibri" w:eastAsia="Times New Roman" w:hAnsi="Calibri" w:cs="Calibri"/>
                <w:color w:val="262626"/>
                <w:sz w:val="19"/>
                <w:szCs w:val="19"/>
              </w:rPr>
              <w:t xml:space="preserve"> não examinadas — a nota trata apenas das CCTs</w:t>
            </w:r>
          </w:p>
        </w:tc>
      </w:tr>
    </w:tbl>
    <w:p w14:paraId="3537E30B" w14:textId="77777777" w:rsidR="003E022E" w:rsidRDefault="003E022E">
      <w:pPr>
        <w:rPr>
          <w:rFonts w:eastAsia="Times New Roman"/>
        </w:rPr>
      </w:pPr>
    </w:p>
    <w:sectPr w:rsidR="003E022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AD6D41"/>
    <w:multiLevelType w:val="multilevel"/>
    <w:tmpl w:val="2ABA86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6062BF3"/>
    <w:multiLevelType w:val="multilevel"/>
    <w:tmpl w:val="752ED8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5FB5A08"/>
    <w:multiLevelType w:val="multilevel"/>
    <w:tmpl w:val="4176CF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68F1925"/>
    <w:multiLevelType w:val="multilevel"/>
    <w:tmpl w:val="A40613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86C0B61"/>
    <w:multiLevelType w:val="multilevel"/>
    <w:tmpl w:val="77EE7F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8AF3803"/>
    <w:multiLevelType w:val="multilevel"/>
    <w:tmpl w:val="F22048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77123A09"/>
    <w:multiLevelType w:val="multilevel"/>
    <w:tmpl w:val="50FC2A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51449868">
    <w:abstractNumId w:val="2"/>
  </w:num>
  <w:num w:numId="2" w16cid:durableId="1168134037">
    <w:abstractNumId w:val="4"/>
  </w:num>
  <w:num w:numId="3" w16cid:durableId="254092200">
    <w:abstractNumId w:val="5"/>
  </w:num>
  <w:num w:numId="4" w16cid:durableId="749502305">
    <w:abstractNumId w:val="1"/>
  </w:num>
  <w:num w:numId="5" w16cid:durableId="1262252299">
    <w:abstractNumId w:val="0"/>
  </w:num>
  <w:num w:numId="6" w16cid:durableId="353850591">
    <w:abstractNumId w:val="6"/>
  </w:num>
  <w:num w:numId="7" w16cid:durableId="172806712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2A72"/>
    <w:rsid w:val="00312A72"/>
    <w:rsid w:val="003E022E"/>
    <w:rsid w:val="00F705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27F84736"/>
  <w15:chartTrackingRefBased/>
  <w15:docId w15:val="{8DEA67D6-639B-4634-8D02-0A1540E069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Ttulo1">
    <w:name w:val="heading 1"/>
    <w:basedOn w:val="Normal"/>
    <w:link w:val="Ttulo1Char"/>
    <w:uiPriority w:val="9"/>
    <w:qFormat/>
    <w:pPr>
      <w:pBdr>
        <w:bottom w:val="single" w:sz="12" w:space="6" w:color="C62828"/>
      </w:pBdr>
      <w:spacing w:before="100" w:beforeAutospacing="1" w:after="240"/>
      <w:outlineLvl w:val="0"/>
    </w:pPr>
    <w:rPr>
      <w:b/>
      <w:bCs/>
      <w:color w:val="C62828"/>
      <w:kern w:val="36"/>
      <w:sz w:val="38"/>
      <w:szCs w:val="38"/>
    </w:rPr>
  </w:style>
  <w:style w:type="paragraph" w:styleId="Ttulo2">
    <w:name w:val="heading 2"/>
    <w:basedOn w:val="Normal"/>
    <w:link w:val="Ttulo2Char"/>
    <w:uiPriority w:val="9"/>
    <w:qFormat/>
    <w:pPr>
      <w:pBdr>
        <w:bottom w:val="single" w:sz="6" w:space="3" w:color="D8D5CA"/>
      </w:pBdr>
      <w:spacing w:before="400" w:after="120"/>
      <w:outlineLvl w:val="1"/>
    </w:pPr>
    <w:rPr>
      <w:b/>
      <w:bCs/>
      <w:color w:val="424242"/>
      <w:sz w:val="29"/>
      <w:szCs w:val="29"/>
    </w:rPr>
  </w:style>
  <w:style w:type="paragraph" w:styleId="Ttulo3">
    <w:name w:val="heading 3"/>
    <w:basedOn w:val="Normal"/>
    <w:link w:val="Ttulo3Char"/>
    <w:uiPriority w:val="9"/>
    <w:qFormat/>
    <w:pPr>
      <w:spacing w:before="300" w:after="80"/>
      <w:outlineLvl w:val="2"/>
    </w:pPr>
    <w:rPr>
      <w:b/>
      <w:bCs/>
      <w:color w:val="424242"/>
      <w:sz w:val="25"/>
      <w:szCs w:val="25"/>
    </w:rPr>
  </w:style>
  <w:style w:type="paragraph" w:styleId="Ttulo4">
    <w:name w:val="heading 4"/>
    <w:basedOn w:val="Normal"/>
    <w:link w:val="Ttulo4Char"/>
    <w:uiPriority w:val="9"/>
    <w:qFormat/>
    <w:pPr>
      <w:spacing w:before="240" w:after="60"/>
      <w:outlineLvl w:val="3"/>
    </w:pPr>
    <w:rPr>
      <w:b/>
      <w:bCs/>
      <w:color w:val="565656"/>
      <w:sz w:val="23"/>
      <w:szCs w:val="23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Hyperlink">
    <w:name w:val="Hyperlink"/>
    <w:basedOn w:val="Fontepargpadro"/>
    <w:uiPriority w:val="99"/>
    <w:semiHidden/>
    <w:unhideWhenUsed/>
    <w:rPr>
      <w:color w:val="C62828"/>
      <w:u w:val="single"/>
    </w:rPr>
  </w:style>
  <w:style w:type="character" w:styleId="HiperlinkVisitado">
    <w:name w:val="FollowedHyperlink"/>
    <w:basedOn w:val="Fontepargpadro"/>
    <w:uiPriority w:val="99"/>
    <w:semiHidden/>
    <w:unhideWhenUsed/>
    <w:rPr>
      <w:color w:val="C62828"/>
      <w:u w:val="single"/>
    </w:rPr>
  </w:style>
  <w:style w:type="character" w:customStyle="1" w:styleId="Ttulo1Char">
    <w:name w:val="Título 1 Char"/>
    <w:basedOn w:val="Fontepargpadro"/>
    <w:link w:val="Ttulo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Pr>
      <w:rFonts w:asciiTheme="minorHAnsi" w:eastAsiaTheme="majorEastAsia" w:hAnsiTheme="minorHAnsi" w:cstheme="majorBidi"/>
      <w:i/>
      <w:iCs/>
      <w:color w:val="0F4761" w:themeColor="accent1" w:themeShade="BF"/>
      <w:sz w:val="24"/>
      <w:szCs w:val="24"/>
    </w:rPr>
  </w:style>
  <w:style w:type="character" w:styleId="Forte">
    <w:name w:val="Strong"/>
    <w:basedOn w:val="Fontepargpadro"/>
    <w:uiPriority w:val="22"/>
    <w:qFormat/>
    <w:rPr>
      <w:b/>
      <w:bCs/>
      <w:color w:val="1F1F1F"/>
    </w:rPr>
  </w:style>
  <w:style w:type="paragraph" w:customStyle="1" w:styleId="msonormal0">
    <w:name w:val="msonormal"/>
    <w:basedOn w:val="Normal"/>
    <w:pPr>
      <w:spacing w:after="160"/>
      <w:jc w:val="both"/>
    </w:pPr>
  </w:style>
  <w:style w:type="paragraph" w:styleId="NormalWeb">
    <w:name w:val="Normal (Web)"/>
    <w:basedOn w:val="Normal"/>
    <w:uiPriority w:val="99"/>
    <w:semiHidden/>
    <w:unhideWhenUsed/>
    <w:pPr>
      <w:spacing w:after="160"/>
      <w:jc w:val="both"/>
    </w:pPr>
  </w:style>
  <w:style w:type="paragraph" w:customStyle="1" w:styleId="cod">
    <w:name w:val="cod"/>
    <w:basedOn w:val="Normal"/>
    <w:pPr>
      <w:shd w:val="clear" w:color="auto" w:fill="F2F1EC"/>
      <w:spacing w:before="100" w:beforeAutospacing="1" w:after="60"/>
    </w:pPr>
    <w:rPr>
      <w:rFonts w:ascii="Consolas" w:hAnsi="Consolas"/>
      <w:sz w:val="19"/>
      <w:szCs w:val="19"/>
    </w:rPr>
  </w:style>
  <w:style w:type="character" w:styleId="nfase">
    <w:name w:val="Emphasis"/>
    <w:basedOn w:val="Fontepargpadro"/>
    <w:uiPriority w:val="20"/>
    <w:qFormat/>
    <w:rPr>
      <w:i/>
      <w:iCs/>
    </w:rPr>
  </w:style>
  <w:style w:type="character" w:customStyle="1" w:styleId="cod1">
    <w:name w:val="cod1"/>
    <w:basedOn w:val="Fontepargpadro"/>
    <w:rPr>
      <w:rFonts w:ascii="Consolas" w:hAnsi="Consolas" w:hint="default"/>
      <w:sz w:val="19"/>
      <w:szCs w:val="19"/>
      <w:shd w:val="clear" w:color="auto" w:fill="F2F1EC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2294590">
      <w:blockQuote w:val="1"/>
      <w:marLeft w:val="240"/>
      <w:marRight w:val="0"/>
      <w:marTop w:val="200"/>
      <w:marBottom w:val="200"/>
      <w:divBdr>
        <w:top w:val="none" w:sz="0" w:space="0" w:color="auto"/>
        <w:left w:val="single" w:sz="18" w:space="12" w:color="C62828"/>
        <w:bottom w:val="none" w:sz="0" w:space="0" w:color="auto"/>
        <w:right w:val="none" w:sz="0" w:space="0" w:color="auto"/>
      </w:divBdr>
    </w:div>
    <w:div w:id="110125323">
      <w:blockQuote w:val="1"/>
      <w:marLeft w:val="240"/>
      <w:marRight w:val="0"/>
      <w:marTop w:val="200"/>
      <w:marBottom w:val="200"/>
      <w:divBdr>
        <w:top w:val="none" w:sz="0" w:space="0" w:color="auto"/>
        <w:left w:val="single" w:sz="18" w:space="12" w:color="C62828"/>
        <w:bottom w:val="none" w:sz="0" w:space="0" w:color="auto"/>
        <w:right w:val="none" w:sz="0" w:space="0" w:color="auto"/>
      </w:divBdr>
    </w:div>
    <w:div w:id="111825406">
      <w:blockQuote w:val="1"/>
      <w:marLeft w:val="240"/>
      <w:marRight w:val="0"/>
      <w:marTop w:val="200"/>
      <w:marBottom w:val="200"/>
      <w:divBdr>
        <w:top w:val="none" w:sz="0" w:space="0" w:color="auto"/>
        <w:left w:val="single" w:sz="18" w:space="12" w:color="C62828"/>
        <w:bottom w:val="none" w:sz="0" w:space="0" w:color="auto"/>
        <w:right w:val="none" w:sz="0" w:space="0" w:color="auto"/>
      </w:divBdr>
    </w:div>
    <w:div w:id="1139614366">
      <w:blockQuote w:val="1"/>
      <w:marLeft w:val="240"/>
      <w:marRight w:val="0"/>
      <w:marTop w:val="200"/>
      <w:marBottom w:val="200"/>
      <w:divBdr>
        <w:top w:val="none" w:sz="0" w:space="0" w:color="auto"/>
        <w:left w:val="single" w:sz="18" w:space="12" w:color="C62828"/>
        <w:bottom w:val="none" w:sz="0" w:space="0" w:color="auto"/>
        <w:right w:val="none" w:sz="0" w:space="0" w:color="auto"/>
      </w:divBdr>
    </w:div>
    <w:div w:id="1147211795">
      <w:blockQuote w:val="1"/>
      <w:marLeft w:val="240"/>
      <w:marRight w:val="0"/>
      <w:marTop w:val="200"/>
      <w:marBottom w:val="200"/>
      <w:divBdr>
        <w:top w:val="none" w:sz="0" w:space="0" w:color="auto"/>
        <w:left w:val="single" w:sz="18" w:space="12" w:color="C62828"/>
        <w:bottom w:val="none" w:sz="0" w:space="0" w:color="auto"/>
        <w:right w:val="none" w:sz="0" w:space="0" w:color="auto"/>
      </w:divBdr>
    </w:div>
    <w:div w:id="1335571515">
      <w:blockQuote w:val="1"/>
      <w:marLeft w:val="240"/>
      <w:marRight w:val="0"/>
      <w:marTop w:val="200"/>
      <w:marBottom w:val="200"/>
      <w:divBdr>
        <w:top w:val="none" w:sz="0" w:space="0" w:color="auto"/>
        <w:left w:val="single" w:sz="18" w:space="12" w:color="C62828"/>
        <w:bottom w:val="none" w:sz="0" w:space="0" w:color="auto"/>
        <w:right w:val="none" w:sz="0" w:space="0" w:color="auto"/>
      </w:divBdr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3040</Words>
  <Characters>16422</Characters>
  <Application>Microsoft Office Word</Application>
  <DocSecurity>4</DocSecurity>
  <Lines>136</Lines>
  <Paragraphs>38</Paragraphs>
  <ScaleCrop>false</ScaleCrop>
  <Company/>
  <LinksUpToDate>false</LinksUpToDate>
  <CharactersWithSpaces>19424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SINDCOM</dc:title>
  <dc:subject/>
  <dc:creator>Maxwell Messias Ribeiro</dc:creator>
  <cp:keywords/>
  <dc:description/>
  <cp:lastModifiedBy>Maxwell Messias Ribeiro</cp:lastModifiedBy>
  <cp:revision>2</cp:revision>
  <dcterms:created xsi:type="dcterms:W3CDTF">2026-08-25T21:07:00Z</dcterms:created>
  <dcterms:modified xsi:type="dcterms:W3CDTF">2026-08-25T21:07:00Z</dcterms:modified>
</cp:coreProperties>
</file>