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06605" w:rsidRDefault="00406605">
      <w:pPr>
        <w:pStyle w:val="Ttulo1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NOTA TÉCNICA RESUMIDA — uma lauda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MINUTA PARA APROVAÇÃO DO JURÍDICO. NÃO PUBLICAR.</w:t>
      </w:r>
      <w:r>
        <w:rPr>
          <w:rFonts w:ascii="Georgia" w:hAnsi="Georgia"/>
          <w:color w:val="262626"/>
          <w:sz w:val="22"/>
          <w:szCs w:val="22"/>
        </w:rPr>
        <w:t xml:space="preserve"> Recorte de </w:t>
      </w:r>
      <w:r>
        <w:rPr>
          <w:rStyle w:val="cod1"/>
          <w:color w:val="262626"/>
        </w:rPr>
        <w:t>01_nota_tecnica_oficial.md</w:t>
      </w:r>
      <w:r>
        <w:rPr>
          <w:rFonts w:ascii="Georgia" w:hAnsi="Georgia"/>
          <w:color w:val="262626"/>
          <w:sz w:val="22"/>
          <w:szCs w:val="22"/>
        </w:rPr>
        <w:t xml:space="preserve">. </w:t>
      </w:r>
      <w:r>
        <w:rPr>
          <w:rStyle w:val="Forte"/>
          <w:rFonts w:ascii="Georgia" w:hAnsi="Georgia"/>
          <w:sz w:val="22"/>
          <w:szCs w:val="22"/>
        </w:rPr>
        <w:t>Toda alteração aprovada na Oficial precisa descer para cá</w:t>
      </w:r>
      <w:r>
        <w:rPr>
          <w:rFonts w:ascii="Georgia" w:hAnsi="Georgia"/>
          <w:color w:val="262626"/>
          <w:sz w:val="22"/>
          <w:szCs w:val="22"/>
        </w:rPr>
        <w:t xml:space="preserve"> — dois textos que divergem sobre o mesmo fundamento são pior que um só.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Destino:</w:t>
      </w:r>
      <w:r>
        <w:rPr>
          <w:rFonts w:ascii="Georgia" w:hAnsi="Georgia"/>
          <w:color w:val="262626"/>
          <w:sz w:val="22"/>
          <w:szCs w:val="22"/>
        </w:rPr>
        <w:t xml:space="preserve"> PDF hospedado no site, </w:t>
      </w:r>
      <w:r>
        <w:rPr>
          <w:rStyle w:val="Forte"/>
          <w:rFonts w:ascii="Georgia" w:hAnsi="Georgia"/>
          <w:sz w:val="22"/>
          <w:szCs w:val="22"/>
        </w:rPr>
        <w:t>acessado por link</w:t>
      </w:r>
      <w:r>
        <w:rPr>
          <w:rFonts w:ascii="Georgia" w:hAnsi="Georgia"/>
          <w:color w:val="262626"/>
          <w:sz w:val="22"/>
          <w:szCs w:val="22"/>
        </w:rPr>
        <w:t xml:space="preserve"> no corpo dos e-mails da campanha. </w:t>
      </w:r>
      <w:r>
        <w:rPr>
          <w:rStyle w:val="Forte"/>
          <w:rFonts w:ascii="Georgia" w:hAnsi="Georgia"/>
          <w:sz w:val="22"/>
          <w:szCs w:val="22"/>
        </w:rPr>
        <w:t>Não vai como anexo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>— decisão de Maxwell em 2026-08-25, alinhada ao critério de qualidade da Subetapa 08.14: anexo em disparo em massa derruba a entregabilidade, e o domínio de envio ainda está em aquecimento.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Público:</w:t>
      </w:r>
      <w:r>
        <w:rPr>
          <w:rFonts w:ascii="Georgia" w:hAnsi="Georgia"/>
          <w:color w:val="262626"/>
          <w:sz w:val="22"/>
          <w:szCs w:val="22"/>
        </w:rPr>
        <w:t xml:space="preserve"> o contador com pressa. Cada parágrafo responde a uma objeção real. Se não responde, sai.</w:t>
      </w:r>
    </w:p>
    <w:p w:rsidR="00406605" w:rsidRDefault="00406605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406605" w:rsidRDefault="00406605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Conteúdo aprovado para diagramação</w:t>
      </w:r>
    </w:p>
    <w:p w:rsidR="00406605" w:rsidRDefault="00406605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Título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Por que o SINDCOM solicita os dados dos trabalhadores — e por que sua empresa pode enviá-los</w:t>
      </w:r>
      <w:r>
        <w:rPr>
          <w:rFonts w:ascii="Georgia" w:hAnsi="Georgia"/>
          <w:color w:val="262626"/>
          <w:sz w:val="22"/>
          <w:szCs w:val="22"/>
        </w:rPr>
        <w:t xml:space="preserve"> Nota técnica · Sindicato dos Empregados no Comércio de Passos e Região</w:t>
      </w:r>
    </w:p>
    <w:p w:rsidR="00406605" w:rsidRDefault="00406605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Bloco 1 — O que pedimos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Seis campos, por trabalhador: </w:t>
      </w:r>
      <w:r>
        <w:rPr>
          <w:rStyle w:val="Forte"/>
          <w:rFonts w:ascii="Georgia" w:hAnsi="Georgia"/>
          <w:sz w:val="22"/>
          <w:szCs w:val="22"/>
        </w:rPr>
        <w:t>CNPJ do estabelecimento · nome · CPF · telefone · piso salarial pago · se é sindicalizado ou se manifestou oposição</w:t>
      </w:r>
      <w:r>
        <w:rPr>
          <w:rFonts w:ascii="Georgia" w:hAnsi="Georgia"/>
          <w:color w:val="262626"/>
          <w:sz w:val="22"/>
          <w:szCs w:val="22"/>
        </w:rPr>
        <w:t>.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Não pedimos data de nascimento, endereço, e-mail pessoal, dados de dependentes nem a data da carta de oposição. </w:t>
      </w:r>
      <w:r>
        <w:rPr>
          <w:rStyle w:val="Forte"/>
          <w:rFonts w:ascii="Georgia" w:hAnsi="Georgia"/>
          <w:sz w:val="22"/>
          <w:szCs w:val="22"/>
        </w:rPr>
        <w:t>Pedimos menos do que a Convenção Coletiva já nos faculta exigir</w:t>
      </w:r>
      <w:r>
        <w:rPr>
          <w:rFonts w:ascii="Georgia" w:hAnsi="Georgia"/>
          <w:color w:val="262626"/>
          <w:sz w:val="22"/>
          <w:szCs w:val="22"/>
        </w:rPr>
        <w:t>, e em formato mais simples.</w:t>
      </w:r>
    </w:p>
    <w:p w:rsidR="00406605" w:rsidRDefault="00406605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Bloco 2 — Por que podemos pedir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Constituição atribui ao sindicato </w:t>
      </w:r>
      <w:r>
        <w:rPr>
          <w:rStyle w:val="Forte"/>
          <w:rFonts w:ascii="Georgia" w:hAnsi="Georgia"/>
          <w:sz w:val="22"/>
          <w:szCs w:val="22"/>
        </w:rPr>
        <w:t>a defesa dos direitos e interesses coletivos ou individuais da categoria</w:t>
      </w:r>
      <w:r>
        <w:rPr>
          <w:rFonts w:ascii="Georgia" w:hAnsi="Georgia"/>
          <w:color w:val="262626"/>
          <w:sz w:val="22"/>
          <w:szCs w:val="22"/>
        </w:rPr>
        <w:t xml:space="preserve"> (art. 8º, III) — de toda a categoria, e não apenas dos filiados. A CLT confere-lhe as prerrogativas de </w:t>
      </w:r>
      <w:r>
        <w:rPr>
          <w:rStyle w:val="Forte"/>
          <w:rFonts w:ascii="Georgia" w:hAnsi="Georgia"/>
          <w:sz w:val="22"/>
          <w:szCs w:val="22"/>
        </w:rPr>
        <w:t>representar</w:t>
      </w:r>
      <w:r>
        <w:rPr>
          <w:rFonts w:ascii="Georgia" w:hAnsi="Georgia"/>
          <w:color w:val="262626"/>
          <w:sz w:val="22"/>
          <w:szCs w:val="22"/>
        </w:rPr>
        <w:t xml:space="preserve"> (art. 513, "a") e de </w:t>
      </w:r>
      <w:r>
        <w:rPr>
          <w:rStyle w:val="Forte"/>
          <w:rFonts w:ascii="Georgia" w:hAnsi="Georgia"/>
          <w:sz w:val="22"/>
          <w:szCs w:val="22"/>
        </w:rPr>
        <w:t>impor contribuições</w:t>
      </w:r>
      <w:r>
        <w:rPr>
          <w:rFonts w:ascii="Georgia" w:hAnsi="Georgia"/>
          <w:color w:val="262626"/>
          <w:sz w:val="22"/>
          <w:szCs w:val="22"/>
        </w:rPr>
        <w:t xml:space="preserve"> a todos os que participam da categoria (art. 513, "e").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informação sobre filiação sindical é </w:t>
      </w:r>
      <w:r>
        <w:rPr>
          <w:rStyle w:val="Forte"/>
          <w:rFonts w:ascii="Georgia" w:hAnsi="Georgia"/>
          <w:sz w:val="22"/>
          <w:szCs w:val="22"/>
        </w:rPr>
        <w:t>dado pessoal sensível</w:t>
      </w:r>
      <w:r>
        <w:rPr>
          <w:rFonts w:ascii="Georgia" w:hAnsi="Georgia"/>
          <w:color w:val="262626"/>
          <w:sz w:val="22"/>
          <w:szCs w:val="22"/>
        </w:rPr>
        <w:t xml:space="preserve"> (LGPD, art. 5º, II), e por isso é tratada com base no </w:t>
      </w:r>
      <w:r>
        <w:rPr>
          <w:rStyle w:val="Forte"/>
          <w:rFonts w:ascii="Georgia" w:hAnsi="Georgia"/>
          <w:sz w:val="22"/>
          <w:szCs w:val="22"/>
        </w:rPr>
        <w:t>art. 11, II, "d"</w:t>
      </w:r>
      <w:r>
        <w:rPr>
          <w:rFonts w:ascii="Georgia" w:hAnsi="Georgia"/>
          <w:color w:val="262626"/>
          <w:sz w:val="22"/>
          <w:szCs w:val="22"/>
        </w:rPr>
        <w:t xml:space="preserve"> — exercício regular de direitos. </w:t>
      </w:r>
      <w:r>
        <w:rPr>
          <w:rStyle w:val="Forte"/>
          <w:rFonts w:ascii="Georgia" w:hAnsi="Georgia"/>
          <w:sz w:val="22"/>
          <w:szCs w:val="22"/>
        </w:rPr>
        <w:t>Não pedimos consentimento do trabalhador ao empregador</w:t>
      </w:r>
      <w:r>
        <w:rPr>
          <w:rFonts w:ascii="Georgia" w:hAnsi="Georgia"/>
          <w:color w:val="262626"/>
          <w:sz w:val="22"/>
          <w:szCs w:val="22"/>
        </w:rPr>
        <w:t>, deliberadamente: consentimento colhido por quem paga o salário, sobre filiação sindical, é frágil e expõe o trabalhador.</w:t>
      </w:r>
    </w:p>
    <w:p w:rsidR="00406605" w:rsidRDefault="00406605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Bloco 3 — Por que a sua empresa pode enviar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Porque </w:t>
      </w:r>
      <w:r>
        <w:rPr>
          <w:rStyle w:val="Forte"/>
          <w:rFonts w:ascii="Georgia" w:hAnsi="Georgia"/>
          <w:sz w:val="22"/>
          <w:szCs w:val="22"/>
        </w:rPr>
        <w:t>já é obrigada a isso pela Convenção Coletiva</w:t>
      </w:r>
      <w:r>
        <w:rPr>
          <w:rFonts w:ascii="Georgia" w:hAnsi="Georgia"/>
          <w:color w:val="262626"/>
          <w:sz w:val="22"/>
          <w:szCs w:val="22"/>
        </w:rPr>
        <w:t>. A cláusula da contribuição dos empregados determina:</w:t>
      </w:r>
    </w:p>
    <w:p w:rsidR="00406605" w:rsidRDefault="00406605">
      <w:pPr>
        <w:shd w:val="clear" w:color="auto" w:fill="F7F6F1"/>
        <w:spacing w:after="100"/>
        <w:jc w:val="both"/>
        <w:divId w:val="424109707"/>
        <w:rPr>
          <w:rFonts w:ascii="Georgia" w:hAnsi="Georgia"/>
          <w:i/>
          <w:iCs/>
          <w:color w:val="3A3A3A"/>
          <w:sz w:val="22"/>
          <w:szCs w:val="22"/>
        </w:rPr>
      </w:pPr>
      <w:r>
        <w:rPr>
          <w:rStyle w:val="nfase"/>
          <w:rFonts w:ascii="Georgia" w:hAnsi="Georgia"/>
          <w:color w:val="3A3A3A"/>
          <w:sz w:val="22"/>
          <w:szCs w:val="22"/>
        </w:rPr>
        <w:t>"Dentro de 15 dias do desconto, as empresas encaminharão à Entidade Profissional cópias de comprovação dos recolhimentos dos valores, acompanhadas das relações de empregados contribuintes, das quais constem os salários anteriores e os corrigidos."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lastRenderedPageBreak/>
        <w:t xml:space="preserve">Havendo obrigação pactuada, o envio encontra base própria no </w:t>
      </w:r>
      <w:r>
        <w:rPr>
          <w:rStyle w:val="Forte"/>
          <w:rFonts w:ascii="Georgia" w:hAnsi="Georgia"/>
          <w:sz w:val="22"/>
          <w:szCs w:val="22"/>
        </w:rPr>
        <w:t>art. 11, II, "a"</w:t>
      </w:r>
      <w:r>
        <w:rPr>
          <w:rFonts w:ascii="Georgia" w:hAnsi="Georgia"/>
          <w:color w:val="262626"/>
          <w:sz w:val="22"/>
          <w:szCs w:val="22"/>
        </w:rPr>
        <w:t xml:space="preserve"> da LGPD (dado sensível) e no </w:t>
      </w:r>
      <w:r>
        <w:rPr>
          <w:rStyle w:val="Forte"/>
          <w:rFonts w:ascii="Georgia" w:hAnsi="Georgia"/>
          <w:sz w:val="22"/>
          <w:szCs w:val="22"/>
        </w:rPr>
        <w:t>art. 7º, II</w:t>
      </w:r>
      <w:r>
        <w:rPr>
          <w:rFonts w:ascii="Georgia" w:hAnsi="Georgia"/>
          <w:color w:val="262626"/>
          <w:sz w:val="22"/>
          <w:szCs w:val="22"/>
        </w:rPr>
        <w:t xml:space="preserve"> (demais dados). </w:t>
      </w:r>
      <w:r>
        <w:rPr>
          <w:rStyle w:val="Forte"/>
          <w:rFonts w:ascii="Georgia" w:hAnsi="Georgia"/>
          <w:sz w:val="22"/>
          <w:szCs w:val="22"/>
        </w:rPr>
        <w:t>O contador que atende não compartilha dado indevidamente: cumpre obrigação convencional do seu cliente.</w:t>
      </w:r>
    </w:p>
    <w:p w:rsidR="00406605" w:rsidRDefault="00406605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 xml:space="preserve">Bloco 4 — Por que precisamos saber quem se opôs </w:t>
      </w:r>
      <w:r>
        <w:rPr>
          <w:rStyle w:val="nfase"/>
          <w:rFonts w:ascii="Georgia" w:eastAsia="Times New Roman" w:hAnsi="Georgia"/>
        </w:rPr>
        <w:t>(o bloco mais importante)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Para deixar de cobrar dessa pessoa.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O STF só admite a contribuição de toda a categoria </w:t>
      </w:r>
      <w:r>
        <w:rPr>
          <w:rStyle w:val="Forte"/>
          <w:rFonts w:ascii="Georgia" w:hAnsi="Georgia"/>
          <w:sz w:val="22"/>
          <w:szCs w:val="22"/>
        </w:rPr>
        <w:t>desde que assegurado o direito de oposição</w:t>
      </w:r>
      <w:r>
        <w:rPr>
          <w:rFonts w:ascii="Georgia" w:hAnsi="Georgia"/>
          <w:color w:val="262626"/>
          <w:sz w:val="22"/>
          <w:szCs w:val="22"/>
        </w:rPr>
        <w:t xml:space="preserve"> (Tema 935). E a própria Convenção permite que o trabalhador se oponha </w:t>
      </w:r>
      <w:r>
        <w:rPr>
          <w:rStyle w:val="Forte"/>
          <w:rFonts w:ascii="Georgia" w:hAnsi="Georgia"/>
          <w:sz w:val="22"/>
          <w:szCs w:val="22"/>
        </w:rPr>
        <w:t>por escrito perante a empresa</w:t>
      </w:r>
      <w:r>
        <w:rPr>
          <w:rFonts w:ascii="Georgia" w:hAnsi="Georgia"/>
          <w:color w:val="262626"/>
          <w:sz w:val="22"/>
          <w:szCs w:val="22"/>
        </w:rPr>
        <w:t xml:space="preserve">. Quando ele faz isso, </w:t>
      </w:r>
      <w:r>
        <w:rPr>
          <w:rStyle w:val="Forte"/>
          <w:rFonts w:ascii="Georgia" w:hAnsi="Georgia"/>
          <w:sz w:val="22"/>
          <w:szCs w:val="22"/>
        </w:rPr>
        <w:t>só a empresa sabe</w:t>
      </w:r>
      <w:r>
        <w:rPr>
          <w:rFonts w:ascii="Georgia" w:hAnsi="Georgia"/>
          <w:color w:val="262626"/>
          <w:sz w:val="22"/>
          <w:szCs w:val="22"/>
        </w:rPr>
        <w:t>.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Se a empresa não nos informa, </w:t>
      </w:r>
      <w:r>
        <w:rPr>
          <w:rStyle w:val="Forte"/>
          <w:rFonts w:ascii="Georgia" w:hAnsi="Georgia"/>
          <w:sz w:val="22"/>
          <w:szCs w:val="22"/>
        </w:rPr>
        <w:t>nós cobramos de quem se opôs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 xml:space="preserve">— e a mesma cláusula nos obriga a devolver. A informação não serve para agir contra o trabalhador: serve para que o sindicato </w:t>
      </w:r>
      <w:r>
        <w:rPr>
          <w:rStyle w:val="Forte"/>
          <w:rFonts w:ascii="Georgia" w:hAnsi="Georgia"/>
          <w:sz w:val="22"/>
          <w:szCs w:val="22"/>
        </w:rPr>
        <w:t>se abstenha</w:t>
      </w:r>
      <w:r>
        <w:rPr>
          <w:rFonts w:ascii="Georgia" w:hAnsi="Georgia"/>
          <w:color w:val="262626"/>
          <w:sz w:val="22"/>
          <w:szCs w:val="22"/>
        </w:rPr>
        <w:t>. Sem ela, o direito de oposição não se realiza.</w:t>
      </w:r>
    </w:p>
    <w:p w:rsidR="00406605" w:rsidRDefault="00406605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Bloco 5 — O que fazemos com os dados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Envio por </w:t>
      </w:r>
      <w:r>
        <w:rPr>
          <w:rStyle w:val="Forte"/>
          <w:rFonts w:ascii="Georgia" w:hAnsi="Georgia"/>
          <w:sz w:val="22"/>
          <w:szCs w:val="22"/>
        </w:rPr>
        <w:t>link individual com prazo de validade e revogável</w:t>
      </w:r>
      <w:r>
        <w:rPr>
          <w:rFonts w:ascii="Georgia" w:hAnsi="Georgia"/>
          <w:color w:val="262626"/>
          <w:sz w:val="22"/>
          <w:szCs w:val="22"/>
        </w:rPr>
        <w:t xml:space="preserve">, que </w:t>
      </w:r>
      <w:r>
        <w:rPr>
          <w:rStyle w:val="Forte"/>
          <w:rFonts w:ascii="Georgia" w:hAnsi="Georgia"/>
          <w:sz w:val="22"/>
          <w:szCs w:val="22"/>
        </w:rPr>
        <w:t>só permite enviar</w:t>
      </w:r>
      <w:r>
        <w:rPr>
          <w:rFonts w:ascii="Georgia" w:hAnsi="Georgia"/>
          <w:color w:val="262626"/>
          <w:sz w:val="22"/>
          <w:szCs w:val="22"/>
        </w:rPr>
        <w:t xml:space="preserve"> — nunca consultar dados de terceiros. Arquivo em </w:t>
      </w:r>
      <w:r>
        <w:rPr>
          <w:rStyle w:val="Forte"/>
          <w:rFonts w:ascii="Georgia" w:hAnsi="Georgia"/>
          <w:sz w:val="22"/>
          <w:szCs w:val="22"/>
        </w:rPr>
        <w:t>repositório privado</w:t>
      </w:r>
      <w:r>
        <w:rPr>
          <w:rFonts w:ascii="Georgia" w:hAnsi="Georgia"/>
          <w:color w:val="262626"/>
          <w:sz w:val="22"/>
          <w:szCs w:val="22"/>
        </w:rPr>
        <w:t xml:space="preserve">. </w:t>
      </w:r>
      <w:r>
        <w:rPr>
          <w:rStyle w:val="Forte"/>
          <w:rFonts w:ascii="Georgia" w:hAnsi="Georgia"/>
          <w:sz w:val="22"/>
          <w:szCs w:val="22"/>
        </w:rPr>
        <w:t>Nenhum dado entra no cadastro sem revisão humana.</w:t>
      </w:r>
      <w:r>
        <w:rPr>
          <w:rFonts w:ascii="Georgia" w:hAnsi="Georgia"/>
          <w:color w:val="262626"/>
          <w:sz w:val="22"/>
          <w:szCs w:val="22"/>
        </w:rPr>
        <w:t xml:space="preserve"> Registro de origem de cada remessa. Sistema submetido a </w:t>
      </w:r>
      <w:r>
        <w:rPr>
          <w:rStyle w:val="Forte"/>
          <w:rFonts w:ascii="Georgia" w:hAnsi="Georgia"/>
          <w:sz w:val="22"/>
          <w:szCs w:val="22"/>
        </w:rPr>
        <w:t>teste de invasão deliberado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>antes de entrar em operação.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Os dados são usados para representação sindical, cálculo da contribuição devida e respeito às oposições. </w:t>
      </w:r>
      <w:r>
        <w:rPr>
          <w:rStyle w:val="Forte"/>
          <w:rFonts w:ascii="Georgia" w:hAnsi="Georgia"/>
          <w:sz w:val="22"/>
          <w:szCs w:val="22"/>
        </w:rPr>
        <w:t>Nada além disso.</w:t>
      </w:r>
    </w:p>
    <w:p w:rsidR="00406605" w:rsidRDefault="00406605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Bloco 6 — Direitos do trabalhador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Confirmação, acesso, correção e eliminação, nos termos do art. 18 da LGPD. </w:t>
      </w:r>
      <w:r>
        <w:rPr>
          <w:rStyle w:val="Forte"/>
          <w:rFonts w:ascii="Georgia" w:hAnsi="Georgia"/>
          <w:sz w:val="22"/>
          <w:szCs w:val="22"/>
        </w:rPr>
        <w:t>juridico@sindcompassos.org</w:t>
      </w:r>
      <w:r>
        <w:rPr>
          <w:rFonts w:ascii="Georgia" w:hAnsi="Georgia"/>
          <w:color w:val="262626"/>
          <w:sz w:val="22"/>
          <w:szCs w:val="22"/>
        </w:rPr>
        <w:t xml:space="preserve"> · </w:t>
      </w:r>
      <w:r>
        <w:rPr>
          <w:rStyle w:val="Forte"/>
          <w:rFonts w:ascii="Georgia" w:hAnsi="Georgia"/>
          <w:sz w:val="22"/>
          <w:szCs w:val="22"/>
        </w:rPr>
        <w:t>WhatsApp (35) 98827-0406</w:t>
      </w:r>
      <w:r>
        <w:rPr>
          <w:rFonts w:ascii="Georgia" w:hAnsi="Georgia"/>
          <w:color w:val="262626"/>
          <w:sz w:val="22"/>
          <w:szCs w:val="22"/>
        </w:rPr>
        <w:t xml:space="preserve"> · sede em Passos/MG.</w:t>
      </w:r>
    </w:p>
    <w:p w:rsidR="00406605" w:rsidRDefault="00406605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Rodapé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nfase"/>
          <w:rFonts w:ascii="Georgia" w:hAnsi="Georgia"/>
          <w:color w:val="262626"/>
          <w:sz w:val="22"/>
          <w:szCs w:val="22"/>
        </w:rPr>
        <w:t>A fundamentação completa, com todos os dispositivos e a jurisprudência citada, está na Nota Técnica na íntegra: [link].</w:t>
      </w:r>
    </w:p>
    <w:p w:rsidR="00406605" w:rsidRDefault="00406605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[Nome completo] — OAB/MG [número]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>· Assessoria Jurídica · SINDCOM · [data]</w:t>
      </w:r>
    </w:p>
    <w:p w:rsidR="00406605" w:rsidRDefault="00406605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406605" w:rsidRDefault="00406605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Instruções de diagramação (após aprovação do texto)</w:t>
      </w:r>
    </w:p>
    <w:p w:rsidR="00406605" w:rsidRDefault="00406605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Uma lauda A4.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Se não couber, cortar conteúdo — não reduzir corpo abaixo de 10pt.</w:t>
      </w:r>
    </w:p>
    <w:p w:rsidR="00406605" w:rsidRDefault="00406605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 xml:space="preserve">Identidade de </w:t>
      </w:r>
      <w:r>
        <w:rPr>
          <w:rStyle w:val="cod1"/>
          <w:rFonts w:eastAsia="Times New Roman"/>
          <w:color w:val="262626"/>
        </w:rPr>
        <w:t>docs/design-tokens.md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: Playfair Display em títulos, Lato no corpo, </w:t>
      </w:r>
      <w:r>
        <w:rPr>
          <w:rStyle w:val="cod1"/>
          <w:rFonts w:eastAsia="Times New Roman"/>
          <w:color w:val="262626"/>
        </w:rPr>
        <w:t>#424242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no texto, </w:t>
      </w:r>
      <w:r>
        <w:rPr>
          <w:rStyle w:val="cod1"/>
          <w:rFonts w:eastAsia="Times New Roman"/>
          <w:color w:val="262626"/>
        </w:rPr>
        <w:t>#565656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no secundário, </w:t>
      </w:r>
      <w:r>
        <w:rPr>
          <w:rStyle w:val="cod1"/>
          <w:rFonts w:eastAsia="Times New Roman"/>
          <w:color w:val="262626"/>
        </w:rPr>
        <w:t>#C62828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</w:t>
      </w:r>
      <w:r>
        <w:rPr>
          <w:rStyle w:val="Forte"/>
          <w:rFonts w:ascii="Georgia" w:eastAsia="Times New Roman" w:hAnsi="Georgia"/>
          <w:sz w:val="22"/>
          <w:szCs w:val="22"/>
        </w:rPr>
        <w:t>com parcimônia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— barra lateral e destaques do Bloco 4, nada mais.</w:t>
      </w:r>
    </w:p>
    <w:p w:rsidR="00406605" w:rsidRDefault="00406605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Bloco 4 é o clímax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e merece tratamento visual distinto (fundo </w:t>
      </w:r>
      <w:r>
        <w:rPr>
          <w:rStyle w:val="cod1"/>
          <w:rFonts w:eastAsia="Times New Roman"/>
          <w:color w:val="262626"/>
        </w:rPr>
        <w:t>#EFEEE7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</w:t>
      </w:r>
      <w:r>
        <w:rPr>
          <w:rFonts w:ascii="Georgia" w:eastAsia="Times New Roman" w:hAnsi="Georgia"/>
          <w:color w:val="262626"/>
          <w:sz w:val="22"/>
          <w:szCs w:val="22"/>
        </w:rPr>
        <w:t>ou filete vermelho). É o parágrafo que responde à objeção que trava o envio.</w:t>
      </w:r>
    </w:p>
    <w:p w:rsidR="00406605" w:rsidRDefault="00406605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A citação da cláusula convencional em destaque tipográfico — é a prova documental.</w:t>
      </w:r>
    </w:p>
    <w:p w:rsidR="00406605" w:rsidRDefault="00406605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 xml:space="preserve">Assinatura e OAB visíveis </w:t>
      </w:r>
      <w:r>
        <w:rPr>
          <w:rStyle w:val="Forte"/>
          <w:rFonts w:ascii="Georgia" w:eastAsia="Times New Roman" w:hAnsi="Georgia"/>
          <w:sz w:val="22"/>
          <w:szCs w:val="22"/>
        </w:rPr>
        <w:t>sem rolagem</w:t>
      </w:r>
      <w:r>
        <w:rPr>
          <w:rFonts w:ascii="Georgia" w:eastAsia="Times New Roman" w:hAnsi="Georgia"/>
          <w:color w:val="262626"/>
          <w:sz w:val="22"/>
          <w:szCs w:val="22"/>
        </w:rPr>
        <w:t>, na mesma página.</w:t>
      </w:r>
    </w:p>
    <w:p w:rsidR="00406605" w:rsidRDefault="00406605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lastRenderedPageBreak/>
        <w:t>Sem imagem remota; logotipo institucional embutido no PDF.</w:t>
      </w:r>
    </w:p>
    <w:sectPr w:rsidR="0040660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71080"/>
    <w:multiLevelType w:val="multilevel"/>
    <w:tmpl w:val="497C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0515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F85"/>
    <w:rsid w:val="00406605"/>
    <w:rsid w:val="00BC6F85"/>
    <w:rsid w:val="00F70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DEA67D6-639B-4634-8D02-0A1540E06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pBdr>
        <w:bottom w:val="single" w:sz="12" w:space="6" w:color="C62828"/>
      </w:pBdr>
      <w:spacing w:before="100" w:beforeAutospacing="1" w:after="240"/>
      <w:outlineLvl w:val="0"/>
    </w:pPr>
    <w:rPr>
      <w:b/>
      <w:bCs/>
      <w:color w:val="C62828"/>
      <w:kern w:val="36"/>
      <w:sz w:val="38"/>
      <w:szCs w:val="38"/>
    </w:rPr>
  </w:style>
  <w:style w:type="paragraph" w:styleId="Ttulo2">
    <w:name w:val="heading 2"/>
    <w:basedOn w:val="Normal"/>
    <w:link w:val="Ttulo2Char"/>
    <w:uiPriority w:val="9"/>
    <w:qFormat/>
    <w:pPr>
      <w:pBdr>
        <w:bottom w:val="single" w:sz="6" w:space="3" w:color="D8D5CA"/>
      </w:pBdr>
      <w:spacing w:before="400" w:after="120"/>
      <w:outlineLvl w:val="1"/>
    </w:pPr>
    <w:rPr>
      <w:b/>
      <w:bCs/>
      <w:color w:val="424242"/>
      <w:sz w:val="29"/>
      <w:szCs w:val="29"/>
    </w:rPr>
  </w:style>
  <w:style w:type="paragraph" w:styleId="Ttulo3">
    <w:name w:val="heading 3"/>
    <w:basedOn w:val="Normal"/>
    <w:link w:val="Ttulo3Char"/>
    <w:uiPriority w:val="9"/>
    <w:qFormat/>
    <w:pPr>
      <w:spacing w:before="300" w:after="80"/>
      <w:outlineLvl w:val="2"/>
    </w:pPr>
    <w:rPr>
      <w:b/>
      <w:bCs/>
      <w:color w:val="424242"/>
      <w:sz w:val="25"/>
      <w:szCs w:val="25"/>
    </w:rPr>
  </w:style>
  <w:style w:type="paragraph" w:styleId="Ttulo4">
    <w:name w:val="heading 4"/>
    <w:basedOn w:val="Normal"/>
    <w:link w:val="Ttulo4Char"/>
    <w:uiPriority w:val="9"/>
    <w:qFormat/>
    <w:pPr>
      <w:spacing w:before="240" w:after="60"/>
      <w:outlineLvl w:val="3"/>
    </w:pPr>
    <w:rPr>
      <w:b/>
      <w:bCs/>
      <w:color w:val="565656"/>
      <w:sz w:val="23"/>
      <w:szCs w:val="2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semiHidden/>
    <w:unhideWhenUsed/>
    <w:rPr>
      <w:color w:val="C62828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C62828"/>
      <w:u w:val="single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styleId="Forte">
    <w:name w:val="Strong"/>
    <w:basedOn w:val="Fontepargpadro"/>
    <w:uiPriority w:val="22"/>
    <w:qFormat/>
    <w:rPr>
      <w:b/>
      <w:bCs/>
      <w:color w:val="1F1F1F"/>
    </w:rPr>
  </w:style>
  <w:style w:type="paragraph" w:customStyle="1" w:styleId="msonormal0">
    <w:name w:val="msonormal"/>
    <w:basedOn w:val="Normal"/>
    <w:pPr>
      <w:spacing w:after="16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60"/>
      <w:jc w:val="both"/>
    </w:pPr>
  </w:style>
  <w:style w:type="paragraph" w:customStyle="1" w:styleId="cod">
    <w:name w:val="cod"/>
    <w:basedOn w:val="Normal"/>
    <w:pPr>
      <w:shd w:val="clear" w:color="auto" w:fill="F2F1EC"/>
      <w:spacing w:before="100" w:beforeAutospacing="1" w:after="60"/>
    </w:pPr>
    <w:rPr>
      <w:rFonts w:ascii="Consolas" w:hAnsi="Consolas"/>
      <w:sz w:val="19"/>
      <w:szCs w:val="19"/>
    </w:rPr>
  </w:style>
  <w:style w:type="character" w:customStyle="1" w:styleId="cod1">
    <w:name w:val="cod1"/>
    <w:basedOn w:val="Fontepargpadro"/>
    <w:rPr>
      <w:rFonts w:ascii="Consolas" w:hAnsi="Consolas" w:hint="default"/>
      <w:sz w:val="19"/>
      <w:szCs w:val="19"/>
      <w:shd w:val="clear" w:color="auto" w:fill="F2F1EC"/>
    </w:rPr>
  </w:style>
  <w:style w:type="character" w:styleId="nfase">
    <w:name w:val="Emphasis"/>
    <w:basedOn w:val="Fontepargpadro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109707">
      <w:blockQuote w:val="1"/>
      <w:marLeft w:val="240"/>
      <w:marRight w:val="0"/>
      <w:marTop w:val="200"/>
      <w:marBottom w:val="200"/>
      <w:divBdr>
        <w:top w:val="none" w:sz="0" w:space="0" w:color="auto"/>
        <w:left w:val="single" w:sz="18" w:space="12" w:color="C6282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712</Words>
  <Characters>3973</Characters>
  <Application>Microsoft Office Word</Application>
  <DocSecurity>4</DocSecurity>
  <Lines>92</Lines>
  <Paragraphs>48</Paragraphs>
  <ScaleCrop>false</ScaleCrop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SINDCOM</dc:title>
  <dc:subject/>
  <dc:creator>Maxwell Messias Ribeiro</dc:creator>
  <cp:keywords/>
  <dc:description/>
  <cp:lastModifiedBy>Maxwell Messias Ribeiro</cp:lastModifiedBy>
  <cp:revision>2</cp:revision>
  <dcterms:created xsi:type="dcterms:W3CDTF">2026-08-25T21:07:00Z</dcterms:created>
  <dcterms:modified xsi:type="dcterms:W3CDTF">2026-08-25T21:07:00Z</dcterms:modified>
</cp:coreProperties>
</file>