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正式生产文档包清单与使用说明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RM-V1.0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全生命周期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文档包定位</w:t>
      </w:r>
    </w:p>
    <w:p>
      <w:pPr>
        <w:spacing w:after="100" w:line="300" w:lineRule="auto"/>
      </w:pPr>
      <w:r>
        <w:rPr>
          <w:b w:val="0"/>
        </w:rPr>
        <w:t>本文件包覆盖立项、需求、架构、数据库、接口、采集适配、UI原型、Excel模板、测试验收、本机运行、生产部署、安全、Git、代码质量、运维、用户操作、项目计划和风险管理。所有文档统一使用V1.0，作为5个平台MVP正式生产基线。</w:t>
      </w:r>
    </w:p>
    <w:p>
      <w:pPr>
        <w:pStyle w:val="Heading1"/>
      </w:pPr>
      <w:r>
        <w:t>2. 使用顺序</w:t>
      </w:r>
    </w:p>
    <w:p>
      <w:pPr>
        <w:pStyle w:val="ListNumber"/>
        <w:spacing w:after="60" w:line="276" w:lineRule="auto"/>
      </w:pPr>
      <w:r>
        <w:t>先阅读立项确认书、PRD和技术架构，冻结范围与统计口径。</w:t>
      </w:r>
    </w:p>
    <w:p>
      <w:pPr>
        <w:pStyle w:val="ListNumber"/>
        <w:spacing w:after="60" w:line="276" w:lineRule="auto"/>
      </w:pPr>
      <w:r>
        <w:t>开发前完成5个平台采集可行性验证和本机环境初始化。</w:t>
      </w:r>
    </w:p>
    <w:p>
      <w:pPr>
        <w:pStyle w:val="ListNumber"/>
        <w:spacing w:after="60" w:line="276" w:lineRule="auto"/>
      </w:pPr>
      <w:r>
        <w:t>开发中按数据库、API、Git和Python规范执行；变更通过需求变更流程。</w:t>
      </w:r>
    </w:p>
    <w:p>
      <w:pPr>
        <w:pStyle w:val="ListNumber"/>
        <w:spacing w:after="60" w:line="276" w:lineRule="auto"/>
      </w:pPr>
      <w:r>
        <w:t>测试阶段按测试方案和验收用例执行，并使用验收单签署。</w:t>
      </w:r>
    </w:p>
    <w:p>
      <w:pPr>
        <w:pStyle w:val="ListNumber"/>
        <w:spacing w:after="60" w:line="276" w:lineRule="auto"/>
      </w:pPr>
      <w:r>
        <w:t>先在本机完成联调和一轮完整定时任务验证，再部署阿里云。</w:t>
      </w:r>
    </w:p>
    <w:p>
      <w:pPr>
        <w:pStyle w:val="ListNumber"/>
        <w:spacing w:after="60" w:line="276" w:lineRule="auto"/>
      </w:pPr>
      <w:r>
        <w:t>上线后按运行维护、备份、监控和回滚文档执行。</w:t>
      </w:r>
    </w:p>
    <w:p>
      <w:pPr>
        <w:pStyle w:val="Heading1"/>
      </w:pPr>
      <w:r>
        <w:t>3. 文档清单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79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57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文档</w:t>
            </w:r>
          </w:p>
        </w:tc>
        <w:tc>
          <w:tcPr>
            <w:tcW w:type="dxa" w:w="464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01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项目立项与技术方案确认书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范围、目标、成本和关键技术决策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02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产品需求文档 PRD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完整业务规则、页面、报表和验收指标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03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系统技术架构设计说明书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组件、任务、采集适配与部署架构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04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数据库设计说明书与数据字典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表结构、字段、约束、索引、生命周期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05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API接口设计文档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前后端接口、错误码、鉴权和幂等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06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平台采集适配与可行性验证报告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5个平台采集策略、验证卡片与证据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07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UI页面原型与交互说明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证券市场周刊风格、页面和状态交互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08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Excel报表模板设计说明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目标Excel及字段、样式、版本规则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09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测试方案与验收用例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功能、采集、性能、安全和异常用例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10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项目验收单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正式上线验收勾选与签署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11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本机运行开发环境与上线部署方案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本机先行、阿里云部署、配置与切换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12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备份清理监控与回滚方案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备份、30天清理、告警和回滚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13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安全设计与检查清单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认证、权限、SSRF、密钥、上传和审计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14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Git分支代码评审与CI规范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main/develop/feature/hotfix与质量门禁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15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Python项目开发规范与质量门禁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PEP8、Ruff、Black、mypy、pytest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16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运行维护手册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平台规则、任务、邮件、故障与日常巡检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17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用户操作手册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文章导入、任务、矩阵、报表与人工补录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18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项目开发计划与里程碑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MVP计划、角色、交付和上线准入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19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需求变更与发布管理制度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范围冻结、版本、发布和紧急修复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测试数据集模板与构建指南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已知转载、未知空白、负样本和异常样本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21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内部工具完整开发提示词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可交给AI编码工具的完整生产提示词</w:t>
            </w:r>
          </w:p>
        </w:tc>
      </w:tr>
      <w:tr>
        <w:tc>
          <w:tcPr>
            <w:tcW w:type="dxa" w:w="79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22</w:t>
            </w:r>
          </w:p>
        </w:tc>
        <w:tc>
          <w:tcPr>
            <w:tcW w:type="dxa" w:w="357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风险清单与问题台账</w:t>
            </w:r>
          </w:p>
        </w:tc>
        <w:tc>
          <w:tcPr>
            <w:tcW w:type="dxa" w:w="464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风险、影响、责任、缓解与未决事项</w:t>
            </w:r>
          </w:p>
        </w:tc>
      </w:tr>
    </w:tbl>
    <w:p>
      <w:pPr>
        <w:spacing w:after="0"/>
      </w:pPr>
    </w:p>
    <w:p>
      <w:pPr>
        <w:pStyle w:val="Heading1"/>
      </w:pPr>
      <w:r>
        <w:t>4. 配套非Word交付物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9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位置/名称</w:t>
            </w:r>
          </w:p>
        </w:tc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交互原型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prototype/index.html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浏览器直接打开，验证页面布局和交互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原型截图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prototype/01~08_*.png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评审留档和UI开发参考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目标Excel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文章转载监测系统_目标报表样例_V1.0.xlsx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报表开发与验收的固定样例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Excel预览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文章转载监测系统_目标报表样例_V1.0_预览.png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快速确认概览样式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ZIP包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文章转载监测系统_正式生产文档包_V1.0.zip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一次性下载和归档</w:t>
            </w:r>
          </w:p>
        </w:tc>
      </w:tr>
    </w:tbl>
    <w:p>
      <w:pPr>
        <w:spacing w:after="0"/>
      </w:pPr>
    </w:p>
    <w:p>
      <w:pPr>
        <w:pStyle w:val="Heading1"/>
      </w:pPr>
      <w:r>
        <w:t>5. 基线管理规则</w:t>
      </w:r>
    </w:p>
    <w:p>
      <w:pPr>
        <w:pStyle w:val="ListBullet"/>
        <w:spacing w:after="60" w:line="276" w:lineRule="auto"/>
      </w:pPr>
      <w:r>
        <w:t>V1.0文件不得被覆盖；修改后在变更记录中说明，并发布新版本。</w:t>
      </w:r>
    </w:p>
    <w:p>
      <w:pPr>
        <w:pStyle w:val="ListBullet"/>
        <w:spacing w:after="60" w:line="276" w:lineRule="auto"/>
      </w:pPr>
      <w:r>
        <w:t>数据库结构变更必须通过Django Migration，禁止直接修改生产数据库表结构。</w:t>
      </w:r>
    </w:p>
    <w:p>
      <w:pPr>
        <w:pStyle w:val="ListBullet"/>
        <w:spacing w:after="60" w:line="276" w:lineRule="auto"/>
      </w:pPr>
      <w:r>
        <w:t>Git仓库位置在开发启动时确认；分支和合并规则按Git规范执行。</w:t>
      </w:r>
    </w:p>
    <w:p>
      <w:pPr>
        <w:pStyle w:val="ListBullet"/>
        <w:spacing w:after="60" w:line="276" w:lineRule="auto"/>
      </w:pPr>
      <w:r>
        <w:t>平台采集规则属于可维护配置或适配器代码，变更必须留痕并通过回归测试。</w:t>
      </w:r>
    </w:p>
    <w:p>
      <w:pPr>
        <w:pStyle w:val="ListBullet"/>
        <w:spacing w:after="60" w:line="276" w:lineRule="auto"/>
      </w:pPr>
      <w:r>
        <w:t>历史Excel中的空白字段一律视为“未确认”，不得作为状态0样本。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正式生产文档包清单与使用说明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00_正式生产文档包清单与使用说明_V1.0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