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项目立项与技术方案确认书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PROJ-V1.0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立项与技术决策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项目背景</w:t>
      </w:r>
    </w:p>
    <w:p>
      <w:pPr>
        <w:spacing w:after="100" w:line="300" w:lineRule="auto"/>
      </w:pPr>
      <w:r>
        <w:rPr>
          <w:b w:val="0"/>
        </w:rPr>
        <w:t>现有转载统计依赖人工逐个平台搜索、复制链接和维护Excel，存在发现滞后、遗漏、重复、历史不可追溯、日报周报汇总易错等问题。项目拟建设内部文章转载监测系统，将本周原创文章与长期维护的目标平台进行自动匹配，形成1/0/—状态矩阵、转载明细、动态统计看板和可下载Excel。</w:t>
      </w:r>
    </w:p>
    <w:p>
      <w:pPr>
        <w:pStyle w:val="Heading1"/>
      </w:pPr>
      <w:r>
        <w:t>2. 项目目标与成功标准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V1.0标准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业务效率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每周文章不超过20篇、5个平台MVP；每小时自动检测，减少重复人工查询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准确性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约定已知真实转载测试集中检出率≥95%，标题完全匹配场景误报率≤2%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可追溯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每条转载、检测任务、人工补录、报表、邮件和操作均留痕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时效性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24小时运行；周一07:00最后检测，07:30生成周报，08:00前完成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可扩展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平台配置全局保存；后续从5个平台扩展到20~50个平台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成本控制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V1.0不使用付费搜索API和大模型；采用公开接口/页面/Playwright等定向采集</w:t>
            </w:r>
          </w:p>
        </w:tc>
      </w:tr>
    </w:tbl>
    <w:p>
      <w:pPr>
        <w:spacing w:after="0"/>
      </w:pPr>
    </w:p>
    <w:p>
      <w:pPr>
        <w:pStyle w:val="Heading1"/>
      </w:pPr>
      <w:r>
        <w:t>3. 确认范围</w:t>
      </w:r>
    </w:p>
    <w:p>
      <w:pPr>
        <w:pStyle w:val="ListBullet"/>
        <w:spacing w:after="60" w:line="276" w:lineRule="auto"/>
      </w:pPr>
      <w:r>
        <w:t>文章手工录入与Excel导入，标题和发布日期必填。</w:t>
      </w:r>
    </w:p>
    <w:p>
      <w:pPr>
        <w:pStyle w:val="ListBullet"/>
        <w:spacing w:after="60" w:line="276" w:lineRule="auto"/>
      </w:pPr>
      <w:r>
        <w:t>全局平台管理，启用/停用/归档一次设置长期保存。</w:t>
      </w:r>
    </w:p>
    <w:p>
      <w:pPr>
        <w:pStyle w:val="ListBullet"/>
        <w:spacing w:after="60" w:line="276" w:lineRule="auto"/>
      </w:pPr>
      <w:r>
        <w:t>立即检测一次和创建自动检测批次。</w:t>
      </w:r>
    </w:p>
    <w:p>
      <w:pPr>
        <w:pStyle w:val="ListBullet"/>
        <w:spacing w:after="60" w:line="276" w:lineRule="auto"/>
      </w:pPr>
      <w:r>
        <w:t>文章发布所在周持续每小时检测，至下周一07:00最后一轮。</w:t>
      </w:r>
    </w:p>
    <w:p>
      <w:pPr>
        <w:pStyle w:val="ListBullet"/>
        <w:spacing w:after="60" w:line="276" w:lineRule="auto"/>
      </w:pPr>
      <w:r>
        <w:t>状态矩阵、转载明细、平台统计、日报、周报、自定义导出。</w:t>
      </w:r>
    </w:p>
    <w:p>
      <w:pPr>
        <w:pStyle w:val="ListBullet"/>
        <w:spacing w:after="60" w:line="276" w:lineRule="auto"/>
      </w:pPr>
      <w:r>
        <w:t>日报只在后台下载；周报生成后自动发送邮箱。</w:t>
      </w:r>
    </w:p>
    <w:p>
      <w:pPr>
        <w:pStyle w:val="ListBullet"/>
        <w:spacing w:after="60" w:line="276" w:lineRule="auto"/>
      </w:pPr>
      <w:r>
        <w:t>管理员和操作人员可人工补充遗漏链接，管理员可作废和恢复。</w:t>
      </w:r>
    </w:p>
    <w:p>
      <w:pPr>
        <w:pStyle w:val="ListBullet"/>
        <w:spacing w:after="60" w:line="276" w:lineRule="auto"/>
      </w:pPr>
      <w:r>
        <w:t>阅读量字段预留并明确显示“暂未启用”。</w:t>
      </w:r>
    </w:p>
    <w:p>
      <w:pPr>
        <w:pStyle w:val="ListBullet"/>
        <w:spacing w:after="60" w:line="276" w:lineRule="auto"/>
      </w:pPr>
      <w:r>
        <w:t>用户约10人，管理员/操作人员/查看人员三类角色。</w:t>
      </w:r>
    </w:p>
    <w:p>
      <w:pPr>
        <w:pStyle w:val="Heading1"/>
      </w:pPr>
      <w:r>
        <w:t>4. V1.0明确不做</w:t>
      </w:r>
    </w:p>
    <w:p>
      <w:pPr>
        <w:pStyle w:val="ListBullet"/>
        <w:spacing w:after="60" w:line="276" w:lineRule="auto"/>
      </w:pPr>
      <w:r>
        <w:t>不接入百度搜索API、DeepSeek或其他收费大模型。</w:t>
      </w:r>
    </w:p>
    <w:p>
      <w:pPr>
        <w:pStyle w:val="ListBullet"/>
        <w:spacing w:after="60" w:line="276" w:lineRule="auto"/>
      </w:pPr>
      <w:r>
        <w:t>不抓取需要登录、验证码或绕过访问控制的内容。</w:t>
      </w:r>
    </w:p>
    <w:p>
      <w:pPr>
        <w:pStyle w:val="ListBullet"/>
        <w:spacing w:after="60" w:line="276" w:lineRule="auto"/>
      </w:pPr>
      <w:r>
        <w:t>不做修改标题、正文相似度或语义转载识别。</w:t>
      </w:r>
    </w:p>
    <w:p>
      <w:pPr>
        <w:pStyle w:val="ListBullet"/>
        <w:spacing w:after="60" w:line="276" w:lineRule="auto"/>
      </w:pPr>
      <w:r>
        <w:t>不自动抓取原创文章；由用户手工录入或Excel导入。</w:t>
      </w:r>
    </w:p>
    <w:p>
      <w:pPr>
        <w:pStyle w:val="ListBullet"/>
        <w:spacing w:after="60" w:line="276" w:lineRule="auto"/>
      </w:pPr>
      <w:r>
        <w:t>不自动发送日报；不启用阅读量采集。</w:t>
      </w:r>
    </w:p>
    <w:p>
      <w:pPr>
        <w:pStyle w:val="ListBullet"/>
        <w:spacing w:after="60" w:line="276" w:lineRule="auto"/>
      </w:pPr>
      <w:r>
        <w:t>MVP验收仅覆盖5个平台，20~50个平台为后续扩展目标。</w:t>
      </w:r>
    </w:p>
    <w:p>
      <w:pPr>
        <w:pStyle w:val="Heading1"/>
      </w:pPr>
      <w:r>
        <w:t>5. 技术方案确认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41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选型</w:t>
            </w:r>
          </w:p>
        </w:tc>
        <w:tc>
          <w:tcPr>
            <w:tcW w:type="dxa" w:w="4819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后端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Python 3.12 + Django 5.2 LTS + DRF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快速构建账号、权限、管理和REST API</w:t>
            </w:r>
          </w:p>
        </w:tc>
      </w:tr>
      <w:tr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异步任务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Celery 5.6 + Celery Beat + Redis</w:t>
            </w:r>
          </w:p>
        </w:tc>
        <w:tc>
          <w:tcPr>
            <w:tcW w:type="dxa" w:w="481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小时采集、日报、周报、邮件、清理、备份任务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前端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Vue 3 + TypeScript + Vite + Element Plus + ECharts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中文内部管理后台与可视化</w:t>
            </w:r>
          </w:p>
        </w:tc>
      </w:tr>
      <w:tr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数据库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MySQL 8.4 LTS</w:t>
            </w:r>
          </w:p>
        </w:tc>
        <w:tc>
          <w:tcPr>
            <w:tcW w:type="dxa" w:w="481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业务数据、快照、日志索引与历史重建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采集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httpx/lxml/BeautifulSoup + Playwright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普通公开页面优先HTTP，动态页面再使用浏览器</w:t>
            </w:r>
          </w:p>
        </w:tc>
      </w:tr>
      <w:tr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报表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XlsxWriter/openpyxl（应用代码实现时择一）</w:t>
            </w:r>
          </w:p>
        </w:tc>
        <w:tc>
          <w:tcPr>
            <w:tcW w:type="dxa" w:w="481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多工作表、样式、超链接与版本化导出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部署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本机Docker Compose验证后，阿里云轻量应用服务器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Ubuntu 24.04 LTS、Nginx、HTTPS、容器化</w:t>
            </w:r>
          </w:p>
        </w:tc>
      </w:tr>
      <w:tr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邮件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SMTP</w:t>
            </w:r>
          </w:p>
        </w:tc>
        <w:tc>
          <w:tcPr>
            <w:tcW w:type="dxa" w:w="481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管理员配置，授权码加密，周报自动发送</w:t>
            </w:r>
          </w:p>
        </w:tc>
      </w:tr>
    </w:tbl>
    <w:p>
      <w:pPr>
        <w:spacing w:after="0"/>
      </w:pPr>
    </w:p>
    <w:p>
      <w:pPr>
        <w:pStyle w:val="Heading1"/>
      </w:pPr>
      <w:r>
        <w:t>6. 采集原则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核心边界</w:t>
            </w:r>
          </w:p>
          <w:p>
            <w:pPr>
              <w:spacing w:after="0"/>
            </w:pPr>
            <w:r>
              <w:t>系统只访问公开页面和公开接口，不绕过登录、验证码、签名、付费墙或访问控制。发现异常时记录“—”，不得将技术失败误记为0。</w:t>
            </w:r>
          </w:p>
        </w:tc>
      </w:tr>
    </w:tbl>
    <w:p>
      <w:pPr>
        <w:spacing w:after="0"/>
      </w:pPr>
    </w:p>
    <w:p>
      <w:pPr>
        <w:pStyle w:val="ListNumber"/>
        <w:spacing w:after="60" w:line="276" w:lineRule="auto"/>
      </w:pPr>
      <w:r>
        <w:t>优先公开站内搜索接口或JSON响应。</w:t>
      </w:r>
    </w:p>
    <w:p>
      <w:pPr>
        <w:pStyle w:val="ListNumber"/>
        <w:spacing w:after="60" w:line="276" w:lineRule="auto"/>
      </w:pPr>
      <w:r>
        <w:t>其次解析站内搜索HTML和作者/栏目分页。</w:t>
      </w:r>
    </w:p>
    <w:p>
      <w:pPr>
        <w:pStyle w:val="ListNumber"/>
        <w:spacing w:after="60" w:line="276" w:lineRule="auto"/>
      </w:pPr>
      <w:r>
        <w:t>动态加载页面使用Playwright，并复用浏览器上下文控制资源。</w:t>
      </w:r>
    </w:p>
    <w:p>
      <w:pPr>
        <w:pStyle w:val="ListNumber"/>
        <w:spacing w:after="60" w:line="276" w:lineRule="auto"/>
      </w:pPr>
      <w:r>
        <w:t>可补充RSS、Sitemap和增量栏目扫描。</w:t>
      </w:r>
    </w:p>
    <w:p>
      <w:pPr>
        <w:pStyle w:val="ListNumber"/>
        <w:spacing w:after="60" w:line="276" w:lineRule="auto"/>
      </w:pPr>
      <w:r>
        <w:t>默认检查前5页或前100条，平台可单独配置。</w:t>
      </w:r>
    </w:p>
    <w:p>
      <w:pPr>
        <w:pStyle w:val="ListNumber"/>
        <w:spacing w:after="60" w:line="276" w:lineRule="auto"/>
      </w:pPr>
      <w:r>
        <w:t>平台适配器统一输出标题、URL、发布时间、证据、错误类别。</w:t>
      </w:r>
    </w:p>
    <w:p>
      <w:pPr>
        <w:pStyle w:val="Heading1"/>
      </w:pPr>
      <w:r>
        <w:t>7. 部署和数据策略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确认方案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部署地域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中国内地阿里云轻量应用服务器；MVP公网IP临时访问，正式切换备案域名与HTTPS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访问控制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公网阶段仅开放必要端口，强密码、登录锁定、审计日志；正式域名启用HTTPS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数据保留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原创文章、转载链接、统计和人工补录保存1年；任务/邮件/运行日志和Excel保存30天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备份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数据库每日备份、保存30天；部署保留上一个可回滚镜像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首页刷新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每5分钟自动刷新并保留手动刷新；刷新只读取数据，不触发采集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时区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Asia/Shanghai，北京时间</w:t>
            </w:r>
          </w:p>
        </w:tc>
      </w:tr>
    </w:tbl>
    <w:p>
      <w:pPr>
        <w:spacing w:after="0"/>
      </w:pPr>
    </w:p>
    <w:p>
      <w:pPr>
        <w:pStyle w:val="Heading1"/>
      </w:pPr>
      <w:r>
        <w:t>8. 角色与责任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98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08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责任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业务验收人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确认需求、统计口径、样本、报表样式并签署验收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技术负责人</w:t>
            </w:r>
          </w:p>
        </w:tc>
        <w:tc>
          <w:tcPr>
            <w:tcW w:type="dxa" w:w="708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架构、代码质量、数据库、部署、安全和上线决策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运行维护负责人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平台规则维护、任务异常、邮箱、备份、账号和故障处理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开发人员</w:t>
            </w:r>
          </w:p>
        </w:tc>
        <w:tc>
          <w:tcPr>
            <w:tcW w:type="dxa" w:w="708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按基线文档实现、测试、提交代码和修复缺陷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操作人员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导入文章、创建任务、人工补录和下载报表</w:t>
            </w:r>
          </w:p>
        </w:tc>
      </w:tr>
    </w:tbl>
    <w:p>
      <w:pPr>
        <w:spacing w:after="0"/>
      </w:pPr>
    </w:p>
    <w:p>
      <w:pPr>
        <w:pStyle w:val="Heading1"/>
      </w:pPr>
      <w:r>
        <w:t>9. 上线准入条件</w:t>
      </w:r>
    </w:p>
    <w:p>
      <w:pPr>
        <w:pStyle w:val="ListBullet"/>
        <w:spacing w:after="60" w:line="276" w:lineRule="auto"/>
      </w:pPr>
      <w:r>
        <w:t>5个平台适配验证通过并保存适配卡片。</w:t>
      </w:r>
    </w:p>
    <w:p>
      <w:pPr>
        <w:pStyle w:val="ListBullet"/>
        <w:spacing w:after="60" w:line="276" w:lineRule="auto"/>
      </w:pPr>
      <w:r>
        <w:t>关键功能、权限、安全、备份恢复和邮件测试通过。</w:t>
      </w:r>
    </w:p>
    <w:p>
      <w:pPr>
        <w:pStyle w:val="ListBullet"/>
        <w:spacing w:after="60" w:line="276" w:lineRule="auto"/>
      </w:pPr>
      <w:r>
        <w:t>目标Excel与页面原型经业务确认。</w:t>
      </w:r>
    </w:p>
    <w:p>
      <w:pPr>
        <w:pStyle w:val="ListBullet"/>
        <w:spacing w:after="60" w:line="276" w:lineRule="auto"/>
      </w:pPr>
      <w:r>
        <w:t>本机完整运行至少24小时，无重复调度和阻塞。</w:t>
      </w:r>
    </w:p>
    <w:p>
      <w:pPr>
        <w:pStyle w:val="ListBullet"/>
        <w:spacing w:after="60" w:line="276" w:lineRule="auto"/>
      </w:pPr>
      <w:r>
        <w:t>生产配置、密钥、管理员账号、回滚镜像和备份均已准备。</w:t>
      </w:r>
    </w:p>
    <w:p>
      <w:pPr>
        <w:pStyle w:val="ListBullet"/>
        <w:spacing w:after="60" w:line="276" w:lineRule="auto"/>
      </w:pPr>
      <w:r>
        <w:t>验收单签署后方可上线。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项目立项与技术方案确认书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01_项目立项与技术方案确认书_V1.0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