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系统技术架构设计说明书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ARCH-V1.0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设计、开发、部署与运维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架构目标</w:t>
      </w:r>
    </w:p>
    <w:p>
      <w:pPr>
        <w:pStyle w:val="ListBullet"/>
        <w:spacing w:after="60" w:line="276" w:lineRule="auto"/>
      </w:pPr>
      <w:r>
        <w:t>支持5平台MVP并可横向扩展到20~50个平台。</w:t>
      </w:r>
    </w:p>
    <w:p>
      <w:pPr>
        <w:pStyle w:val="ListBullet"/>
        <w:spacing w:after="60" w:line="276" w:lineRule="auto"/>
      </w:pPr>
      <w:r>
        <w:t>任务调度可靠、幂等、可重试，任何平台失败不阻塞整体。</w:t>
      </w:r>
    </w:p>
    <w:p>
      <w:pPr>
        <w:pStyle w:val="ListBullet"/>
        <w:spacing w:after="60" w:line="276" w:lineRule="auto"/>
      </w:pPr>
      <w:r>
        <w:t>前后端、任务、采集、报表、邮件和存储职责分离。</w:t>
      </w:r>
    </w:p>
    <w:p>
      <w:pPr>
        <w:pStyle w:val="ListBullet"/>
        <w:spacing w:after="60" w:line="276" w:lineRule="auto"/>
      </w:pPr>
      <w:r>
        <w:t>平台规则和适配器可独立维护，平台改版时最小化影响。</w:t>
      </w:r>
    </w:p>
    <w:p>
      <w:pPr>
        <w:pStyle w:val="ListBullet"/>
        <w:spacing w:after="60" w:line="276" w:lineRule="auto"/>
      </w:pPr>
      <w:r>
        <w:t>本机Docker Compose完整运行后，以同构方式部署阿里云。</w:t>
      </w:r>
    </w:p>
    <w:p>
      <w:pPr>
        <w:pStyle w:val="Heading1"/>
      </w:pPr>
      <w:r>
        <w:t>2. 逻辑分层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81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表示层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Vue 3 / Element Plus / ECharts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工作台、文章、任务、矩阵、明细、报表、维护。</w:t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API层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Django REST Framework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鉴权、序列化、过滤、分页、幂等、错误码。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领域服务层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Article/Batch/Detection/Report/Mail Services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业务规则、状态计算、统计口径、版本管理。</w:t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任务层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Celery Worker + Celery Beat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小时采集、日报、周报、邮件、清理、备份。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采集层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Adapter Registry + HTTP/Playwright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按平台执行搜索、解析、详情校验、证据保存。</w:t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数据层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MySQL + Redis + 文件目录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业务数据、锁、队列、缓存、Excel和备份。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基础设施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Nginx + Docker Compose + Ubuntu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反向代理、TLS、容器、日志和健康检查。</w:t>
            </w:r>
          </w:p>
        </w:tc>
      </w:tr>
    </w:tbl>
    <w:p>
      <w:pPr>
        <w:spacing w:after="0"/>
      </w:pPr>
    </w:p>
    <w:p>
      <w:pPr>
        <w:pStyle w:val="Heading1"/>
      </w:pPr>
      <w:r>
        <w:t>3. 生产组件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容器/进程</w:t>
            </w:r>
          </w:p>
        </w:tc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5216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nginx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静态资源、反向代理、TLS、上传下载限制。</w:t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web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2（可从1起）</w:t>
            </w:r>
          </w:p>
        </w:tc>
        <w:tc>
          <w:tcPr>
            <w:tcW w:type="dxa" w:w="521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Gunicorn运行Django/DRF，健康检查。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celery_worker_http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普通HTTP平台采集，低资源。</w:t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celery_worker_browser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21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Playwright采集，低并发、高内存队列。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celery_worker_report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Excel、邮件、清理和备份。</w:t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celery_beat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1且只能1</w:t>
            </w:r>
          </w:p>
        </w:tc>
        <w:tc>
          <w:tcPr>
            <w:tcW w:type="dxa" w:w="521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调度器，避免重复调度。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redis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Broker、锁、短期缓存。</w:t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mysql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21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MVP同机容器；正式可迁RDS。</w:t>
            </w:r>
          </w:p>
        </w:tc>
      </w:tr>
    </w:tbl>
    <w:p>
      <w:pPr>
        <w:spacing w:after="0"/>
      </w:pPr>
    </w:p>
    <w:p>
      <w:pPr>
        <w:pStyle w:val="Heading1"/>
      </w:pPr>
      <w:r>
        <w:t>4. 关键时序</w:t>
      </w:r>
    </w:p>
    <w:p>
      <w:pPr>
        <w:pStyle w:val="ListNumber"/>
        <w:spacing w:after="60" w:line="276" w:lineRule="auto"/>
      </w:pPr>
      <w:r>
        <w:t>用户创建自动批次，API在事务中写入批次、文章快照和平台快照。</w:t>
      </w:r>
    </w:p>
    <w:p>
      <w:pPr>
        <w:pStyle w:val="ListNumber"/>
        <w:spacing w:after="60" w:line="276" w:lineRule="auto"/>
      </w:pPr>
      <w:r>
        <w:t>事务提交后发布首轮detect_batch任务；任务获取批次分布式锁。</w:t>
      </w:r>
    </w:p>
    <w:p>
      <w:pPr>
        <w:pStyle w:val="ListNumber"/>
        <w:spacing w:after="60" w:line="276" w:lineRule="auto"/>
      </w:pPr>
      <w:r>
        <w:t>按平台产生子任务，平台并发=1，普通HTTP和浏览器队列分开。</w:t>
      </w:r>
    </w:p>
    <w:p>
      <w:pPr>
        <w:pStyle w:val="ListNumber"/>
        <w:spacing w:after="60" w:line="276" w:lineRule="auto"/>
      </w:pPr>
      <w:r>
        <w:t>适配器输出DetectionEvidence列表或结构化错误。</w:t>
      </w:r>
    </w:p>
    <w:p>
      <w:pPr>
        <w:pStyle w:val="ListNumber"/>
        <w:spacing w:after="60" w:line="276" w:lineRule="auto"/>
      </w:pPr>
      <w:r>
        <w:t>服务层在事务中写检测运行、文章平台状态、转载链接和健康记录。</w:t>
      </w:r>
    </w:p>
    <w:p>
      <w:pPr>
        <w:pStyle w:val="ListNumber"/>
        <w:spacing w:after="60" w:line="276" w:lineRule="auto"/>
      </w:pPr>
      <w:r>
        <w:t>批次聚合任务重算矩阵和KPI，释放锁，前端下一次刷新可见。</w:t>
      </w:r>
    </w:p>
    <w:p>
      <w:pPr>
        <w:pStyle w:val="ListNumber"/>
        <w:spacing w:after="60" w:line="276" w:lineRule="auto"/>
      </w:pPr>
      <w:r>
        <w:t>Beat每小时触发活动批次；周一07:00最后执行，结束标记。</w:t>
      </w:r>
    </w:p>
    <w:p>
      <w:pPr>
        <w:pStyle w:val="ListNumber"/>
        <w:spacing w:after="60" w:line="276" w:lineRule="auto"/>
      </w:pPr>
      <w:r>
        <w:t>日报/周报任务根据原始数据重新聚合并生成版本化Excel。</w:t>
      </w:r>
    </w:p>
    <w:p>
      <w:pPr>
        <w:pStyle w:val="Heading1"/>
      </w:pPr>
      <w:r>
        <w:t>5. 平台适配器协议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class PlatformAdapter(Protocol):</w:t>
              <w:br/>
              <w:t xml:space="preserve">    platform_code: str</w:t>
              <w:br/>
              <w:t xml:space="preserve">    def search(self, *, title: str, limit: int, context: FetchContext) -&gt; list[Candidate]: ...</w:t>
              <w:br/>
              <w:t xml:space="preserve">    def normalize(self, candidate: Candidate) -&gt; NormalizedCandidate: ...</w:t>
              <w:br/>
              <w:t xml:space="preserve">    def verify(self, candidate: NormalizedCandidate, original_title: str) -&gt; Evidence: ...</w:t>
              <w:br/>
              <w:t xml:space="preserve">    def healthcheck(self) -&gt; HealthResult: ...</w:t>
              <w:br/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输出字段</w:t>
            </w:r>
          </w:p>
        </w:tc>
        <w:tc>
          <w:tcPr>
            <w:tcW w:type="dxa" w:w="6236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raw_title / normalized_title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原始标题与标准化标题。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raw_url / normalized_url / final_url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发现链接、规范化链接、跳转最终链接。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published_at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页面公开时间，可空。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source_page / request_fingerprint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搜索证据和脱敏请求指纹。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match_result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MATCHED、NOT_MATCHED、UNKNOWN。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error_code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TIMEOUT、CAPTCHA、LOGIN_REQUIRED、PARSE_CHANGED等。</w:t>
            </w:r>
          </w:p>
        </w:tc>
      </w:tr>
    </w:tbl>
    <w:p>
      <w:pPr>
        <w:spacing w:after="0"/>
      </w:pPr>
    </w:p>
    <w:p>
      <w:pPr>
        <w:pStyle w:val="Heading1"/>
      </w:pPr>
      <w:r>
        <w:t>6. 采集层级与降级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595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适用与降级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L1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公开JSON/搜索接口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最稳定；无登录、无动态签名时优先。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L2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HTML搜索页/作者页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解析结果页和分页，保存HTML摘要哈希。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L3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RSS/Sitemap/栏目增量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无搜索时扫描公开列表并记录游标。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L4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Playwright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JS动态页面；限制浏览器并发与资源。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专用适配器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复杂平台，代码实现并纳入回归测试。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失败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—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不尝试绕过验证码/登录，记录健康告警。</w:t>
            </w:r>
          </w:p>
        </w:tc>
      </w:tr>
    </w:tbl>
    <w:p>
      <w:pPr>
        <w:spacing w:after="0"/>
      </w:pPr>
    </w:p>
    <w:p>
      <w:pPr>
        <w:pStyle w:val="Heading1"/>
      </w:pPr>
      <w:r>
        <w:t>7. 幂等与并发</w:t>
      </w:r>
    </w:p>
    <w:p>
      <w:pPr>
        <w:pStyle w:val="ListBullet"/>
        <w:spacing w:after="60" w:line="276" w:lineRule="auto"/>
      </w:pPr>
      <w:r>
        <w:t>批次轮次唯一键：batch_id + scheduled_at。</w:t>
      </w:r>
    </w:p>
    <w:p>
      <w:pPr>
        <w:pStyle w:val="ListBullet"/>
        <w:spacing w:after="60" w:line="276" w:lineRule="auto"/>
      </w:pPr>
      <w:r>
        <w:t>转载链接唯一键：article_id + platform_id + normalized_url_hash。</w:t>
      </w:r>
    </w:p>
    <w:p>
      <w:pPr>
        <w:pStyle w:val="ListBullet"/>
        <w:spacing w:after="60" w:line="276" w:lineRule="auto"/>
      </w:pPr>
      <w:r>
        <w:t>Celery任务使用业务幂等键，不依赖消息只投递一次。</w:t>
      </w:r>
    </w:p>
    <w:p>
      <w:pPr>
        <w:pStyle w:val="ListBullet"/>
        <w:spacing w:after="60" w:line="276" w:lineRule="auto"/>
      </w:pPr>
      <w:r>
        <w:t>Redis锁用于批次重入保护，数据库唯一约束是最终防线。</w:t>
      </w:r>
    </w:p>
    <w:p>
      <w:pPr>
        <w:pStyle w:val="ListBullet"/>
        <w:spacing w:after="60" w:line="276" w:lineRule="auto"/>
      </w:pPr>
      <w:r>
        <w:t>平台并发默认1，请求间隔可配置；浏览器队列最大并发建议2。</w:t>
      </w:r>
    </w:p>
    <w:p>
      <w:pPr>
        <w:pStyle w:val="ListBullet"/>
        <w:spacing w:after="60" w:line="276" w:lineRule="auto"/>
      </w:pPr>
      <w:r>
        <w:t>任务超时后标记失败并释放锁，下一小时可重新执行。</w:t>
      </w:r>
    </w:p>
    <w:p>
      <w:pPr>
        <w:pStyle w:val="Heading1"/>
      </w:pPr>
      <w:r>
        <w:t>8. 缓存与状态刷新</w:t>
      </w:r>
    </w:p>
    <w:p>
      <w:pPr>
        <w:spacing w:after="100" w:line="300" w:lineRule="auto"/>
      </w:pPr>
      <w:r>
        <w:rPr>
          <w:b w:val="0"/>
        </w:rPr>
        <w:t>首页KPI可缓存5分钟，任务完成后删除对应批次缓存。矩阵和明细以数据库为真源；Redis不保存不可恢复的业务事实。前端5分钟轮询，任务详情页运行中可按30秒轮询单个任务。</w:t>
      </w:r>
    </w:p>
    <w:p>
      <w:pPr>
        <w:pStyle w:val="Heading1"/>
      </w:pPr>
      <w:r>
        <w:t>9. 文件和报表</w:t>
      </w:r>
    </w:p>
    <w:p>
      <w:pPr>
        <w:pStyle w:val="ListBullet"/>
        <w:spacing w:after="60" w:line="276" w:lineRule="auto"/>
      </w:pPr>
      <w:r>
        <w:t>报表先写临时文件，再原子重命名到正式路径。</w:t>
      </w:r>
    </w:p>
    <w:p>
      <w:pPr>
        <w:pStyle w:val="ListBullet"/>
        <w:spacing w:after="60" w:line="276" w:lineRule="auto"/>
      </w:pPr>
      <w:r>
        <w:t>文件路径按year/week/report_id/version组织，禁止使用用户输入直接拼接路径。</w:t>
      </w:r>
    </w:p>
    <w:p>
      <w:pPr>
        <w:pStyle w:val="ListBullet"/>
        <w:spacing w:after="60" w:line="276" w:lineRule="auto"/>
      </w:pPr>
      <w:r>
        <w:t>数据库记录SHA-256、大小、版本、生成条件和过期时间。</w:t>
      </w:r>
    </w:p>
    <w:p>
      <w:pPr>
        <w:pStyle w:val="ListBullet"/>
        <w:spacing w:after="60" w:line="276" w:lineRule="auto"/>
      </w:pPr>
      <w:r>
        <w:t>下载接口鉴权并通过Nginx X-Accel-Redirect传输。</w:t>
      </w:r>
    </w:p>
    <w:p>
      <w:pPr>
        <w:pStyle w:val="ListBullet"/>
        <w:spacing w:after="60" w:line="276" w:lineRule="auto"/>
      </w:pPr>
      <w:r>
        <w:t>30天后清理文件，但数据库可重建。</w:t>
      </w:r>
    </w:p>
    <w:p>
      <w:pPr>
        <w:pStyle w:val="Heading1"/>
      </w:pPr>
      <w:r>
        <w:t>10. 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指标/日志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应用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请求数、错误率、P95、登录失败、导入失败。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排队时间、执行时长、成功/失败、重试、锁冲突。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成功率、连续失败、验证码、解析变更、每轮结果数。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资源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CPU、内存、磁盘、容器重启、MySQL连接、Redis队列。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文章数、状态1/0/—、新增链接、完成率、邮件发送。</w:t>
            </w:r>
          </w:p>
        </w:tc>
      </w:tr>
    </w:tbl>
    <w:p>
      <w:pPr>
        <w:spacing w:after="0"/>
      </w:pPr>
    </w:p>
    <w:p>
      <w:pPr>
        <w:pStyle w:val="Heading1"/>
      </w:pPr>
      <w:r>
        <w:t>11. 安全架构</w:t>
      </w:r>
    </w:p>
    <w:p>
      <w:pPr>
        <w:pStyle w:val="ListBullet"/>
        <w:spacing w:after="60" w:line="276" w:lineRule="auto"/>
      </w:pPr>
      <w:r>
        <w:t>所有采集URL必须经过平台允许域名白名单验证，阻断私网、回环、元数据地址和DNS重绑定。</w:t>
      </w:r>
    </w:p>
    <w:p>
      <w:pPr>
        <w:pStyle w:val="ListBullet"/>
        <w:spacing w:after="60" w:line="276" w:lineRule="auto"/>
      </w:pPr>
      <w:r>
        <w:t>Django Session/CSRF用于Web登录；API仅同源调用。</w:t>
      </w:r>
    </w:p>
    <w:p>
      <w:pPr>
        <w:pStyle w:val="ListBullet"/>
        <w:spacing w:after="60" w:line="276" w:lineRule="auto"/>
      </w:pPr>
      <w:r>
        <w:t>权限在API服务层校验，不依赖前端隐藏按钮。</w:t>
      </w:r>
    </w:p>
    <w:p>
      <w:pPr>
        <w:pStyle w:val="ListBullet"/>
        <w:spacing w:after="60" w:line="276" w:lineRule="auto"/>
      </w:pPr>
      <w:r>
        <w:t>SMTP授权码、SECRET_KEY、数据库密码使用环境变量/加密字段。</w:t>
      </w:r>
    </w:p>
    <w:p>
      <w:pPr>
        <w:pStyle w:val="ListBullet"/>
        <w:spacing w:after="60" w:line="276" w:lineRule="auto"/>
      </w:pPr>
      <w:r>
        <w:t>上传Excel仅允许xlsx、限制大小、随机文件名、解析后立即清理临时文件。</w:t>
      </w:r>
    </w:p>
    <w:p>
      <w:pPr>
        <w:pStyle w:val="ListBullet"/>
        <w:spacing w:after="60" w:line="276" w:lineRule="auto"/>
      </w:pPr>
      <w:r>
        <w:t>生产DEBUG=False，不返回堆栈。</w:t>
      </w:r>
    </w:p>
    <w:p>
      <w:pPr>
        <w:pStyle w:val="Heading1"/>
      </w:pPr>
      <w:r>
        <w:t>12. 部署拓扑和容量</w:t>
      </w:r>
    </w:p>
    <w:p>
      <w:pPr>
        <w:spacing w:after="100" w:line="300" w:lineRule="auto"/>
      </w:pPr>
      <w:r>
        <w:rPr>
          <w:b w:val="0"/>
        </w:rPr>
        <w:t>MVP建议2核4GB起步；若5个平台中Playwright占比高，建议4核8GB。MySQL、Redis和应用可同机Docker Compose，但需限制容器资源并每日备份。扩展至20~50个平台时优先拆分浏览器Worker和数据库，必要时迁移RDS。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系统技术架构设计说明书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03_系统技术架构设计说明书_V1.0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