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API接口设计文档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API-V1.0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前后端联调、测试与安全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通用约定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约定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Base URL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/api/v1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协议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生产HTTPS；JSON UTF-8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认证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 Session + CSRF，同源Vue前端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时区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请求响应ISO 8601，UTC存储，前端显示北京时间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分页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page/page_size，默认20，最大100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排序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ordering，服务端白名单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幂等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创建批次/立即检测支持Idempotency-Key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错误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统一code/message/details/request_id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权限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API端RBAC，禁止只靠前端</w:t>
            </w:r>
          </w:p>
        </w:tc>
      </w:tr>
    </w:tbl>
    <w:p>
      <w:pPr>
        <w:spacing w:after="0"/>
      </w:pPr>
    </w:p>
    <w:p>
      <w:pPr>
        <w:pStyle w:val="Heading1"/>
      </w:pPr>
      <w:r>
        <w:t>2. 通用响应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{"success": true, "data": {...}, "meta": {"request_id": "..."}}</w:t>
              <w:br/>
              <w:t>{"success": false, "error": {"code": "PLATFORM_PARSE_CHANGED", "message": "平台解析规则失效", "details": {}}, "meta": {"request_id": "..."}}</w:t>
            </w:r>
          </w:p>
        </w:tc>
      </w:tr>
    </w:tbl>
    <w:p>
      <w:pPr>
        <w:spacing w:after="0"/>
      </w:pPr>
    </w:p>
    <w:p>
      <w:pPr>
        <w:pStyle w:val="Heading1"/>
      </w:pPr>
      <w:r>
        <w:t>3. 认证与用户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1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311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/auth/login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匿名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用户名密码登录、失败锁定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/auth/logout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已登录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退出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/auth/me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已登录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当前用户和权限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GET/POST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/users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用户列表/创建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PATCH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/users/{id}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角色、禁用、重置状态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/operation-logs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操作审计</w:t>
            </w:r>
          </w:p>
        </w:tc>
      </w:tr>
    </w:tbl>
    <w:p>
      <w:pPr>
        <w:spacing w:after="0"/>
      </w:pPr>
    </w:p>
    <w:p>
      <w:pPr>
        <w:pStyle w:val="Heading1"/>
      </w:pPr>
      <w:r>
        <w:t>4. 原创文章接口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36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/articles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查询/创建原创文章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GET/PATCH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/articles/{id}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详情/修改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/articles/bulk-paste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批量粘贴标题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/article-imports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上传xlsx并预校验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/article-imports/{id}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导入进度和行级结果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/article-imports/{id}/confirm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确认重复项并正式导入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/articles/{id}/archive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归档，不物理删除</w:t>
            </w:r>
          </w:p>
        </w:tc>
      </w:tr>
    </w:tbl>
    <w:p>
      <w:pPr>
        <w:spacing w:after="0"/>
      </w:pPr>
    </w:p>
    <w:p>
      <w:pPr>
        <w:pStyle w:val="Heading1"/>
      </w:pPr>
      <w:r>
        <w:t>5. 平台接口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36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平台列表/添加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GET/PATCH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详情/修改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/platforms/{id}/test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使用测试标题运行适配器测试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/platforms/{id}/enable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启用，只有测试通过可启用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/platforms/{id}/disable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停用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/platforms/{id}/archive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归档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/platforms/{id}/health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健康与最近错误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/platforms/{id}/adapter-versions</w:t>
            </w:r>
          </w:p>
        </w:tc>
        <w:tc>
          <w:tcPr>
            <w:tcW w:type="dxa" w:w="436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配置版本</w:t>
            </w:r>
          </w:p>
        </w:tc>
      </w:tr>
    </w:tbl>
    <w:p>
      <w:pPr>
        <w:spacing w:after="0"/>
      </w:pPr>
    </w:p>
    <w:p>
      <w:pPr>
        <w:pStyle w:val="Heading1"/>
      </w:pPr>
      <w:r>
        <w:t>6. 批次与检测接口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51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查询/创建批次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批次详情和快照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/monitor-batches/{id}/start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启动自动批次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/monitor-batches/{id}/pause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暂停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/monitor-batches/{id}/resume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恢复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/monitor-batches/{id}/run-now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立即检测一次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/monitor-batches/{id}/rounds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轮次列表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/monitor-rounds/{id}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轮次及平台运行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/monitor-platform-runs/{id}/retry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重试失败平台</w:t>
            </w:r>
          </w:p>
        </w:tc>
      </w:tr>
    </w:tbl>
    <w:p>
      <w:pPr>
        <w:spacing w:after="0"/>
      </w:pPr>
    </w:p>
    <w:p>
      <w:pPr>
        <w:pStyle w:val="Heading1"/>
      </w:pPr>
      <w:r>
        <w:t>7. 矩阵、明细和统计接口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51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/dashboard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本周/历史周KPI与趋势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/repost-matrix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文章×平台状态矩阵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/repost-links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全部转载明细筛选分页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/articles/{id}/reposts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单篇文章全部平台链接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/platforms/{id}/reposts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单平台明细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/repost-links/manual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人工补充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/repost-links/{id}/invalidate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管理员作废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/repost-links/{id}/restore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管理员恢复</w:t>
            </w:r>
          </w:p>
        </w:tc>
      </w:tr>
    </w:tbl>
    <w:p>
      <w:pPr>
        <w:spacing w:after="0"/>
      </w:pPr>
    </w:p>
    <w:p>
      <w:pPr>
        <w:pStyle w:val="Heading1"/>
      </w:pPr>
      <w:r>
        <w:t>8. 报表和邮件接口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51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/reports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查询/创建自定义报表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/reports/daily/generate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生成日报（管理员/操作人员）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/reports/weekly/generate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生成周报版本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/reports/{id}/download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鉴权下载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/reports/{id}/send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手动发送/重发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GET/PATCH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/mail-config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管理员查看掩码/修改SMTP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POST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/mail-config/test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测试邮件</w:t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GET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/mail-records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发送记录</w:t>
            </w:r>
          </w:p>
        </w:tc>
      </w:tr>
    </w:tbl>
    <w:p>
      <w:pPr>
        <w:spacing w:after="0"/>
      </w:pPr>
    </w:p>
    <w:p>
      <w:pPr>
        <w:pStyle w:val="Heading1"/>
      </w:pPr>
      <w:r>
        <w:t>9. 关键请求示例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POST /api/v1/monitor-batches</w:t>
              <w:br/>
              <w:t>{</w:t>
              <w:br/>
              <w:t xml:space="preserve">  "name": "2026年第32周自动监测批次",</w:t>
              <w:br/>
              <w:t xml:space="preserve">  "batch_type": "AUTO",</w:t>
              <w:br/>
              <w:t xml:space="preserve">  "article_ids": [101,102],</w:t>
              <w:br/>
              <w:t xml:space="preserve">  "platform_ids": [],</w:t>
              <w:br/>
              <w:t xml:space="preserve">  "use_all_enabled_platforms_when_empty": true,</w:t>
              <w:br/>
              <w:t xml:space="preserve">  "frequency_minutes": 60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POST /api/v1/repost-links/manual</w:t>
              <w:br/>
              <w:t>{</w:t>
              <w:br/>
              <w:t xml:space="preserve">  "article_id": 101,</w:t>
              <w:br/>
              <w:t xml:space="preserve">  "platform_id": 5,</w:t>
              <w:br/>
              <w:t xml:space="preserve">  "repost_title": "涉嫌信披违规 联创光电被立案调查",</w:t>
              <w:br/>
              <w:t xml:space="preserve">  "url": "https://example.com/a/123",</w:t>
              <w:br/>
              <w:t xml:space="preserve">  "published_at": null,</w:t>
              <w:br/>
              <w:t xml:space="preserve">  "reason": "自动搜索未及时收录，人工核实补充"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10.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11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业务码</w:t>
            </w:r>
          </w:p>
        </w:tc>
        <w:tc>
          <w:tcPr>
            <w:tcW w:type="dxa" w:w="481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400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VALIDATION_ERROR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字段校验失败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401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AUTH_REQUIRED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未登录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PERMISSION_DENIED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无权限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404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RESOURCE_NOT_FOUND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资源不存在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409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DUPLICATE_RESOURCE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重复链接/重复批次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409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BATCH_ALREADY_RUNNING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批次轮次正在执行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422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PLATFORM_NOT_READY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平台未测试或未启用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422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URL_DOMAIN_NOT_ALLOWED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人工链接不属于平台允许域名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429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TOO_MANY_REQUESTS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操作限频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500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INTERNAL_ERROR</w:t>
            </w:r>
          </w:p>
        </w:tc>
        <w:tc>
          <w:tcPr>
            <w:tcW w:type="dxa" w:w="481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内部错误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503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TASK_QUEUE_UNAVAILABLE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任务队列不可用</w:t>
            </w:r>
          </w:p>
        </w:tc>
      </w:tr>
    </w:tbl>
    <w:p>
      <w:pPr>
        <w:spacing w:after="0"/>
      </w:pPr>
    </w:p>
    <w:p>
      <w:pPr>
        <w:pStyle w:val="Heading1"/>
      </w:pPr>
      <w:r>
        <w:t>11. 安全和审计</w:t>
      </w:r>
    </w:p>
    <w:p>
      <w:pPr>
        <w:pStyle w:val="ListBullet"/>
        <w:spacing w:after="60" w:line="276" w:lineRule="auto"/>
      </w:pPr>
      <w:r>
        <w:t>所有写接口校验CSRF和权限。</w:t>
      </w:r>
    </w:p>
    <w:p>
      <w:pPr>
        <w:pStyle w:val="ListBullet"/>
        <w:spacing w:after="60" w:line="276" w:lineRule="auto"/>
      </w:pPr>
      <w:r>
        <w:t>人工URL进入数据库前进行SSRF安全校验和域名归属校验。</w:t>
      </w:r>
    </w:p>
    <w:p>
      <w:pPr>
        <w:pStyle w:val="ListBullet"/>
        <w:spacing w:after="60" w:line="276" w:lineRule="auto"/>
      </w:pPr>
      <w:r>
        <w:t>敏感配置接口永不返回完整授权码。</w:t>
      </w:r>
    </w:p>
    <w:p>
      <w:pPr>
        <w:pStyle w:val="ListBullet"/>
        <w:spacing w:after="60" w:line="276" w:lineRule="auto"/>
      </w:pPr>
      <w:r>
        <w:t>批次、平台、补录、作废、报表、邮件和用户变更写操作日志。</w:t>
      </w:r>
    </w:p>
    <w:p>
      <w:pPr>
        <w:pStyle w:val="ListBullet"/>
        <w:spacing w:after="60" w:line="276" w:lineRule="auto"/>
      </w:pPr>
      <w:r>
        <w:t>下载使用短期授权或X-Accel-Redirect，不暴露服务器文件路径。</w:t>
      </w:r>
    </w:p>
    <w:p>
      <w:pPr>
        <w:pStyle w:val="Heading1"/>
      </w:pPr>
      <w:r>
        <w:t>12. OpenAPI与联调</w:t>
      </w:r>
    </w:p>
    <w:p>
      <w:pPr>
        <w:spacing w:after="100" w:line="300" w:lineRule="auto"/>
      </w:pPr>
      <w:r>
        <w:rPr>
          <w:b w:val="0"/>
        </w:rPr>
        <w:t>开发阶段由drf-spectacular生成OpenAPI 3文档，CI校验Schema变更。前端API客户端由Schema生成或统一封装，禁止页面散落硬编码URL。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API接口设计文档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05_API接口设计文档_V1.0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