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eastAsia="Noto Sans CJK SC"/>
          <w:b/>
          <w:color w:val="2B2D31"/>
          <w:sz w:val="48"/>
        </w:rPr>
        <w:t>文章转载监测系统</w:t>
      </w:r>
    </w:p>
    <w:p>
      <w:pPr>
        <w:spacing w:before="240"/>
        <w:jc w:val="center"/>
      </w:pPr>
      <w:r>
        <w:rPr>
          <w:rFonts w:eastAsia="Noto Sans CJK SC"/>
          <w:b/>
          <w:color w:val="C90016"/>
          <w:sz w:val="56"/>
        </w:rPr>
        <w:t>平台采集适配与可行性验证报告</w:t>
      </w:r>
    </w:p>
    <w:p>
      <w:pPr>
        <w:jc w:val="center"/>
      </w:pPr>
      <w:r>
        <w:rPr>
          <w:b/>
          <w:color w:val="2B2D31"/>
          <w:sz w:val="32"/>
        </w:rPr>
        <w:t>V1.0</w:t>
      </w:r>
    </w:p>
    <w:p>
      <w:pPr>
        <w:spacing w:after="9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2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文档编号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COLLECT-V1.0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版本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状态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正式基线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编制日期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2026-08-06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适用阶段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平台适配、验证与维护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责任人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业务验收、技术负责与运行维护：项目负责人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DEF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文档说明</w:t>
            </w:r>
          </w:p>
          <w:p>
            <w:pPr>
              <w:spacing w:after="0"/>
            </w:pPr>
            <w:r>
              <w:t>本文件为正式生产环境V1.0基线。开发、测试、部署、验收和后续变更均应以本文件及配套文档为依据；未明确事项进入问题台账，不得以口头约定直接改变生产范围。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变更说明</w:t>
            </w:r>
          </w:p>
        </w:tc>
        <w:tc>
          <w:tcPr>
            <w:tcW w:type="dxa" w:w="136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V1.0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2026-08-06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首次正式生产基线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已确认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160"/>
      </w:pPr>
      <w:r>
        <w:t>本文采用静态章节目录。打开Word后可通过“导航窗格”按标题跳转。</w:t>
      </w:r>
    </w:p>
    <w:p>
      <w:pPr>
        <w:pStyle w:val="Heading1"/>
      </w:pPr>
      <w:r>
        <w:t>1. 报告范围与结论</w:t>
      </w:r>
    </w:p>
    <w:p>
      <w:pPr>
        <w:spacing w:after="100" w:line="300" w:lineRule="auto"/>
      </w:pPr>
      <w:r>
        <w:rPr>
          <w:b w:val="0"/>
        </w:rPr>
        <w:t>本报告根据用户提供的原创文章与已知转载链接、公开页面初步访问结果和系统约束，形成首批5个平台的适配设计。实际XHR请求、分页参数、Cookie和响应字段必须由开发人员在本机通过浏览器开发者工具或Playwright Trace复核并保存脱敏证据；该工作由开发方完成，不要求业务用户提供抓包参数。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DEF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初步结论</w:t>
            </w:r>
          </w:p>
          <w:p>
            <w:pPr>
              <w:spacing w:after="0"/>
            </w:pPr>
            <w:r>
              <w:t>5个平台均有已知真实转载链接，可用于正样本验证。V1.0不依赖百度搜索API；采用站内公开搜索/公开页面/作者或栏目扫描/Playwright组合。若出现登录、验证码或访问限制，结果为“—”，不绕过限制。</w:t>
            </w:r>
          </w:p>
        </w:tc>
      </w:tr>
    </w:tbl>
    <w:p>
      <w:pPr>
        <w:spacing w:after="0"/>
      </w:pPr>
    </w:p>
    <w:p>
      <w:pPr>
        <w:pStyle w:val="Heading1"/>
      </w:pPr>
      <w:r>
        <w:t>2. 验证样本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6803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原创标题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涉嫌信披违规 联创光电被立案调查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原创页面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https://static.weeklyonstock.com/26/0805/mumu095018.html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今日头条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https://www.toutiao.com/item/7670360688531702307/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搜狐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https://www.sohu.com/a/1058938527_135869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雪球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http://xueqiu.com/2994748381/403716788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百家号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http://baijiahao.baidu.com/s?id=1872646743062235511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东方财富财富号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https://caifuhao.eastmoney.com/news/20260805100007278296600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15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e5a006-0ac2-4e63-8d0a-eeffcfa4da4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1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用户提供的原创及转载链接样本</w:t>
      </w:r>
    </w:p>
    <w:p>
      <w:pPr>
        <w:pStyle w:val="Heading1"/>
      </w:pPr>
      <w:r>
        <w:t>3. 通用适配流程</w:t>
      </w:r>
    </w:p>
    <w:p>
      <w:pPr>
        <w:pStyle w:val="ListNumber"/>
        <w:spacing w:after="60" w:line="276" w:lineRule="auto"/>
      </w:pPr>
      <w:r>
        <w:t>打开平台公开搜索/作者页/栏目页，使用完整标题执行一次人工搜索。</w:t>
      </w:r>
    </w:p>
    <w:p>
      <w:pPr>
        <w:pStyle w:val="ListNumber"/>
        <w:spacing w:after="60" w:line="276" w:lineRule="auto"/>
      </w:pPr>
      <w:r>
        <w:t>DevTools Network中筛选Fetch/XHR/Document，保存HAR或“Copy as cURL”。</w:t>
      </w:r>
    </w:p>
    <w:p>
      <w:pPr>
        <w:pStyle w:val="ListNumber"/>
        <w:spacing w:after="60" w:line="276" w:lineRule="auto"/>
      </w:pPr>
      <w:r>
        <w:t>脱敏Cookie、Token、账号等敏感字段，记录请求方法、URL、参数、分页和响应结构。</w:t>
      </w:r>
    </w:p>
    <w:p>
      <w:pPr>
        <w:pStyle w:val="ListNumber"/>
        <w:spacing w:after="60" w:line="276" w:lineRule="auto"/>
      </w:pPr>
      <w:r>
        <w:t>用httpx重放公开请求；成功则实现HTTP适配器。</w:t>
      </w:r>
    </w:p>
    <w:p>
      <w:pPr>
        <w:pStyle w:val="ListNumber"/>
        <w:spacing w:after="60" w:line="276" w:lineRule="auto"/>
      </w:pPr>
      <w:r>
        <w:t>若普通请求无内容且页面依赖JS，使用Playwright监听response并优先解析网络JSON。</w:t>
      </w:r>
    </w:p>
    <w:p>
      <w:pPr>
        <w:pStyle w:val="ListNumber"/>
        <w:spacing w:after="60" w:line="276" w:lineRule="auto"/>
      </w:pPr>
      <w:r>
        <w:t>无搜索时使用作者主页、栏目分页、RSS或Sitemap增量扫描。</w:t>
      </w:r>
    </w:p>
    <w:p>
      <w:pPr>
        <w:pStyle w:val="ListNumber"/>
        <w:spacing w:after="60" w:line="276" w:lineRule="auto"/>
      </w:pPr>
      <w:r>
        <w:t>记录正常无结果样本，确保与异常空页可区分。</w:t>
      </w:r>
    </w:p>
    <w:p>
      <w:pPr>
        <w:pStyle w:val="ListNumber"/>
        <w:spacing w:after="60" w:line="276" w:lineRule="auto"/>
      </w:pPr>
      <w:r>
        <w:t>将适配器加入固定样本回归测试，连续3次失败触发规则失效告警。</w:t>
      </w:r>
    </w:p>
    <w:p>
      <w:pPr>
        <w:pStyle w:val="Heading1"/>
      </w:pPr>
      <w:r>
        <w:t>4. 适配卡片字段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803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记录要求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平台/适配器版本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平台代码、配置版本、代码提交SHA。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检测方式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API/HTML/Playwright/栏目/RSS/Sitemap。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搜索请求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方法、URL模板、查询参数、必要请求头。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分页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页码/游标、最大页数、终止条件。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解析规则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标题、URL、发布时间、结果容器。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正常0判定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HTTP/业务状态、结果列表为空的明确证据。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异常判定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验证码、登录、限流、结构变化等错误码。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频率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间隔、超时、重试、并发。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证据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脱敏请求、响应片段哈希、截图、验证时间。</w:t>
            </w:r>
          </w:p>
        </w:tc>
      </w:tr>
    </w:tbl>
    <w:p>
      <w:pPr>
        <w:spacing w:after="0"/>
      </w:pPr>
    </w:p>
    <w:p>
      <w:pPr>
        <w:pStyle w:val="Heading1"/>
      </w:pPr>
      <w:r>
        <w:t>5. 今日头条适配卡片（初始设计）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项</w:t>
            </w:r>
          </w:p>
        </w:tc>
        <w:tc>
          <w:tcPr>
            <w:tcW w:type="dxa" w:w="6803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初始方案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已知详情域名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www.toutiao.com/item/...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优先路径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公开站内搜索页面或搜索网络响应；其次指定公开账号/作者页面增量扫描。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建议实现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Playwright打开公开搜索，监听JSON响应；若接口无需动态签名再转httpx。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标题提取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搜索结果title字段或卡片标题DOM；详情页h1用于复核。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链接提取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item详情URL并规范化。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0判定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搜索成功、结果容器/JSON明确返回且检查前5页或100条无匹配。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—条件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验证码、登录墙、风控、空白但无法证明正常无结果。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频率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并发1，间隔≥2秒，失败重试2次但不绕过风控。</w:t>
            </w:r>
          </w:p>
        </w:tc>
      </w:tr>
    </w:tbl>
    <w:p>
      <w:pPr>
        <w:spacing w:after="0"/>
      </w:pPr>
    </w:p>
    <w:p>
      <w:pPr>
        <w:pStyle w:val="Heading1"/>
      </w:pPr>
      <w:r>
        <w:t>6. 搜狐适配卡片（初始设计）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项</w:t>
            </w:r>
          </w:p>
        </w:tc>
        <w:tc>
          <w:tcPr>
            <w:tcW w:type="dxa" w:w="6803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初始方案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已知详情域名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www.sohu.com/a/...、m.sohu.com/a/...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优先路径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公开搜索结果HTML/接口；作者主页或站内检索补充。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建议实现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httpx解析HTML优先；移动/桌面URL归一化为同一文章标识。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标题提取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搜索结果卡片标题和详情h1。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分页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检查前5页/100条，平台配置可调整。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0判定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页面状态正常、结果区解析成功并明确无匹配。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风险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搜索页面模板和scm跟踪参数变化；需去除跟踪参数。</w:t>
            </w:r>
          </w:p>
        </w:tc>
      </w:tr>
    </w:tbl>
    <w:p>
      <w:pPr>
        <w:spacing w:after="0"/>
      </w:pPr>
    </w:p>
    <w:p>
      <w:pPr>
        <w:pStyle w:val="Heading1"/>
      </w:pPr>
      <w:r>
        <w:t>7. 雪球适配卡片（初始设计）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项</w:t>
            </w:r>
          </w:p>
        </w:tc>
        <w:tc>
          <w:tcPr>
            <w:tcW w:type="dxa" w:w="6803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初始方案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已知详情域名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xueqiu.com/{user}/{article_id}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优先路径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公开搜索/用户主页时间线；详情公开访问复核。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建议实现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Playwright优先，监听时间线/搜索响应；若接口要求动态会话则仅使用页面渲染。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标题提取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卡片/详情标题；注意无标题长帖和PDF结果排除。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0判定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公开结果加载完成、无登录要求并扫描规定范围。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风险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部分内容登录可见、动态接口Cookie、风控。</w:t>
            </w:r>
          </w:p>
        </w:tc>
      </w:tr>
    </w:tbl>
    <w:p>
      <w:pPr>
        <w:spacing w:after="0"/>
      </w:pPr>
    </w:p>
    <w:p>
      <w:pPr>
        <w:pStyle w:val="Heading1"/>
      </w:pPr>
      <w:r>
        <w:t>8. 百家号适配卡片（初始设计）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项</w:t>
            </w:r>
          </w:p>
        </w:tc>
        <w:tc>
          <w:tcPr>
            <w:tcW w:type="dxa" w:w="6803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初始方案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已知详情域名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baijiahao.baidu.com/s?id=...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优先路径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公开作者页/搜索结果；页面详情用于标题复核。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建议实现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HTML或Playwright；仅访问公开结果，不抓百度通用搜索页面作为主链路。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链接规范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保留s?id参数并删除无关跟踪参数。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0判定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作者页/配置搜索来源成功并扫描规定范围。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风险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通用搜索索引依赖、页面跳转、移动端模板变化。</w:t>
            </w:r>
          </w:p>
        </w:tc>
      </w:tr>
    </w:tbl>
    <w:p>
      <w:pPr>
        <w:spacing w:after="0"/>
      </w:pPr>
    </w:p>
    <w:p>
      <w:pPr>
        <w:pStyle w:val="Heading1"/>
      </w:pPr>
      <w:r>
        <w:t>9. 东方财富财富号适配卡片（初始设计）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项</w:t>
            </w:r>
          </w:p>
        </w:tc>
        <w:tc>
          <w:tcPr>
            <w:tcW w:type="dxa" w:w="6803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初始方案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已知详情域名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caifuhao.eastmoney.com/news/...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优先路径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财富号站内搜索/作者主页/栏目公开列表。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建议实现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httpx HTML优先；动态加载时Playwright监听XHR。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标题/时间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列表标题和详情标题；公开发布时间可提取时保存。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0判定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公开列表/搜索响应正常、分页完整且无匹配。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风险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不同终端域名、URL重定向和内容加载方式变化。</w:t>
            </w:r>
          </w:p>
        </w:tc>
      </w:tr>
    </w:tbl>
    <w:p>
      <w:pPr>
        <w:spacing w:after="0"/>
      </w:pPr>
    </w:p>
    <w:p>
      <w:pPr>
        <w:pStyle w:val="Heading1"/>
      </w:pPr>
      <w:r>
        <w:t>10. 本机实测记录模板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rPr>
          <w:tblHeader w:val="true"/>
        </w:trPr>
        <w:tc>
          <w:tcPr>
            <w:tcW w:type="dxa" w:w="124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平台</w:t>
            </w:r>
          </w:p>
        </w:tc>
        <w:tc>
          <w:tcPr>
            <w:tcW w:type="dxa" w:w="136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198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请求/页面</w:t>
            </w:r>
          </w:p>
        </w:tc>
        <w:tc>
          <w:tcPr>
            <w:tcW w:type="dxa" w:w="85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结果数</w:t>
            </w:r>
          </w:p>
        </w:tc>
        <w:tc>
          <w:tcPr>
            <w:tcW w:type="dxa" w:w="124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已知链接检出</w:t>
            </w:r>
          </w:p>
        </w:tc>
        <w:tc>
          <w:tcPr>
            <w:tcW w:type="dxa" w:w="85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耗时</w:t>
            </w:r>
          </w:p>
        </w:tc>
        <w:tc>
          <w:tcPr>
            <w:tcW w:type="dxa" w:w="124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错误</w:t>
            </w:r>
          </w:p>
        </w:tc>
        <w:tc>
          <w:tcPr>
            <w:tcW w:type="dxa" w:w="113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124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今日头条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待实测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待保存脱敏HAR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</w:tr>
      <w:tr>
        <w:tc>
          <w:tcPr>
            <w:tcW w:type="dxa" w:w="124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搜狐</w:t>
            </w:r>
          </w:p>
        </w:tc>
        <w:tc>
          <w:tcPr>
            <w:tcW w:type="dxa" w:w="136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待实测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待保存脱敏HAR</w:t>
            </w:r>
          </w:p>
        </w:tc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24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24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</w:tr>
      <w:tr>
        <w:tc>
          <w:tcPr>
            <w:tcW w:type="dxa" w:w="124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雪球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待实测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待保存脱敏HAR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</w:tr>
      <w:tr>
        <w:tc>
          <w:tcPr>
            <w:tcW w:type="dxa" w:w="124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百家号</w:t>
            </w:r>
          </w:p>
        </w:tc>
        <w:tc>
          <w:tcPr>
            <w:tcW w:type="dxa" w:w="136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待实测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待保存脱敏HAR</w:t>
            </w:r>
          </w:p>
        </w:tc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24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24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</w:tr>
      <w:tr>
        <w:tc>
          <w:tcPr>
            <w:tcW w:type="dxa" w:w="124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东方财富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待实测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待保存脱敏HAR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11. 验证通过标准</w:t>
      </w:r>
    </w:p>
    <w:p>
      <w:pPr>
        <w:pStyle w:val="ListBullet"/>
        <w:spacing w:after="60" w:line="276" w:lineRule="auto"/>
      </w:pPr>
      <w:r>
        <w:t>每个平台至少使用1条已知真实转载链接验证状态1。</w:t>
      </w:r>
    </w:p>
    <w:p>
      <w:pPr>
        <w:pStyle w:val="ListBullet"/>
        <w:spacing w:after="60" w:line="276" w:lineRule="auto"/>
      </w:pPr>
      <w:r>
        <w:t>正样本集合总体检出率≥95%；空白历史单元格不得当作状态0。</w:t>
      </w:r>
    </w:p>
    <w:p>
      <w:pPr>
        <w:pStyle w:val="ListBullet"/>
        <w:spacing w:after="60" w:line="276" w:lineRule="auto"/>
      </w:pPr>
      <w:r>
        <w:t>人工确认的负样本用于误报率≤2%验证。</w:t>
      </w:r>
    </w:p>
    <w:p>
      <w:pPr>
        <w:pStyle w:val="ListBullet"/>
        <w:spacing w:after="60" w:line="276" w:lineRule="auto"/>
      </w:pPr>
      <w:r>
        <w:t>异常场景必须返回—并保存结构化错误。</w:t>
      </w:r>
    </w:p>
    <w:p>
      <w:pPr>
        <w:pStyle w:val="ListBullet"/>
        <w:spacing w:after="60" w:line="276" w:lineRule="auto"/>
      </w:pPr>
      <w:r>
        <w:t>相同页面不同跟踪URL去重。</w:t>
      </w:r>
    </w:p>
    <w:p>
      <w:pPr>
        <w:pStyle w:val="ListBullet"/>
        <w:spacing w:after="60" w:line="276" w:lineRule="auto"/>
      </w:pPr>
      <w:r>
        <w:t>适配卡片、脱敏HAR/请求、响应片段、截图和验证时间归档。</w:t>
      </w:r>
    </w:p>
    <w:p>
      <w:pPr>
        <w:pStyle w:val="Heading1"/>
      </w:pPr>
      <w:r>
        <w:t>12. 维护机制</w:t>
      </w:r>
    </w:p>
    <w:p>
      <w:pPr>
        <w:spacing w:after="100" w:line="300" w:lineRule="auto"/>
      </w:pPr>
      <w:r>
        <w:rPr>
          <w:b w:val="0"/>
        </w:rPr>
        <w:t>平台连续3轮失败或7天无成功检测时进入警告；结构解析失败进入“规则失效”，停止将结果记0。管理员可查看错误，开发人员更新适配器版本并在固定样本上回归，通过后重新启用。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内部资料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666666"/>
        <w:sz w:val="16"/>
      </w:rPr>
      <w:t>文章转载监测系统  |  平台采集适配与可行性验证报告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C9001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Arial" w:hAnsi="Arial" w:eastAsia="Noto Sans CJK SC"/>
      <w:b/>
      <w:bCs/>
      <w:i/>
      <w:iCs/>
      <w:color w:val="2B2D3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rPr>
      <w:rFonts w:ascii="Arial" w:hAnsi="Arial" w:eastAsia="Noto Sans CJK SC"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06_平台采集适配与可行性验证报告_V1.0</dc:title>
  <dc:subject>文章转载监测系统</dc:subject>
  <dc:creator>OpenAI</dc:creator>
  <cp:keywords>文章转载监测, PRD, 生产环境,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