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eastAsia="Noto Sans CJK SC"/>
          <w:b/>
          <w:color w:val="2B2D31"/>
          <w:sz w:val="48"/>
        </w:rPr>
        <w:t>文章转载监测系统</w:t>
      </w:r>
    </w:p>
    <w:p>
      <w:pPr>
        <w:spacing w:before="240"/>
        <w:jc w:val="center"/>
      </w:pPr>
      <w:r>
        <w:rPr>
          <w:rFonts w:eastAsia="Noto Sans CJK SC"/>
          <w:b/>
          <w:color w:val="C90016"/>
          <w:sz w:val="56"/>
        </w:rPr>
        <w:t>UI页面原型与交互说明</w:t>
      </w:r>
    </w:p>
    <w:p>
      <w:pPr>
        <w:jc w:val="center"/>
      </w:pPr>
      <w:r>
        <w:rPr>
          <w:b/>
          <w:color w:val="2B2D31"/>
          <w:sz w:val="32"/>
        </w:rPr>
        <w:t>V1.0</w:t>
      </w:r>
    </w:p>
    <w:p>
      <w:pPr>
        <w:spacing w:after="9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2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文档编号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UI-V1.0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版本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V1.0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状态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正式基线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编制日期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2026-08-06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适用阶段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UI开发、评审与验收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责任人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业务验收、技术负责与运行维护：项目负责人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DEDEF"/>
            <w:tcBorders>
              <w:top w:val="single" w:sz="8" w:space="0" w:color="C90016"/>
              <w:left w:val="single" w:sz="8" w:space="0" w:color="C90016"/>
              <w:bottom w:val="single" w:sz="8" w:space="0" w:color="C90016"/>
              <w:right w:val="single" w:sz="8" w:space="0" w:color="C90016"/>
              <w:insideH w:val="single" w:sz="8" w:space="0" w:color="C90016"/>
              <w:insideV w:val="single" w:sz="8" w:space="0" w:color="C90016"/>
            </w:tcBorders>
          </w:tcPr>
          <w:p>
            <w:pPr>
              <w:spacing w:after="40"/>
            </w:pPr>
            <w:r>
              <w:rPr>
                <w:b/>
                <w:color w:val="C90016"/>
              </w:rPr>
              <w:t>文档说明</w:t>
            </w:r>
          </w:p>
          <w:p>
            <w:pPr>
              <w:spacing w:after="0"/>
            </w:pPr>
            <w:r>
              <w:t>本文件为正式生产环境V1.0基线。开发、测试、部署、验收和后续变更均应以本文件及配套文档为依据；未明确事项进入问题台账，不得以口头约定直接改变生产范围。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30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45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变更说明</w:t>
            </w:r>
          </w:p>
        </w:tc>
        <w:tc>
          <w:tcPr>
            <w:tcW w:type="dxa" w:w="136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V1.0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2026-08-06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首次正式生产基线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已确认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spacing w:after="160"/>
      </w:pPr>
      <w:r>
        <w:t>本文采用静态章节目录。打开Word后可通过“导航窗格”按标题跳转。</w:t>
      </w:r>
    </w:p>
    <w:p>
      <w:pPr>
        <w:pStyle w:val="Heading1"/>
      </w:pPr>
      <w:r>
        <w:t>1. 设计定位</w:t>
      </w:r>
    </w:p>
    <w:p>
      <w:pPr>
        <w:spacing w:after="100" w:line="300" w:lineRule="auto"/>
      </w:pPr>
      <w:r>
        <w:rPr>
          <w:b w:val="0"/>
        </w:rPr>
        <w:t>页面颜色和信息布局参考证券市场周刊官网的财经媒体气质：白色内容底、黑灰文字、证券红作为强调色、细灰分割线、密度较高但层级清晰。仅参考视觉语言和信息组织，不复制其具体页面、商标或内容。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设计令牌</w:t>
            </w:r>
          </w:p>
        </w:tc>
        <w:tc>
          <w:tcPr>
            <w:tcW w:type="dxa" w:w="737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值/规则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主强调色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#C90016，主按钮、选中导航、关键数字、状态提示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深色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#2B2D31，主标题、顶栏、表头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背景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#F4F5F7，页面底色；卡片白色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边框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#D9DCE1，1px细线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成功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#0C7A49，用于状态1/成功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警告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#A76300，用于状态—/异常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正文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14px~16px，Noto Sans CJK SC/系统字体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圆角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卡片8px，按钮4~6px，避免过度圆润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阴影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仅轻微卡片阴影，表格以边框为主</w:t>
            </w:r>
          </w:p>
        </w:tc>
      </w:tr>
    </w:tbl>
    <w:p>
      <w:pPr>
        <w:spacing w:after="0"/>
      </w:pPr>
    </w:p>
    <w:p>
      <w:pPr>
        <w:pStyle w:val="Heading1"/>
      </w:pPr>
      <w:r>
        <w:t>2. 总体布局</w:t>
      </w:r>
    </w:p>
    <w:p>
      <w:pPr>
        <w:pStyle w:val="ListBullet"/>
        <w:spacing w:after="60" w:line="276" w:lineRule="auto"/>
      </w:pPr>
      <w:r>
        <w:t>左侧固定导航：工作台、原创文章、监测任务、转载矩阵、转载明细、统计报表、运行维护。</w:t>
      </w:r>
    </w:p>
    <w:p>
      <w:pPr>
        <w:pStyle w:val="ListBullet"/>
        <w:spacing w:after="60" w:line="276" w:lineRule="auto"/>
      </w:pPr>
      <w:r>
        <w:t>顶部显示当前周、任务状态、手动刷新、当前用户。</w:t>
      </w:r>
    </w:p>
    <w:p>
      <w:pPr>
        <w:pStyle w:val="ListBullet"/>
        <w:spacing w:after="60" w:line="276" w:lineRule="auto"/>
      </w:pPr>
      <w:r>
        <w:t>主内容宽度自适应，最小支持1366×768；矩阵提供横向滚动和固定前两列。</w:t>
      </w:r>
    </w:p>
    <w:p>
      <w:pPr>
        <w:pStyle w:val="ListBullet"/>
        <w:spacing w:after="60" w:line="276" w:lineRule="auto"/>
      </w:pPr>
      <w:r>
        <w:t>关键操作放在页面右上角，危险操作使用二次确认。</w:t>
      </w:r>
    </w:p>
    <w:p>
      <w:pPr>
        <w:pStyle w:val="ListBullet"/>
        <w:spacing w:after="60" w:line="276" w:lineRule="auto"/>
      </w:pPr>
      <w:r>
        <w:t>所有页面显示最后更新时间；刷新按钮与“立即检测”明确区分。</w:t>
      </w:r>
    </w:p>
    <w:p>
      <w:pPr>
        <w:pStyle w:val="Heading1"/>
      </w:pPr>
      <w:r>
        <w:t>3. 本周工作台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本周工作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本周工作台原型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737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交互与验收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周期选择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默认本周；下拉可选历史周；切换后刷新全部指标。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KPI卡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原创文章、被转载文章、文章转载率、新增链接、完成率、异常平台。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趋势图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按天展示新增转载链接，悬停显示日期与数量。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平台排行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显示各平台转载文章数和覆盖率。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任务提示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最近检测、下次检测、运行中批次、异常数量。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刷新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5分钟自动刷新；点击刷新只重新查询，不触发采集。</w:t>
            </w:r>
          </w:p>
        </w:tc>
      </w:tr>
    </w:tbl>
    <w:p>
      <w:pPr>
        <w:spacing w:after="0"/>
      </w:pPr>
    </w:p>
    <w:p>
      <w:pPr>
        <w:pStyle w:val="Heading1"/>
      </w:pPr>
      <w:r>
        <w:t>4. 原创文章管理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原创文章管理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原创文章管理原型</w:t>
      </w:r>
    </w:p>
    <w:p>
      <w:pPr>
        <w:pStyle w:val="ListBullet"/>
        <w:spacing w:after="60" w:line="276" w:lineRule="auto"/>
      </w:pPr>
      <w:r>
        <w:t>支持新增文章、批量粘贴、下载模板、上传Excel。</w:t>
      </w:r>
    </w:p>
    <w:p>
      <w:pPr>
        <w:pStyle w:val="ListBullet"/>
        <w:spacing w:after="60" w:line="276" w:lineRule="auto"/>
      </w:pPr>
      <w:r>
        <w:t>导入后显示成功/重复/失败数量和行级原因；重复项由管理员确认。</w:t>
      </w:r>
    </w:p>
    <w:p>
      <w:pPr>
        <w:pStyle w:val="ListBullet"/>
        <w:spacing w:after="60" w:line="276" w:lineRule="auto"/>
      </w:pPr>
      <w:r>
        <w:t>新导入文章默认全选，便于直接创建批次。</w:t>
      </w:r>
    </w:p>
    <w:p>
      <w:pPr>
        <w:pStyle w:val="ListBullet"/>
        <w:spacing w:after="60" w:line="276" w:lineRule="auto"/>
      </w:pPr>
      <w:r>
        <w:t>筛选项：发布日期范围、标题、状态、作者/部门。</w:t>
      </w:r>
    </w:p>
    <w:p>
      <w:pPr>
        <w:pStyle w:val="ListBullet"/>
        <w:spacing w:after="60" w:line="276" w:lineRule="auto"/>
      </w:pPr>
      <w:r>
        <w:t>已进入批次的文章只允许归档或停止监测，不直接删除。</w:t>
      </w:r>
    </w:p>
    <w:p>
      <w:pPr>
        <w:pStyle w:val="Heading1"/>
      </w:pPr>
      <w:r>
        <w:t>5. 监测任务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监测任务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监测任务原型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737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立即检测一次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对选中文章/平台运行一轮；按钮提交后禁用并显示任务ID。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创建自动批次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显示开始、每小时频率、预计结束（下周一07:00）。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平台选择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不选择时明确提示“将检测全部已启用平台”。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进度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文章数、平台数、成功/失败、已发现链接、耗时。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重试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仅重试失败平台，保留原轮次审计。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历史任务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支持按时间、批次、状态筛选。</w:t>
            </w:r>
          </w:p>
        </w:tc>
      </w:tr>
    </w:tbl>
    <w:p>
      <w:pPr>
        <w:spacing w:after="0"/>
      </w:pPr>
    </w:p>
    <w:p>
      <w:pPr>
        <w:pStyle w:val="Heading1"/>
      </w:pPr>
      <w:r>
        <w:t>6. 转载矩阵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转载矩阵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文章-平台转载矩阵原型</w:t>
      </w:r>
    </w:p>
    <w:p>
      <w:pPr>
        <w:pStyle w:val="ListBullet"/>
        <w:spacing w:after="60" w:line="276" w:lineRule="auto"/>
      </w:pPr>
      <w:r>
        <w:t>固定文章标题和发布日期列，平台列横向滚动。</w:t>
      </w:r>
    </w:p>
    <w:p>
      <w:pPr>
        <w:pStyle w:val="ListBullet"/>
        <w:spacing w:after="60" w:line="276" w:lineRule="auto"/>
      </w:pPr>
      <w:r>
        <w:t>1使用绿色或红色重点标识，0为中性灰，—为琥珀色；同时保留文字，不能只依赖颜色。</w:t>
      </w:r>
    </w:p>
    <w:p>
      <w:pPr>
        <w:pStyle w:val="ListBullet"/>
        <w:spacing w:after="60" w:line="276" w:lineRule="auto"/>
      </w:pPr>
      <w:r>
        <w:t>点击1打开该文章-平台的全部链接抽屉；点击—查看错误原因和最近成功时间。</w:t>
      </w:r>
    </w:p>
    <w:p>
      <w:pPr>
        <w:pStyle w:val="ListBullet"/>
        <w:spacing w:after="60" w:line="276" w:lineRule="auto"/>
      </w:pPr>
      <w:r>
        <w:t>每行展示已转载平台数、选择平台数、平台转载率、检测完成率。</w:t>
      </w:r>
    </w:p>
    <w:p>
      <w:pPr>
        <w:pStyle w:val="ListBullet"/>
        <w:spacing w:after="60" w:line="276" w:lineRule="auto"/>
      </w:pPr>
      <w:r>
        <w:t>顶部可选择批次、日期范围、文章和平台。</w:t>
      </w:r>
    </w:p>
    <w:p>
      <w:pPr>
        <w:pStyle w:val="Heading1"/>
      </w:pPr>
      <w:r>
        <w:t>7. 转载明细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转载明细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转载明细原型</w:t>
      </w:r>
    </w:p>
    <w:p>
      <w:pPr>
        <w:pStyle w:val="ListBullet"/>
        <w:spacing w:after="60" w:line="276" w:lineRule="auto"/>
      </w:pPr>
      <w:r>
        <w:t>表格支持按文章、平台、首次发现时间、数据来源、有效状态筛选。</w:t>
      </w:r>
    </w:p>
    <w:p>
      <w:pPr>
        <w:pStyle w:val="ListBullet"/>
        <w:spacing w:after="60" w:line="276" w:lineRule="auto"/>
      </w:pPr>
      <w:r>
        <w:t>URL显示为可点击文本，并提供复制操作。</w:t>
      </w:r>
    </w:p>
    <w:p>
      <w:pPr>
        <w:pStyle w:val="ListBullet"/>
        <w:spacing w:after="60" w:line="276" w:lineRule="auto"/>
      </w:pPr>
      <w:r>
        <w:t>自动检测/人工补充使用标签区分。</w:t>
      </w:r>
    </w:p>
    <w:p>
      <w:pPr>
        <w:pStyle w:val="ListBullet"/>
        <w:spacing w:after="60" w:line="276" w:lineRule="auto"/>
      </w:pPr>
      <w:r>
        <w:t>管理员可作废/恢复；操作人员可人工补充但不可作废。</w:t>
      </w:r>
    </w:p>
    <w:p>
      <w:pPr>
        <w:pStyle w:val="ListBullet"/>
        <w:spacing w:after="60" w:line="276" w:lineRule="auto"/>
      </w:pPr>
      <w:r>
        <w:t>发布时间未知显示“无”，不得用首次发现时间替代。</w:t>
      </w:r>
    </w:p>
    <w:p>
      <w:pPr>
        <w:pStyle w:val="Heading1"/>
      </w:pPr>
      <w:r>
        <w:t>8. 统计报表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统计报表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 统计报表原型</w:t>
      </w:r>
    </w:p>
    <w:p>
      <w:pPr>
        <w:pStyle w:val="ListBullet"/>
        <w:spacing w:after="60" w:line="276" w:lineRule="auto"/>
      </w:pPr>
      <w:r>
        <w:t>日报、周报、自定义报表分栏；显示版本、统计范围、数据截止、文件大小和状态。</w:t>
      </w:r>
    </w:p>
    <w:p>
      <w:pPr>
        <w:pStyle w:val="ListBullet"/>
        <w:spacing w:after="60" w:line="276" w:lineRule="auto"/>
      </w:pPr>
      <w:r>
        <w:t>周报显示邮件发送状态；支持手动重发。</w:t>
      </w:r>
    </w:p>
    <w:p>
      <w:pPr>
        <w:pStyle w:val="ListBullet"/>
        <w:spacing w:after="60" w:line="276" w:lineRule="auto"/>
      </w:pPr>
      <w:r>
        <w:t>自定义生成支持发布日期范围、文章多选和平台多选。</w:t>
      </w:r>
    </w:p>
    <w:p>
      <w:pPr>
        <w:pStyle w:val="ListBullet"/>
        <w:spacing w:after="60" w:line="276" w:lineRule="auto"/>
      </w:pPr>
      <w:r>
        <w:t>历史版本不覆盖；V1、V2、V3均可下载。</w:t>
      </w:r>
    </w:p>
    <w:p>
      <w:pPr>
        <w:pStyle w:val="ListBullet"/>
        <w:spacing w:after="60" w:line="276" w:lineRule="auto"/>
      </w:pPr>
      <w:r>
        <w:t>30天到期文件标注过期，可点击重新生成。</w:t>
      </w:r>
    </w:p>
    <w:p>
      <w:pPr>
        <w:pStyle w:val="Heading1"/>
      </w:pPr>
      <w:r>
        <w:t>9. 平台维护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平台维护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图7 平台维护原型</w:t>
      </w:r>
    </w:p>
    <w:p>
      <w:pPr>
        <w:pStyle w:val="ListBullet"/>
        <w:spacing w:after="60" w:line="276" w:lineRule="auto"/>
      </w:pPr>
      <w:r>
        <w:t>平台列表显示启用状态、检测方式、最近成功、连续失败、规则版本。</w:t>
      </w:r>
    </w:p>
    <w:p>
      <w:pPr>
        <w:pStyle w:val="ListBullet"/>
        <w:spacing w:after="60" w:line="276" w:lineRule="auto"/>
      </w:pPr>
      <w:r>
        <w:t>新增平台先保存为待配置；测试通过后才允许启用。</w:t>
      </w:r>
    </w:p>
    <w:p>
      <w:pPr>
        <w:pStyle w:val="ListBullet"/>
        <w:spacing w:after="60" w:line="276" w:lineRule="auto"/>
      </w:pPr>
      <w:r>
        <w:t>配置页面支持域名、搜索模板、页数/条数、超时、间隔和适配器备注。</w:t>
      </w:r>
    </w:p>
    <w:p>
      <w:pPr>
        <w:pStyle w:val="ListBullet"/>
        <w:spacing w:after="60" w:line="276" w:lineRule="auto"/>
      </w:pPr>
      <w:r>
        <w:t>“测试平台”必须输入测试标题并展示命中链接、耗时、错误和证据。</w:t>
      </w:r>
    </w:p>
    <w:p>
      <w:pPr>
        <w:pStyle w:val="ListBullet"/>
        <w:spacing w:after="60" w:line="276" w:lineRule="auto"/>
      </w:pPr>
      <w:r>
        <w:t>归档平台保留历史数据，不参与新批次。</w:t>
      </w:r>
    </w:p>
    <w:p>
      <w:pPr>
        <w:pStyle w:val="Heading1"/>
      </w:pPr>
      <w:r>
        <w:t>10. 邮箱与系统设置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邮箱与系统设置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图8 邮箱与系统设置原型</w:t>
      </w:r>
    </w:p>
    <w:p>
      <w:pPr>
        <w:pStyle w:val="ListBullet"/>
        <w:spacing w:after="60" w:line="276" w:lineRule="auto"/>
      </w:pPr>
      <w:r>
        <w:t>SMTP授权码只显示掩码；修改时重新输入。</w:t>
      </w:r>
    </w:p>
    <w:p>
      <w:pPr>
        <w:pStyle w:val="ListBullet"/>
        <w:spacing w:after="60" w:line="276" w:lineRule="auto"/>
      </w:pPr>
      <w:r>
        <w:t>支持测试邮件、多个收件人/抄送、周报自动发送开关。</w:t>
      </w:r>
    </w:p>
    <w:p>
      <w:pPr>
        <w:pStyle w:val="ListBullet"/>
        <w:spacing w:after="60" w:line="276" w:lineRule="auto"/>
      </w:pPr>
      <w:r>
        <w:t>系统参数显示北京时间、5分钟刷新、默认5页/100条。</w:t>
      </w:r>
    </w:p>
    <w:p>
      <w:pPr>
        <w:pStyle w:val="ListBullet"/>
        <w:spacing w:after="60" w:line="276" w:lineRule="auto"/>
      </w:pPr>
      <w:r>
        <w:t>保留策略、备份状态和最近清理结果可查看。</w:t>
      </w:r>
    </w:p>
    <w:p>
      <w:pPr>
        <w:pStyle w:val="ListBullet"/>
        <w:spacing w:after="60" w:line="276" w:lineRule="auto"/>
      </w:pPr>
      <w:r>
        <w:t>危险配置修改需管理员权限并记录审计。</w:t>
      </w:r>
    </w:p>
    <w:p>
      <w:pPr>
        <w:pStyle w:val="Heading1"/>
      </w:pPr>
      <w:r>
        <w:t>11. 人工补充弹窗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98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087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交互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原创文章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从当前文章预填或搜索选择，必填。</w:t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转载平台</w:t>
            </w:r>
          </w:p>
        </w:tc>
        <w:tc>
          <w:tcPr>
            <w:tcW w:type="dxa" w:w="708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从已配置平台选择，必填。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转载标题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默认原创标题，可修改；必填。</w:t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转载链接</w:t>
            </w:r>
          </w:p>
        </w:tc>
        <w:tc>
          <w:tcPr>
            <w:tcW w:type="dxa" w:w="708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必填，输入后实时做域名和重复校验。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转载发布时间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可空，空显示无。</w:t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补充原因</w:t>
            </w:r>
          </w:p>
        </w:tc>
        <w:tc>
          <w:tcPr>
            <w:tcW w:type="dxa" w:w="708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必填，10~500字。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提交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成功后刷新矩阵和明细，显示人工补充标记。</w:t>
            </w:r>
          </w:p>
        </w:tc>
      </w:tr>
    </w:tbl>
    <w:p>
      <w:pPr>
        <w:spacing w:after="0"/>
      </w:pPr>
    </w:p>
    <w:p>
      <w:pPr>
        <w:pStyle w:val="Heading1"/>
      </w:pPr>
      <w:r>
        <w:t>12. 状态与反馈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98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7087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表现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任务提交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Toast提示任务编号，按钮进入执行中。</w:t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导入部分失败</w:t>
            </w:r>
          </w:p>
        </w:tc>
        <w:tc>
          <w:tcPr>
            <w:tcW w:type="dxa" w:w="708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不阻止成功行，提供失败Excel/错误列表。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平台失败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矩阵显示—，详情显示错误码和建议处理。</w:t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无数据</w:t>
            </w:r>
          </w:p>
        </w:tc>
        <w:tc>
          <w:tcPr>
            <w:tcW w:type="dxa" w:w="708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显示空状态和下一步动作，不显示空白表格。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网络错误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保留当前页面并提供重试。</w:t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权限不足</w:t>
            </w:r>
          </w:p>
        </w:tc>
        <w:tc>
          <w:tcPr>
            <w:tcW w:type="dxa" w:w="708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按钮隐藏且API返回明确提示。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删除/作废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二次确认，说明对统计和历史报表的影响。</w:t>
            </w:r>
          </w:p>
        </w:tc>
      </w:tr>
    </w:tbl>
    <w:p>
      <w:pPr>
        <w:spacing w:after="0"/>
      </w:pPr>
    </w:p>
    <w:p>
      <w:pPr>
        <w:pStyle w:val="Heading1"/>
      </w:pPr>
      <w:r>
        <w:t>13. 可访问性与适配</w:t>
      </w:r>
    </w:p>
    <w:p>
      <w:pPr>
        <w:pStyle w:val="ListBullet"/>
        <w:spacing w:after="60" w:line="276" w:lineRule="auto"/>
      </w:pPr>
      <w:r>
        <w:t>状态同时使用文字/图标/颜色，保证色觉差异用户理解。</w:t>
      </w:r>
    </w:p>
    <w:p>
      <w:pPr>
        <w:pStyle w:val="ListBullet"/>
        <w:spacing w:after="60" w:line="276" w:lineRule="auto"/>
      </w:pPr>
      <w:r>
        <w:t>按钮和输入框可键盘操作，焦点可见。</w:t>
      </w:r>
    </w:p>
    <w:p>
      <w:pPr>
        <w:pStyle w:val="ListBullet"/>
        <w:spacing w:after="60" w:line="276" w:lineRule="auto"/>
      </w:pPr>
      <w:r>
        <w:t>图表提供文本摘要，表格表头固定。</w:t>
      </w:r>
    </w:p>
    <w:p>
      <w:pPr>
        <w:pStyle w:val="ListBullet"/>
        <w:spacing w:after="60" w:line="276" w:lineRule="auto"/>
      </w:pPr>
      <w:r>
        <w:t>长标题支持两行省略，悬停显示完整内容。</w:t>
      </w:r>
    </w:p>
    <w:p>
      <w:pPr>
        <w:pStyle w:val="ListBullet"/>
        <w:spacing w:after="60" w:line="276" w:lineRule="auto"/>
      </w:pPr>
      <w:r>
        <w:t>矩阵在小屏使用水平滚动，不压缩到不可读。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内部资料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color w:val="666666"/>
        <w:sz w:val="16"/>
      </w:rPr>
      <w:t>文章转载监测系统  |  UI页面原型与交互说明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C9001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 w:ascii="Arial" w:hAnsi="Arial" w:eastAsia="Noto Sans CJK SC"/>
      <w:b/>
      <w:bCs/>
      <w:i/>
      <w:iCs/>
      <w:color w:val="2B2D3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Noto Sans CJK SC"/>
      <w:b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rPr>
      <w:rFonts w:ascii="Arial" w:hAnsi="Arial" w:eastAsia="Noto Sans CJK SC"/>
      <w:color w:val="66666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07_UI页面原型与交互说明_V1.0</dc:title>
  <dc:subject>文章转载监测系统</dc:subject>
  <dc:creator>OpenAI</dc:creator>
  <cp:keywords>文章转载监测, PRD, 生产环境,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