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eastAsia="Noto Sans CJK SC"/>
          <w:b/>
          <w:color w:val="2B2D31"/>
          <w:sz w:val="48"/>
        </w:rPr>
        <w:t>文章转载监测系统</w:t>
      </w:r>
    </w:p>
    <w:p>
      <w:pPr>
        <w:spacing w:before="240"/>
        <w:jc w:val="center"/>
      </w:pPr>
      <w:r>
        <w:rPr>
          <w:rFonts w:eastAsia="Noto Sans CJK SC"/>
          <w:b/>
          <w:color w:val="C90016"/>
          <w:sz w:val="56"/>
        </w:rPr>
        <w:t>本机运行开发环境与上线部署方案</w:t>
      </w:r>
    </w:p>
    <w:p>
      <w:pPr>
        <w:jc w:val="center"/>
      </w:pPr>
      <w:r>
        <w:rPr>
          <w:b/>
          <w:color w:val="2B2D31"/>
          <w:sz w:val="32"/>
        </w:rPr>
        <w:t>V1.0</w:t>
      </w:r>
    </w:p>
    <w:p>
      <w:pPr>
        <w:spacing w:after="9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文档编号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DEPLOY-V1.0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版本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状态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正式基线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编制日期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2026-08-06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适用阶段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本机开发、测试与阿里云上线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责任人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业务验收、技术负责与运行维护：项目负责人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文档说明</w:t>
            </w:r>
          </w:p>
          <w:p>
            <w:pPr>
              <w:spacing w:after="0"/>
            </w:pPr>
            <w:r>
              <w:t>本文件为正式生产环境V1.0基线。开发、测试、部署、验收和后续变更均应以本文件及配套文档为依据；未明确事项进入问题台账，不得以口头约定直接改变生产范围。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136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V1.0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2026-08-06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首次正式生产基线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已确认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160"/>
      </w:pPr>
      <w:r>
        <w:t>本文采用静态章节目录。打开Word后可通过“导航窗格”按标题跳转。</w:t>
      </w:r>
    </w:p>
    <w:p>
      <w:pPr>
        <w:pStyle w:val="Heading1"/>
      </w:pPr>
      <w:r>
        <w:t>1. 部署策略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顺序要求</w:t>
            </w:r>
          </w:p>
          <w:p>
            <w:pPr>
              <w:spacing w:after="0"/>
            </w:pPr>
            <w:r>
              <w:t>先在本机完整运行、联调、验证5个平台、生成Excel和发送测试邮件；本机验收通过后再部署阿里云。不得直接在生产服务器边开发边试错。</w:t>
            </w:r>
          </w:p>
        </w:tc>
      </w:tr>
    </w:tbl>
    <w:p>
      <w:pPr>
        <w:spacing w:after="0"/>
      </w:pPr>
    </w:p>
    <w:p>
      <w:pPr>
        <w:pStyle w:val="Heading1"/>
      </w:pPr>
      <w:r>
        <w:t>2. 本机前置条件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操作系统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Windows 10/11 + WSL2 或 macOS/Linux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Docker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Docker Desktop/Engine + Compose v2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Git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2.40+；仓库位置在开发启动时确认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浏览器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Chrome/Edge及DevTools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资源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建议8GB以上内存，至少20GB可用磁盘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网络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可访问5个公开平台和SMTP测试服务</w:t>
            </w:r>
          </w:p>
        </w:tc>
      </w:tr>
    </w:tbl>
    <w:p>
      <w:pPr>
        <w:spacing w:after="0"/>
      </w:pPr>
    </w:p>
    <w:p>
      <w:pPr>
        <w:pStyle w:val="Heading1"/>
      </w:pPr>
      <w:r>
        <w:t>3. 代码仓库建议结构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4F5F7"/>
            <w:tcBorders>
              <w:top w:val="single" w:sz="4" w:space="0" w:color="C8CBD0"/>
              <w:left w:val="single" w:sz="4" w:space="0" w:color="C8CBD0"/>
              <w:bottom w:val="single" w:sz="4" w:space="0" w:color="C8CBD0"/>
              <w:right w:val="single" w:sz="4" w:space="0" w:color="C8CBD0"/>
              <w:insideH w:val="single" w:sz="4" w:space="0" w:color="C8CBD0"/>
              <w:insideV w:val="single" w:sz="4" w:space="0" w:color="C8CBD0"/>
            </w:tcBorders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6"/>
              </w:rPr>
              <w:t>repo/</w:t>
              <w:br/>
              <w:t xml:space="preserve">  backend/</w:t>
              <w:br/>
              <w:t xml:space="preserve">    config/ apps/ adapters/ tests/ manage.py</w:t>
              <w:br/>
              <w:t xml:space="preserve">  frontend/</w:t>
              <w:br/>
              <w:t xml:space="preserve">    src/ public/</w:t>
              <w:br/>
              <w:t xml:space="preserve">  deploy/</w:t>
              <w:br/>
              <w:t xml:space="preserve">    nginx/ scripts/</w:t>
              <w:br/>
              <w:t xml:space="preserve">  docs/</w:t>
              <w:br/>
              <w:t xml:space="preserve">  samples/</w:t>
              <w:br/>
              <w:t xml:space="preserve">    adapter_evidence/ test_dataset/</w:t>
              <w:br/>
              <w:t xml:space="preserve">  docker-compose.yml</w:t>
              <w:br/>
              <w:t xml:space="preserve">  docker-compose.prod.yml</w:t>
              <w:br/>
              <w:t xml:space="preserve">  .env.example</w:t>
              <w:br/>
              <w:t xml:space="preserve">  README.md</w:t>
            </w:r>
          </w:p>
        </w:tc>
      </w:tr>
    </w:tbl>
    <w:p>
      <w:pPr>
        <w:spacing w:after="0"/>
      </w:pPr>
    </w:p>
    <w:p>
      <w:pPr>
        <w:pStyle w:val="Heading1"/>
      </w:pPr>
      <w:r>
        <w:t>4. 本机启动步骤</w:t>
      </w:r>
    </w:p>
    <w:p>
      <w:pPr>
        <w:pStyle w:val="ListNumber"/>
        <w:spacing w:after="60" w:line="276" w:lineRule="auto"/>
      </w:pPr>
      <w:r>
        <w:t>克隆仓库，复制.env.example为.env.local并填写非生产配置。</w:t>
      </w:r>
    </w:p>
    <w:p>
      <w:pPr>
        <w:pStyle w:val="ListNumber"/>
        <w:spacing w:after="60" w:line="276" w:lineRule="auto"/>
      </w:pPr>
      <w:r>
        <w:t>执行docker compose build，确保镜像版本固定。</w:t>
      </w:r>
    </w:p>
    <w:p>
      <w:pPr>
        <w:pStyle w:val="ListNumber"/>
        <w:spacing w:after="60" w:line="276" w:lineRule="auto"/>
      </w:pPr>
      <w:r>
        <w:t>执行docker compose up -d mysql redis。</w:t>
      </w:r>
    </w:p>
    <w:p>
      <w:pPr>
        <w:pStyle w:val="ListNumber"/>
        <w:spacing w:after="60" w:line="276" w:lineRule="auto"/>
      </w:pPr>
      <w:r>
        <w:t>执行backend容器python manage.py migrate。</w:t>
      </w:r>
    </w:p>
    <w:p>
      <w:pPr>
        <w:pStyle w:val="ListNumber"/>
        <w:spacing w:after="60" w:line="276" w:lineRule="auto"/>
      </w:pPr>
      <w:r>
        <w:t>创建本机管理员账号并载入基础字典。</w:t>
      </w:r>
    </w:p>
    <w:p>
      <w:pPr>
        <w:pStyle w:val="ListNumber"/>
        <w:spacing w:after="60" w:line="276" w:lineRule="auto"/>
      </w:pPr>
      <w:r>
        <w:t>启动web、celery worker、celery beat和frontend。</w:t>
      </w:r>
    </w:p>
    <w:p>
      <w:pPr>
        <w:pStyle w:val="ListNumber"/>
        <w:spacing w:after="60" w:line="276" w:lineRule="auto"/>
      </w:pPr>
      <w:r>
        <w:t>访问健康检查、登录页面和API文档。</w:t>
      </w:r>
    </w:p>
    <w:p>
      <w:pPr>
        <w:pStyle w:val="ListNumber"/>
        <w:spacing w:after="60" w:line="276" w:lineRule="auto"/>
      </w:pPr>
      <w:r>
        <w:t>导入样例文章，配置5个平台并逐个平台测试。</w:t>
      </w:r>
    </w:p>
    <w:p>
      <w:pPr>
        <w:pStyle w:val="ListNumber"/>
        <w:spacing w:after="60" w:line="276" w:lineRule="auto"/>
      </w:pPr>
      <w:r>
        <w:t>运行立即检测和自动批次模拟，生成目标Excel。</w:t>
      </w:r>
    </w:p>
    <w:p>
      <w:pPr>
        <w:pStyle w:val="ListNumber"/>
        <w:spacing w:after="60" w:line="276" w:lineRule="auto"/>
      </w:pPr>
      <w:r>
        <w:t>配置测试SMTP并发送测试周报。</w:t>
      </w:r>
    </w:p>
    <w:p>
      <w:pPr>
        <w:pStyle w:val="Heading1"/>
      </w:pPr>
      <w:r>
        <w:t>5. 本机验证清单</w:t>
      </w:r>
    </w:p>
    <w:p>
      <w:pPr>
        <w:pStyle w:val="ListBullet"/>
        <w:spacing w:after="60" w:line="276" w:lineRule="auto"/>
      </w:pPr>
      <w:r>
        <w:t>所有容器健康，无持续重启。</w:t>
      </w:r>
    </w:p>
    <w:p>
      <w:pPr>
        <w:pStyle w:val="ListBullet"/>
        <w:spacing w:after="60" w:line="276" w:lineRule="auto"/>
      </w:pPr>
      <w:r>
        <w:t>Migration从空库可完整执行。</w:t>
      </w:r>
    </w:p>
    <w:p>
      <w:pPr>
        <w:pStyle w:val="ListBullet"/>
        <w:spacing w:after="60" w:line="276" w:lineRule="auto"/>
      </w:pPr>
      <w:r>
        <w:t>5个平台已知链接能按适配计划检出。</w:t>
      </w:r>
    </w:p>
    <w:p>
      <w:pPr>
        <w:pStyle w:val="ListBullet"/>
        <w:spacing w:after="60" w:line="276" w:lineRule="auto"/>
      </w:pPr>
      <w:r>
        <w:t>正常无结果与异常状态可区分。</w:t>
      </w:r>
    </w:p>
    <w:p>
      <w:pPr>
        <w:pStyle w:val="ListBullet"/>
        <w:spacing w:after="60" w:line="276" w:lineRule="auto"/>
      </w:pPr>
      <w:r>
        <w:t>任务锁阻止重复轮次。</w:t>
      </w:r>
    </w:p>
    <w:p>
      <w:pPr>
        <w:pStyle w:val="ListBullet"/>
        <w:spacing w:after="60" w:line="276" w:lineRule="auto"/>
      </w:pPr>
      <w:r>
        <w:t>Excel与目标样例一致。</w:t>
      </w:r>
    </w:p>
    <w:p>
      <w:pPr>
        <w:pStyle w:val="ListBullet"/>
        <w:spacing w:after="60" w:line="276" w:lineRule="auto"/>
      </w:pPr>
      <w:r>
        <w:t>权限、人工补录、报表版本和邮件通过。</w:t>
      </w:r>
    </w:p>
    <w:p>
      <w:pPr>
        <w:pStyle w:val="ListBullet"/>
        <w:spacing w:after="60" w:line="276" w:lineRule="auto"/>
      </w:pPr>
      <w:r>
        <w:t>连续运行至少24小时。</w:t>
      </w:r>
    </w:p>
    <w:p>
      <w:pPr>
        <w:pStyle w:val="Heading1"/>
      </w:pPr>
      <w:r>
        <w:t>6. 阿里云资源建议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68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MVP建议</w:t>
            </w:r>
          </w:p>
        </w:tc>
        <w:tc>
          <w:tcPr>
            <w:tcW w:type="dxa" w:w="368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扩展建议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实例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轻量应用服务器2核4GB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Playwright较多时4核8GB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系统</w:t>
            </w:r>
          </w:p>
        </w:tc>
        <w:tc>
          <w:tcPr>
            <w:tcW w:type="dxa" w:w="368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Ubuntu 24.04 LTS</w:t>
            </w:r>
          </w:p>
        </w:tc>
        <w:tc>
          <w:tcPr>
            <w:tcW w:type="dxa" w:w="368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保持同版本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磁盘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80GB SSD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100GB+或独立数据盘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带宽</w:t>
            </w:r>
          </w:p>
        </w:tc>
        <w:tc>
          <w:tcPr>
            <w:tcW w:type="dxa" w:w="368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按流量或5Mbps</w:t>
            </w:r>
          </w:p>
        </w:tc>
        <w:tc>
          <w:tcPr>
            <w:tcW w:type="dxa" w:w="368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按实际采集/下载量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数据库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同机MySQL容器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扩展后迁RDS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域名</w:t>
            </w:r>
          </w:p>
        </w:tc>
        <w:tc>
          <w:tcPr>
            <w:tcW w:type="dxa" w:w="368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MVP公网IP临时</w:t>
            </w:r>
          </w:p>
        </w:tc>
        <w:tc>
          <w:tcPr>
            <w:tcW w:type="dxa" w:w="3685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正式备案域名+HTTPS</w:t>
            </w:r>
          </w:p>
        </w:tc>
      </w:tr>
    </w:tbl>
    <w:p>
      <w:pPr>
        <w:spacing w:after="0"/>
      </w:pPr>
    </w:p>
    <w:p>
      <w:pPr>
        <w:pStyle w:val="Heading1"/>
      </w:pPr>
      <w:r>
        <w:t>7. 网络与安全组</w:t>
      </w:r>
    </w:p>
    <w:p>
      <w:pPr>
        <w:pStyle w:val="ListBullet"/>
        <w:spacing w:after="60" w:line="276" w:lineRule="auto"/>
      </w:pPr>
      <w:r>
        <w:t>公网只开放22（建议限制源IP）、80、443；MySQL和Redis不开放公网。</w:t>
      </w:r>
    </w:p>
    <w:p>
      <w:pPr>
        <w:pStyle w:val="ListBullet"/>
        <w:spacing w:after="60" w:line="276" w:lineRule="auto"/>
      </w:pPr>
      <w:r>
        <w:t>MVP公网IP阶段强制高强度管理员密码和登录锁定。</w:t>
      </w:r>
    </w:p>
    <w:p>
      <w:pPr>
        <w:pStyle w:val="ListBullet"/>
        <w:spacing w:after="60" w:line="276" w:lineRule="auto"/>
      </w:pPr>
      <w:r>
        <w:t>正式域名完成ICP备案并配置TLS证书后关闭纯IP长期访问。</w:t>
      </w:r>
    </w:p>
    <w:p>
      <w:pPr>
        <w:pStyle w:val="ListBullet"/>
        <w:spacing w:after="60" w:line="276" w:lineRule="auto"/>
      </w:pPr>
      <w:r>
        <w:t>Nginx限制上传大小、请求速率和敏感路径。</w:t>
      </w:r>
    </w:p>
    <w:p>
      <w:pPr>
        <w:pStyle w:val="ListBullet"/>
        <w:spacing w:after="60" w:line="276" w:lineRule="auto"/>
      </w:pPr>
      <w:r>
        <w:t>服务器时区可UTC，应用TIME_ZONE=Asia/Shanghai并USE_TZ=True。</w:t>
      </w:r>
    </w:p>
    <w:p>
      <w:pPr>
        <w:pStyle w:val="Heading1"/>
      </w:pPr>
      <w:r>
        <w:t>8. 生产环境变量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变量类别</w:t>
            </w:r>
          </w:p>
        </w:tc>
        <w:tc>
          <w:tcPr>
            <w:tcW w:type="dxa" w:w="680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Django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SECRET_KEY、DEBUG=False、ALLOWED_HOSTS、CSRF_TRUSTED_ORIGINS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数据库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DB_HOST/PORT/NAME/USER/PASSWORD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Redis/Celery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BROKER_URL、RESULT_BACKEND、队列名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文件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REPORT_ROOT、BACKUP_ROOT、LOG_ROOT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加密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FIELD_ENCRYPTION_KEY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邮件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SMTP配置优先从数据库加密字段，初始化可为空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监控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SENTRY_DSN或日志告警配置</w:t>
            </w:r>
          </w:p>
        </w:tc>
      </w:tr>
    </w:tbl>
    <w:p>
      <w:pPr>
        <w:spacing w:after="0"/>
      </w:pPr>
    </w:p>
    <w:p>
      <w:pPr>
        <w:pStyle w:val="Heading1"/>
      </w:pPr>
      <w:r>
        <w:t>9. 上线流程</w:t>
      </w:r>
    </w:p>
    <w:p>
      <w:pPr>
        <w:pStyle w:val="ListNumber"/>
        <w:spacing w:after="60" w:line="276" w:lineRule="auto"/>
      </w:pPr>
      <w:r>
        <w:t>冻结develop并创建release候选提交。</w:t>
      </w:r>
    </w:p>
    <w:p>
      <w:pPr>
        <w:pStyle w:val="ListNumber"/>
        <w:spacing w:after="60" w:line="276" w:lineRule="auto"/>
      </w:pPr>
      <w:r>
        <w:t>在测试环境运行pytest、Ruff、Black检查、mypy、前端构建和安全扫描。</w:t>
      </w:r>
    </w:p>
    <w:p>
      <w:pPr>
        <w:pStyle w:val="ListNumber"/>
        <w:spacing w:after="60" w:line="276" w:lineRule="auto"/>
      </w:pPr>
      <w:r>
        <w:t>生产数据库备份，记录当前镜像和Migration版本。</w:t>
      </w:r>
    </w:p>
    <w:p>
      <w:pPr>
        <w:pStyle w:val="ListNumber"/>
        <w:spacing w:after="60" w:line="276" w:lineRule="auto"/>
      </w:pPr>
      <w:r>
        <w:t>拉取指定提交，构建带不可变标签的镜像。</w:t>
      </w:r>
    </w:p>
    <w:p>
      <w:pPr>
        <w:pStyle w:val="ListNumber"/>
        <w:spacing w:after="60" w:line="276" w:lineRule="auto"/>
      </w:pPr>
      <w:r>
        <w:t>执行collectstatic和Migration，失败立即停止。</w:t>
      </w:r>
    </w:p>
    <w:p>
      <w:pPr>
        <w:pStyle w:val="ListNumber"/>
        <w:spacing w:after="60" w:line="276" w:lineRule="auto"/>
      </w:pPr>
      <w:r>
        <w:t>启动新容器并执行健康检查、登录、文章查询、任务队列和报表冒烟。</w:t>
      </w:r>
    </w:p>
    <w:p>
      <w:pPr>
        <w:pStyle w:val="ListNumber"/>
        <w:spacing w:after="60" w:line="276" w:lineRule="auto"/>
      </w:pPr>
      <w:r>
        <w:t>切换Nginx流量，观察30分钟。</w:t>
      </w:r>
    </w:p>
    <w:p>
      <w:pPr>
        <w:pStyle w:val="ListNumber"/>
        <w:spacing w:after="60" w:line="276" w:lineRule="auto"/>
      </w:pPr>
      <w:r>
        <w:t>确认备份、Beat单实例、Worker队列和周报计划。</w:t>
      </w:r>
    </w:p>
    <w:p>
      <w:pPr>
        <w:pStyle w:val="ListNumber"/>
        <w:spacing w:after="60" w:line="276" w:lineRule="auto"/>
      </w:pPr>
      <w:r>
        <w:t>填写发布记录。</w:t>
      </w:r>
    </w:p>
    <w:p>
      <w:pPr>
        <w:pStyle w:val="Heading1"/>
      </w:pPr>
      <w:r>
        <w:t>10. 回滚触发</w:t>
      </w:r>
    </w:p>
    <w:p>
      <w:pPr>
        <w:spacing w:after="100" w:line="300" w:lineRule="auto"/>
      </w:pPr>
      <w:r>
        <w:rPr>
          <w:b w:val="0"/>
        </w:rPr>
        <w:t>出现P0/P1、Migration失败、核心API不可用、数据错误、重复调度或安全风险时立即回滚。应用回滚使用上一镜像；数据库仅在已确认Migration不可向前修复且有完整备份时恢复。</w:t>
      </w:r>
    </w:p>
    <w:p>
      <w:pPr>
        <w:pStyle w:val="Heading1"/>
      </w:pPr>
      <w:r>
        <w:t>11. 域名与HTTPS切换</w:t>
      </w:r>
    </w:p>
    <w:p>
      <w:pPr>
        <w:pStyle w:val="ListBullet"/>
        <w:spacing w:after="60" w:line="276" w:lineRule="auto"/>
      </w:pPr>
      <w:r>
        <w:t>准备备案域名并完成ICP备案。</w:t>
      </w:r>
    </w:p>
    <w:p>
      <w:pPr>
        <w:pStyle w:val="ListBullet"/>
        <w:spacing w:after="60" w:line="276" w:lineRule="auto"/>
      </w:pPr>
      <w:r>
        <w:t>配置DNS A记录指向公网IP。</w:t>
      </w:r>
    </w:p>
    <w:p>
      <w:pPr>
        <w:pStyle w:val="ListBullet"/>
        <w:spacing w:after="60" w:line="276" w:lineRule="auto"/>
      </w:pPr>
      <w:r>
        <w:t>使用阿里云证书或ACME签发证书。</w:t>
      </w:r>
    </w:p>
    <w:p>
      <w:pPr>
        <w:pStyle w:val="ListBullet"/>
        <w:spacing w:after="60" w:line="276" w:lineRule="auto"/>
      </w:pPr>
      <w:r>
        <w:t>Nginx开启443并301跳转HTTPS。</w:t>
      </w:r>
    </w:p>
    <w:p>
      <w:pPr>
        <w:pStyle w:val="ListBullet"/>
        <w:spacing w:after="60" w:line="276" w:lineRule="auto"/>
      </w:pPr>
      <w:r>
        <w:t>更新ALLOWED_HOSTS、CSRF可信来源和邮件下载链接。</w:t>
      </w:r>
    </w:p>
    <w:p>
      <w:pPr>
        <w:pStyle w:val="ListBullet"/>
        <w:spacing w:after="60" w:line="276" w:lineRule="auto"/>
      </w:pPr>
      <w:r>
        <w:t>验证证书续期和安全头。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内部资料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66666"/>
        <w:sz w:val="16"/>
      </w:rPr>
      <w:t>文章转载监测系统  |  本机运行开发环境与上线部署方案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C900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Arial" w:hAnsi="Arial" w:eastAsia="Noto Sans CJK SC"/>
      <w:b/>
      <w:bCs/>
      <w:i/>
      <w:iCs/>
      <w:color w:val="2B2D3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Arial" w:hAnsi="Arial" w:eastAsia="Noto Sans CJK SC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11_本机运行开发环境与上线部署方案_V1.0</dc:title>
  <dc:subject>文章转载监测系统</dc:subject>
  <dc:creator>OpenAI</dc:creator>
  <cp:keywords>文章转载监测, PRD, 生产环境,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