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安全设计与检查清单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SEC-V1.0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安全设计、开发检查与上线验收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安全目标</w:t>
      </w:r>
    </w:p>
    <w:p>
      <w:pPr>
        <w:spacing w:after="100" w:line="300" w:lineRule="auto"/>
      </w:pPr>
      <w:r>
        <w:rPr>
          <w:b w:val="0"/>
        </w:rPr>
        <w:t>保护内部账号、转载数据、报表、平台配置和SMTP凭据；阻止越权、注入、恶意文件、SSRF、敏感信息泄露和不受控外部访问。安全基线参考OWASP ASVS思想并结合Django默认防护。</w:t>
      </w:r>
    </w:p>
    <w:p>
      <w:pPr>
        <w:pStyle w:val="Heading1"/>
      </w:pPr>
      <w:r>
        <w:t>2. 身份认证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不开放自行注册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管理员创建账号。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密码策略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至少10位，建议大小写/数字/符号；禁止常见弱密码。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登录锁定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连续5次失败锁定15分钟，记录IP和账号。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会话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HttpOnly、Secure（HTTPS后）、SameSite=Lax，超时。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退出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服务端失效会话。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初始化密码首次登录强制修改。</w:t>
            </w:r>
          </w:p>
        </w:tc>
      </w:tr>
    </w:tbl>
    <w:p>
      <w:pPr>
        <w:spacing w:after="0"/>
      </w:pPr>
    </w:p>
    <w:p>
      <w:pPr>
        <w:pStyle w:val="Heading1"/>
      </w:pPr>
      <w:r>
        <w:t>3. 授权与审计</w:t>
      </w:r>
    </w:p>
    <w:p>
      <w:pPr>
        <w:pStyle w:val="ListBullet"/>
        <w:spacing w:after="60" w:line="276" w:lineRule="auto"/>
      </w:pPr>
      <w:r>
        <w:t>管理员、操作人员、查看人员按最小权限。</w:t>
      </w:r>
    </w:p>
    <w:p>
      <w:pPr>
        <w:pStyle w:val="ListBullet"/>
        <w:spacing w:after="60" w:line="276" w:lineRule="auto"/>
      </w:pPr>
      <w:r>
        <w:t>所有API后端校验对象级权限。</w:t>
      </w:r>
    </w:p>
    <w:p>
      <w:pPr>
        <w:pStyle w:val="ListBullet"/>
        <w:spacing w:after="60" w:line="276" w:lineRule="auto"/>
      </w:pPr>
      <w:r>
        <w:t>用户、平台、批次、人工补录、作废、报表、邮件、配置修改写审计日志。</w:t>
      </w:r>
    </w:p>
    <w:p>
      <w:pPr>
        <w:pStyle w:val="ListBullet"/>
        <w:spacing w:after="60" w:line="276" w:lineRule="auto"/>
      </w:pPr>
      <w:r>
        <w:t>审计记录包含操作者、时间、IP、对象、动作、前后值摘要和request_id。</w:t>
      </w:r>
    </w:p>
    <w:p>
      <w:pPr>
        <w:pStyle w:val="ListBullet"/>
        <w:spacing w:after="60" w:line="276" w:lineRule="auto"/>
      </w:pPr>
      <w:r>
        <w:t>审计日志普通用户不可删除。</w:t>
      </w:r>
    </w:p>
    <w:p>
      <w:pPr>
        <w:pStyle w:val="Heading1"/>
      </w:pPr>
      <w:r>
        <w:t>4. SSRF防护（高优先级）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必须实现</w:t>
            </w:r>
          </w:p>
          <w:p>
            <w:pPr>
              <w:spacing w:after="0"/>
            </w:pPr>
            <w:r>
              <w:t>人工链接、平台域名、搜索URL和跳转最终URL都可能触发服务器外部请求。必须阻止内网探测和云元数据访问。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只允许http/https，拒绝file、ftp、gopher等协议。</w:t>
      </w:r>
    </w:p>
    <w:p>
      <w:pPr>
        <w:pStyle w:val="ListBullet"/>
        <w:spacing w:after="60" w:line="276" w:lineRule="auto"/>
      </w:pPr>
      <w:r>
        <w:t>URL主机必须属于平台允许域名；规范化后再次验证。</w:t>
      </w:r>
    </w:p>
    <w:p>
      <w:pPr>
        <w:pStyle w:val="ListBullet"/>
        <w:spacing w:after="60" w:line="276" w:lineRule="auto"/>
      </w:pPr>
      <w:r>
        <w:t>DNS解析后拒绝127.0.0.0/8、10/8、172.16/12、192.168/16、169.254/16、::1、fc00::/7等。</w:t>
      </w:r>
    </w:p>
    <w:p>
      <w:pPr>
        <w:pStyle w:val="ListBullet"/>
        <w:spacing w:after="60" w:line="276" w:lineRule="auto"/>
      </w:pPr>
      <w:r>
        <w:t>每次重定向后重新验证目标，限制最多3次。</w:t>
      </w:r>
    </w:p>
    <w:p>
      <w:pPr>
        <w:pStyle w:val="ListBullet"/>
        <w:spacing w:after="60" w:line="276" w:lineRule="auto"/>
      </w:pPr>
      <w:r>
        <w:t>禁用代理环境变量继承，限制端口为80/443或平台白名单。</w:t>
      </w:r>
    </w:p>
    <w:p>
      <w:pPr>
        <w:pStyle w:val="ListBullet"/>
        <w:spacing w:after="60" w:line="276" w:lineRule="auto"/>
      </w:pPr>
      <w:r>
        <w:t>设置连接/读取超时、响应大小上限。</w:t>
      </w:r>
    </w:p>
    <w:p>
      <w:pPr>
        <w:pStyle w:val="ListBullet"/>
        <w:spacing w:after="60" w:line="276" w:lineRule="auto"/>
      </w:pPr>
      <w:r>
        <w:t>防DNS重绑定：解析并绑定验证后的IP或在请求层再次校验。</w:t>
      </w:r>
    </w:p>
    <w:p>
      <w:pPr>
        <w:pStyle w:val="Heading1"/>
      </w:pPr>
      <w:r>
        <w:t>5. 输入与输出安全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控制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SQL注入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仅使用Django ORM参数化查询；禁止拼接SQL。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XSS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Vue默认转义；禁止v-html展示抓取内容；CSP。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CSRF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 CSRF；写请求同源校验。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Excel公式注入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导出以=,+,-,@开头的外部文本前置单引号。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路径穿越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服务器生成随机文件名；不使用用户文本直接拼路径。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大输入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标题、URL、备注长度限制；分页和上传大小限制。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日志注入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结构化日志，清理换行和敏感头。</w:t>
            </w:r>
          </w:p>
        </w:tc>
      </w:tr>
    </w:tbl>
    <w:p>
      <w:pPr>
        <w:spacing w:after="0"/>
      </w:pPr>
    </w:p>
    <w:p>
      <w:pPr>
        <w:pStyle w:val="Heading1"/>
      </w:pPr>
      <w:r>
        <w:t>6. Excel上传</w:t>
      </w:r>
    </w:p>
    <w:p>
      <w:pPr>
        <w:pStyle w:val="ListBullet"/>
        <w:spacing w:after="60" w:line="276" w:lineRule="auto"/>
      </w:pPr>
      <w:r>
        <w:t>只接受.xlsx，扩展名和MIME双校验。</w:t>
      </w:r>
    </w:p>
    <w:p>
      <w:pPr>
        <w:pStyle w:val="ListBullet"/>
        <w:spacing w:after="60" w:line="276" w:lineRule="auto"/>
      </w:pPr>
      <w:r>
        <w:t>限制文件大小（建议10MB）、最大行数（建议1000）。</w:t>
      </w:r>
    </w:p>
    <w:p>
      <w:pPr>
        <w:pStyle w:val="ListBullet"/>
        <w:spacing w:after="60" w:line="276" w:lineRule="auto"/>
      </w:pPr>
      <w:r>
        <w:t>不执行宏，不解析外部链接或公式计算。</w:t>
      </w:r>
    </w:p>
    <w:p>
      <w:pPr>
        <w:pStyle w:val="ListBullet"/>
        <w:spacing w:after="60" w:line="276" w:lineRule="auto"/>
      </w:pPr>
      <w:r>
        <w:t>临时文件随机命名，解析完成删除。</w:t>
      </w:r>
    </w:p>
    <w:p>
      <w:pPr>
        <w:pStyle w:val="ListBullet"/>
        <w:spacing w:after="60" w:line="276" w:lineRule="auto"/>
      </w:pPr>
      <w:r>
        <w:t>逐行校验，异常文件不影响服务。</w:t>
      </w:r>
    </w:p>
    <w:p>
      <w:pPr>
        <w:pStyle w:val="Heading1"/>
      </w:pPr>
      <w:r>
        <w:t>7. 密钥与配置</w:t>
      </w:r>
    </w:p>
    <w:p>
      <w:pPr>
        <w:pStyle w:val="ListBullet"/>
        <w:spacing w:after="60" w:line="276" w:lineRule="auto"/>
      </w:pPr>
      <w:r>
        <w:t>SECRET_KEY、数据库密码、加密密钥不进入Git。</w:t>
      </w:r>
    </w:p>
    <w:p>
      <w:pPr>
        <w:pStyle w:val="ListBullet"/>
        <w:spacing w:after="60" w:line="276" w:lineRule="auto"/>
      </w:pPr>
      <w:r>
        <w:t>SMTP授权码加密存储，页面只返回掩码。</w:t>
      </w:r>
    </w:p>
    <w:p>
      <w:pPr>
        <w:pStyle w:val="ListBullet"/>
        <w:spacing w:after="60" w:line="276" w:lineRule="auto"/>
      </w:pPr>
      <w:r>
        <w:t>生产.env权限600，限制读取用户。</w:t>
      </w:r>
    </w:p>
    <w:p>
      <w:pPr>
        <w:pStyle w:val="ListBullet"/>
        <w:spacing w:after="60" w:line="276" w:lineRule="auto"/>
      </w:pPr>
      <w:r>
        <w:t>密钥轮换需有流程，泄露时立即替换。</w:t>
      </w:r>
    </w:p>
    <w:p>
      <w:pPr>
        <w:pStyle w:val="ListBullet"/>
        <w:spacing w:after="60" w:line="276" w:lineRule="auto"/>
      </w:pPr>
      <w:r>
        <w:t>日志、错误和备份不得包含完整Cookie、Authorization和密码。</w:t>
      </w:r>
    </w:p>
    <w:p>
      <w:pPr>
        <w:pStyle w:val="Heading1"/>
      </w:pPr>
      <w:r>
        <w:t>8. 外部采集合规边界</w:t>
      </w:r>
    </w:p>
    <w:p>
      <w:pPr>
        <w:pStyle w:val="ListBullet"/>
        <w:spacing w:after="60" w:line="276" w:lineRule="auto"/>
      </w:pPr>
      <w:r>
        <w:t>只访问公开页面和公开接口。</w:t>
      </w:r>
    </w:p>
    <w:p>
      <w:pPr>
        <w:pStyle w:val="ListBullet"/>
        <w:spacing w:after="60" w:line="276" w:lineRule="auto"/>
      </w:pPr>
      <w:r>
        <w:t>尊重平台访问规则和合理频率。</w:t>
      </w:r>
    </w:p>
    <w:p>
      <w:pPr>
        <w:pStyle w:val="ListBullet"/>
        <w:spacing w:after="60" w:line="276" w:lineRule="auto"/>
      </w:pPr>
      <w:r>
        <w:t>不绕过登录、验证码、付费墙、签名或访问控制。</w:t>
      </w:r>
    </w:p>
    <w:p>
      <w:pPr>
        <w:pStyle w:val="ListBullet"/>
        <w:spacing w:after="60" w:line="276" w:lineRule="auto"/>
      </w:pPr>
      <w:r>
        <w:t>出现限制时记录—并通知维护。</w:t>
      </w:r>
    </w:p>
    <w:p>
      <w:pPr>
        <w:pStyle w:val="ListBullet"/>
        <w:spacing w:after="60" w:line="276" w:lineRule="auto"/>
      </w:pPr>
      <w:r>
        <w:t>采集只保存与转载监测必要的数据，不采集个人敏感信息。</w:t>
      </w:r>
    </w:p>
    <w:p>
      <w:pPr>
        <w:pStyle w:val="Heading1"/>
      </w:pPr>
      <w:r>
        <w:t>9. 基础设施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Nginx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TLS、HSTS（正式域名后）、安全头、上传限制、速率限制。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端口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MySQL/Redis不暴露公网；SSH限制源IP或密钥登录。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容器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非root运行、固定版本、只读文件系统可行处启用。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最小权限应用账号，禁止root用于应用。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受控目录、完整性校验、必要时加密。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补丁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每月依赖与镜像漏洞扫描。</w:t>
            </w:r>
          </w:p>
        </w:tc>
      </w:tr>
    </w:tbl>
    <w:p>
      <w:pPr>
        <w:spacing w:after="0"/>
      </w:pPr>
    </w:p>
    <w:p>
      <w:pPr>
        <w:pStyle w:val="Heading1"/>
      </w:pPr>
      <w:r>
        <w:t>10. 上线安全检查表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68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15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责任人/证据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DEBUG=False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2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ALLOWED_HOSTS正确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HTTPS或临时IP风险已接受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4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管理员密码已修改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无默认账号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6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MySQL/Redis未公网开放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7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生产密钥未进仓库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8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SMTP授权码掩码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9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CSRF/Session Cookie配置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10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SSRF测试通过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Excel公式注入测试通过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12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权限越权测试通过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下载鉴权通过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14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错误页面不泄露堆栈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备份可恢复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16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日志脱敏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17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依赖无高危漏洞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18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安全组最小开放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  <w:t>□通过 □不通过</w:t>
            </w:r>
          </w:p>
        </w:tc>
        <w:tc>
          <w:tcPr>
            <w:tcW w:type="dxa" w:w="215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11. 安全事件响应</w:t>
      </w:r>
    </w:p>
    <w:p>
      <w:pPr>
        <w:spacing w:after="100" w:line="300" w:lineRule="auto"/>
      </w:pPr>
      <w:r>
        <w:rPr>
          <w:b w:val="0"/>
        </w:rPr>
        <w:t>发现账号异常、密钥泄露、越权、恶意URL或数据泄露时，立即禁用相关账号/密钥、停止外部访问、保留日志、评估影响、修复并轮换凭据。P0事件必须形成复盘和改进项。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安全设计与检查清单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13_安全设计与检查清单_V1.0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