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Python项目开发规范与质量门禁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PY-V1.0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Python/Django开发与维护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规范体系</w:t>
      </w:r>
    </w:p>
    <w:p>
      <w:pPr>
        <w:spacing w:after="100" w:line="300" w:lineRule="auto"/>
      </w:pPr>
      <w:r>
        <w:rPr>
          <w:b w:val="0"/>
        </w:rPr>
        <w:t>Python代码遵循PEP 8和Django工程实践，借鉴阿里开发手册中的命名、异常、日志、数据库和安全思想。使用Black统一格式、Ruff静态检查、mypy类型检查、pytest测试、pre-commit本地门禁。</w:t>
      </w:r>
    </w:p>
    <w:p>
      <w:pPr>
        <w:pStyle w:val="Heading1"/>
      </w:pPr>
      <w:r>
        <w:t>2. 版本和依赖</w:t>
      </w:r>
    </w:p>
    <w:p>
      <w:pPr>
        <w:pStyle w:val="ListBullet"/>
        <w:spacing w:after="60" w:line="276" w:lineRule="auto"/>
      </w:pPr>
      <w:r>
        <w:t>Python 3.12；Django 5.2 LTS；依赖固定精确版本并保留锁文件。</w:t>
      </w:r>
    </w:p>
    <w:p>
      <w:pPr>
        <w:pStyle w:val="ListBullet"/>
        <w:spacing w:after="60" w:line="276" w:lineRule="auto"/>
      </w:pPr>
      <w:r>
        <w:t>生产/开发依赖分组，不在运行时自动安装最新版本。</w:t>
      </w:r>
    </w:p>
    <w:p>
      <w:pPr>
        <w:pStyle w:val="ListBullet"/>
        <w:spacing w:after="60" w:line="276" w:lineRule="auto"/>
      </w:pPr>
      <w:r>
        <w:t>每月检查安全更新，升级先在测试环境回归。</w:t>
      </w:r>
    </w:p>
    <w:p>
      <w:pPr>
        <w:pStyle w:val="ListBullet"/>
        <w:spacing w:after="60" w:line="276" w:lineRule="auto"/>
      </w:pPr>
      <w:r>
        <w:t>Playwright浏览器版本与镜像固定。</w:t>
      </w:r>
    </w:p>
    <w:p>
      <w:pPr>
        <w:pStyle w:val="Heading1"/>
      </w:pPr>
      <w:r>
        <w:t>3. 工程分层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apps/</w:t>
              <w:br/>
              <w:t xml:space="preserve">  articles/ platforms/ monitoring/ reposts/ reports/ mailer/ audit/</w:t>
              <w:br/>
              <w:t>adapters/</w:t>
              <w:br/>
              <w:t xml:space="preserve">  base.py registry.py toutiao.py sohu.py xueqiu.py baijiahao.py eastmoney.py</w:t>
              <w:br/>
              <w:t>config/</w:t>
              <w:br/>
              <w:t xml:space="preserve">  settings/base.py local.py production.py celery.py urls.py</w:t>
              <w:br/>
              <w:t>tests/</w:t>
              <w:br/>
              <w:t xml:space="preserve">  unit/ integration/ adapters/ e2e/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t>View只处理HTTP输入输出，不放复杂业务。</w:t>
      </w:r>
    </w:p>
    <w:p>
      <w:pPr>
        <w:pStyle w:val="ListBullet"/>
        <w:spacing w:after="60" w:line="276" w:lineRule="auto"/>
      </w:pPr>
      <w:r>
        <w:t>Serializer负责字段校验；领域规则放services。</w:t>
      </w:r>
    </w:p>
    <w:p>
      <w:pPr>
        <w:pStyle w:val="ListBullet"/>
        <w:spacing w:after="60" w:line="276" w:lineRule="auto"/>
      </w:pPr>
      <w:r>
        <w:t>Model保持数据约束和轻量行为，不在signal中隐藏核心流程。</w:t>
      </w:r>
    </w:p>
    <w:p>
      <w:pPr>
        <w:pStyle w:val="ListBullet"/>
        <w:spacing w:after="60" w:line="276" w:lineRule="auto"/>
      </w:pPr>
      <w:r>
        <w:t>Celery Task只做编排，业务逻辑调用可测试的服务。</w:t>
      </w:r>
    </w:p>
    <w:p>
      <w:pPr>
        <w:pStyle w:val="ListBullet"/>
        <w:spacing w:after="60" w:line="276" w:lineRule="auto"/>
      </w:pPr>
      <w:r>
        <w:t>平台特定逻辑只在adapter中，禁止散落在业务层。</w:t>
      </w:r>
    </w:p>
    <w:p>
      <w:pPr>
        <w:pStyle w:val="Heading1"/>
      </w:pPr>
      <w:r>
        <w:t>4. 命名与类型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模块/函数/变量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snake_case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类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PascalCase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常量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UPPER_SNAKE_CASE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布尔变量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is_/has_/can_/should_前缀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时间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*_at为datetime，*_date为date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ID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*_id，避免模糊id在跨对象上下文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类型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公共函数必须标注参数和返回类型</w:t>
            </w:r>
          </w:p>
        </w:tc>
      </w:tr>
    </w:tbl>
    <w:p>
      <w:pPr>
        <w:spacing w:after="0"/>
      </w:pPr>
    </w:p>
    <w:p>
      <w:pPr>
        <w:pStyle w:val="Heading1"/>
      </w:pPr>
      <w:r>
        <w:t>5. 异常处理</w:t>
      </w:r>
    </w:p>
    <w:p>
      <w:pPr>
        <w:pStyle w:val="ListBullet"/>
        <w:spacing w:after="60" w:line="276" w:lineRule="auto"/>
      </w:pPr>
      <w:r>
        <w:t>不得except Exception后静默忽略。</w:t>
      </w:r>
    </w:p>
    <w:p>
      <w:pPr>
        <w:pStyle w:val="ListBullet"/>
        <w:spacing w:after="60" w:line="276" w:lineRule="auto"/>
      </w:pPr>
      <w:r>
        <w:t>平台异常转换为定义明确的AdapterError子类和错误码。</w:t>
      </w:r>
    </w:p>
    <w:p>
      <w:pPr>
        <w:pStyle w:val="ListBullet"/>
        <w:spacing w:after="60" w:line="276" w:lineRule="auto"/>
      </w:pPr>
      <w:r>
        <w:t>可重试异常与不可重试异常分开。</w:t>
      </w:r>
    </w:p>
    <w:p>
      <w:pPr>
        <w:pStyle w:val="ListBullet"/>
        <w:spacing w:after="60" w:line="276" w:lineRule="auto"/>
      </w:pPr>
      <w:r>
        <w:t>业务校验使用明确异常，API统一映射错误响应。</w:t>
      </w:r>
    </w:p>
    <w:p>
      <w:pPr>
        <w:pStyle w:val="ListBullet"/>
        <w:spacing w:after="60" w:line="276" w:lineRule="auto"/>
      </w:pPr>
      <w:r>
        <w:t>日志记录request_id/task_id/batch_id/platform_id，不重复记录完整堆栈。</w:t>
      </w:r>
    </w:p>
    <w:p>
      <w:pPr>
        <w:pStyle w:val="Heading1"/>
      </w:pPr>
      <w:r>
        <w:t>6. 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使用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DEBUG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仅开发详细流程，生产默认关闭。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INFO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批次开始结束、报表生成、邮件成功、平台配置变更。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WARNING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可恢复超时、重试、连续失败、接近阈值。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ERROR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任务失败、解析失效、备份/邮件失败。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CRITICAL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数据损坏、安全事件、核心服务不可用。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日志禁区</w:t>
            </w:r>
          </w:p>
          <w:p>
            <w:pPr>
              <w:spacing w:after="0"/>
            </w:pPr>
            <w:r>
              <w:t>不得记录完整Cookie、Authorization、SMTP授权码、密码、个人敏感信息、完整HTML正文或未脱敏HAR。</w:t>
            </w:r>
          </w:p>
        </w:tc>
      </w:tr>
    </w:tbl>
    <w:p>
      <w:pPr>
        <w:spacing w:after="0"/>
      </w:pPr>
    </w:p>
    <w:p>
      <w:pPr>
        <w:pStyle w:val="Heading1"/>
      </w:pPr>
      <w:r>
        <w:t>7. Django ORM与数据库</w:t>
      </w:r>
    </w:p>
    <w:p>
      <w:pPr>
        <w:pStyle w:val="ListBullet"/>
        <w:spacing w:after="60" w:line="276" w:lineRule="auto"/>
      </w:pPr>
      <w:r>
        <w:t>使用select_related/prefetch_related避免N+1。</w:t>
      </w:r>
    </w:p>
    <w:p>
      <w:pPr>
        <w:pStyle w:val="ListBullet"/>
        <w:spacing w:after="60" w:line="276" w:lineRule="auto"/>
      </w:pPr>
      <w:r>
        <w:t>列表查询必须分页，禁止无界.all()返回大量数据。</w:t>
      </w:r>
    </w:p>
    <w:p>
      <w:pPr>
        <w:pStyle w:val="ListBullet"/>
        <w:spacing w:after="60" w:line="276" w:lineRule="auto"/>
      </w:pPr>
      <w:r>
        <w:t>跨多表写操作使用transaction.atomic。</w:t>
      </w:r>
    </w:p>
    <w:p>
      <w:pPr>
        <w:pStyle w:val="ListBullet"/>
        <w:spacing w:after="60" w:line="276" w:lineRule="auto"/>
      </w:pPr>
      <w:r>
        <w:t>并发更新状态使用select_for_update或条件更新。</w:t>
      </w:r>
    </w:p>
    <w:p>
      <w:pPr>
        <w:pStyle w:val="ListBullet"/>
        <w:spacing w:after="60" w:line="276" w:lineRule="auto"/>
      </w:pPr>
      <w:r>
        <w:t>唯一性必须用数据库约束，不只在应用判断。</w:t>
      </w:r>
    </w:p>
    <w:p>
      <w:pPr>
        <w:pStyle w:val="ListBullet"/>
        <w:spacing w:after="60" w:line="276" w:lineRule="auto"/>
      </w:pPr>
      <w:r>
        <w:t>所有结构修改使用Migration。</w:t>
      </w:r>
    </w:p>
    <w:p>
      <w:pPr>
        <w:pStyle w:val="Heading1"/>
      </w:pPr>
      <w:r>
        <w:t>8. Celery任务</w:t>
      </w:r>
    </w:p>
    <w:p>
      <w:pPr>
        <w:pStyle w:val="ListBullet"/>
        <w:spacing w:after="60" w:line="276" w:lineRule="auto"/>
      </w:pPr>
      <w:r>
        <w:t>任务参数传ID，不传大型对象。</w:t>
      </w:r>
    </w:p>
    <w:p>
      <w:pPr>
        <w:pStyle w:val="ListBullet"/>
        <w:spacing w:after="60" w:line="276" w:lineRule="auto"/>
      </w:pPr>
      <w:r>
        <w:t>任务必须幂等，定义唯一业务键。</w:t>
      </w:r>
    </w:p>
    <w:p>
      <w:pPr>
        <w:pStyle w:val="ListBullet"/>
        <w:spacing w:after="60" w:line="276" w:lineRule="auto"/>
      </w:pPr>
      <w:r>
        <w:t>设置soft/hard time limit和合理重试退避。</w:t>
      </w:r>
    </w:p>
    <w:p>
      <w:pPr>
        <w:pStyle w:val="ListBullet"/>
        <w:spacing w:after="60" w:line="276" w:lineRule="auto"/>
      </w:pPr>
      <w:r>
        <w:t>外部平台任务不可无限重试；默认2次。</w:t>
      </w:r>
    </w:p>
    <w:p>
      <w:pPr>
        <w:pStyle w:val="ListBullet"/>
        <w:spacing w:after="60" w:line="276" w:lineRule="auto"/>
      </w:pPr>
      <w:r>
        <w:t>Beat单实例；周期任务按北京时间业务规则计算。</w:t>
      </w:r>
    </w:p>
    <w:p>
      <w:pPr>
        <w:pStyle w:val="ListBullet"/>
        <w:spacing w:after="60" w:line="276" w:lineRule="auto"/>
      </w:pPr>
      <w:r>
        <w:t>任务结束无论成功失败都释放锁。</w:t>
      </w:r>
    </w:p>
    <w:p>
      <w:pPr>
        <w:pStyle w:val="Heading1"/>
      </w:pPr>
      <w:r>
        <w:t>9. HTTP和Playwright</w:t>
      </w:r>
    </w:p>
    <w:p>
      <w:pPr>
        <w:pStyle w:val="ListBullet"/>
        <w:spacing w:after="60" w:line="276" w:lineRule="auto"/>
      </w:pPr>
      <w:r>
        <w:t>复用httpx AsyncClient/Client，统一超时、User-Agent和响应大小限制。</w:t>
      </w:r>
    </w:p>
    <w:p>
      <w:pPr>
        <w:pStyle w:val="ListBullet"/>
        <w:spacing w:after="60" w:line="276" w:lineRule="auto"/>
      </w:pPr>
      <w:r>
        <w:t>所有URL经过SSRF和平台白名单验证。</w:t>
      </w:r>
    </w:p>
    <w:p>
      <w:pPr>
        <w:pStyle w:val="ListBullet"/>
        <w:spacing w:after="60" w:line="276" w:lineRule="auto"/>
      </w:pPr>
      <w:r>
        <w:t>限制重定向并逐跳验证。</w:t>
      </w:r>
    </w:p>
    <w:p>
      <w:pPr>
        <w:pStyle w:val="ListBullet"/>
        <w:spacing w:after="60" w:line="276" w:lineRule="auto"/>
      </w:pPr>
      <w:r>
        <w:t>Playwright按平台复用Browser，任务隔离Context，结束关闭Context。</w:t>
      </w:r>
    </w:p>
    <w:p>
      <w:pPr>
        <w:pStyle w:val="ListBullet"/>
        <w:spacing w:after="60" w:line="276" w:lineRule="auto"/>
      </w:pPr>
      <w:r>
        <w:t>阻止图片/字体等非必要资源可降低资源，但不得影响结果。</w:t>
      </w:r>
    </w:p>
    <w:p>
      <w:pPr>
        <w:pStyle w:val="ListBullet"/>
        <w:spacing w:after="60" w:line="276" w:lineRule="auto"/>
      </w:pPr>
      <w:r>
        <w:t>验证码/登录不绕过，抛出明确错误。</w:t>
      </w:r>
    </w:p>
    <w:p>
      <w:pPr>
        <w:pStyle w:val="Heading1"/>
      </w:pPr>
      <w:r>
        <w:t>10. 测试规范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测试层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单元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标题/URL标准化、统计公式、权限、错误映射。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服务集成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批次快照、状态聚合、人工补录、报表版本。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适配器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固定HTML/JSON fixture和真实受控样本。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幂等、锁、重试、结束时间。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API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认证、权限、分页、校验。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E2E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文章导入→批次→矩阵→报表→邮件。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t>核心领域服务覆盖率建议≥85%，项目总体≥75%。</w:t>
      </w:r>
    </w:p>
    <w:p>
      <w:pPr>
        <w:pStyle w:val="ListBullet"/>
        <w:spacing w:after="60" w:line="276" w:lineRule="auto"/>
      </w:pPr>
      <w:r>
        <w:t>测试不得依赖不稳定公网作为唯一条件；真实平台测试标记为integration。</w:t>
      </w:r>
    </w:p>
    <w:p>
      <w:pPr>
        <w:pStyle w:val="ListBullet"/>
        <w:spacing w:after="60" w:line="276" w:lineRule="auto"/>
      </w:pPr>
      <w:r>
        <w:t>时间逻辑使用freezegun或可注入时钟。</w:t>
      </w:r>
    </w:p>
    <w:p>
      <w:pPr>
        <w:pStyle w:val="ListBullet"/>
        <w:spacing w:after="60" w:line="276" w:lineRule="auto"/>
      </w:pPr>
      <w:r>
        <w:t>数据库测试使用真实MySQL容器或与生产兼容环境。</w:t>
      </w:r>
    </w:p>
    <w:p>
      <w:pPr>
        <w:pStyle w:val="Heading1"/>
      </w:pPr>
      <w:r>
        <w:t>11. 前置提交配置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repos:</w:t>
              <w:br/>
              <w:t xml:space="preserve">  - repo: black</w:t>
              <w:br/>
              <w:t xml:space="preserve">  - repo: ruff-pre-commit</w:t>
              <w:br/>
              <w:t xml:space="preserve">  - repo: mypy</w:t>
              <w:br/>
              <w:t xml:space="preserve">  - repo: general hooks (trailing-whitespace, end-of-file-fixer, detect-private-key)</w:t>
            </w:r>
          </w:p>
        </w:tc>
      </w:tr>
    </w:tbl>
    <w:p>
      <w:pPr>
        <w:spacing w:after="0"/>
      </w:pPr>
    </w:p>
    <w:p>
      <w:pPr>
        <w:pStyle w:val="Heading1"/>
      </w:pPr>
      <w:r>
        <w:t>12. Definition of Done</w:t>
      </w:r>
    </w:p>
    <w:p>
      <w:pPr>
        <w:pStyle w:val="ListBullet"/>
        <w:spacing w:after="60" w:line="276" w:lineRule="auto"/>
      </w:pPr>
      <w:r>
        <w:t>代码、测试、Migration、文档同步完成。</w:t>
      </w:r>
    </w:p>
    <w:p>
      <w:pPr>
        <w:pStyle w:val="ListBullet"/>
        <w:spacing w:after="60" w:line="276" w:lineRule="auto"/>
      </w:pPr>
      <w:r>
        <w:t>Black/Ruff/mypy/pytest/前端检查通过。</w:t>
      </w:r>
    </w:p>
    <w:p>
      <w:pPr>
        <w:pStyle w:val="ListBullet"/>
        <w:spacing w:after="60" w:line="276" w:lineRule="auto"/>
      </w:pPr>
      <w:r>
        <w:t>无高危依赖漏洞。</w:t>
      </w:r>
    </w:p>
    <w:p>
      <w:pPr>
        <w:pStyle w:val="ListBullet"/>
        <w:spacing w:after="60" w:line="276" w:lineRule="auto"/>
      </w:pPr>
      <w:r>
        <w:t>关键日志和错误码完整。</w:t>
      </w:r>
    </w:p>
    <w:p>
      <w:pPr>
        <w:pStyle w:val="ListBullet"/>
        <w:spacing w:after="60" w:line="276" w:lineRule="auto"/>
      </w:pPr>
      <w:r>
        <w:t>UI或Excel与原型/样例比对。</w:t>
      </w:r>
    </w:p>
    <w:p>
      <w:pPr>
        <w:pStyle w:val="ListBullet"/>
        <w:spacing w:after="60" w:line="276" w:lineRule="auto"/>
      </w:pPr>
      <w:r>
        <w:t>安全与权限已测试。</w:t>
      </w:r>
    </w:p>
    <w:p>
      <w:pPr>
        <w:pStyle w:val="ListBullet"/>
        <w:spacing w:after="60" w:line="276" w:lineRule="auto"/>
      </w:pPr>
      <w:r>
        <w:t>PR评审至少一人通过（若单人开发，需自检记录）。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Python项目开发规范与质量门禁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15_Python项目开发规范与质量门禁_V1.0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