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eastAsia="Noto Sans CJK SC"/>
          <w:b/>
          <w:color w:val="2B2D31"/>
          <w:sz w:val="48"/>
        </w:rPr>
        <w:t>文章转载监测系统</w:t>
      </w:r>
    </w:p>
    <w:p>
      <w:pPr>
        <w:spacing w:before="240"/>
        <w:jc w:val="center"/>
      </w:pPr>
      <w:r>
        <w:rPr>
          <w:rFonts w:eastAsia="Noto Sans CJK SC"/>
          <w:b/>
          <w:color w:val="C90016"/>
          <w:sz w:val="56"/>
        </w:rPr>
        <w:t>需求变更与发布管理制度</w:t>
      </w:r>
    </w:p>
    <w:p>
      <w:pPr>
        <w:jc w:val="center"/>
      </w:pPr>
      <w:r>
        <w:rPr>
          <w:b/>
          <w:color w:val="2B2D31"/>
          <w:sz w:val="32"/>
        </w:rPr>
        <w:t>V1.0</w:t>
      </w:r>
    </w:p>
    <w:p>
      <w:pPr>
        <w:spacing w:after="90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52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文档编号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CHANGE-V1.0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版本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V1.0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状态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正式基线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编制日期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2026-08-06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适用阶段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范围控制、版本与发布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责任人</w:t>
            </w:r>
          </w:p>
        </w:tc>
        <w:tc>
          <w:tcPr>
            <w:tcW w:type="dxa" w:w="652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8"/>
              </w:rPr>
              <w:t>业务验收、技术负责与运行维护：项目负责人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DEDEF"/>
            <w:tcBorders>
              <w:top w:val="single" w:sz="8" w:space="0" w:color="C90016"/>
              <w:left w:val="single" w:sz="8" w:space="0" w:color="C90016"/>
              <w:bottom w:val="single" w:sz="8" w:space="0" w:color="C90016"/>
              <w:right w:val="single" w:sz="8" w:space="0" w:color="C90016"/>
              <w:insideH w:val="single" w:sz="8" w:space="0" w:color="C90016"/>
              <w:insideV w:val="single" w:sz="8" w:space="0" w:color="C90016"/>
            </w:tcBorders>
          </w:tcPr>
          <w:p>
            <w:pPr>
              <w:spacing w:after="40"/>
            </w:pPr>
            <w:r>
              <w:rPr>
                <w:b/>
                <w:color w:val="C90016"/>
              </w:rPr>
              <w:t>文档说明</w:t>
            </w:r>
          </w:p>
          <w:p>
            <w:pPr>
              <w:spacing w:after="0"/>
            </w:pPr>
            <w:r>
              <w:t>本文件为正式生产环境V1.0基线。开发、测试、部署、验收和后续变更均应以本文件及配套文档为依据；未明确事项进入问题台账，不得以口头约定直接改变生产范围。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30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4535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变更说明</w:t>
            </w:r>
          </w:p>
        </w:tc>
        <w:tc>
          <w:tcPr>
            <w:tcW w:type="dxa" w:w="136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30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V1.0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2026-08-06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首次正式生产基线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已确认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spacing w:after="160"/>
      </w:pPr>
      <w:r>
        <w:t>本文采用静态章节目录。打开Word后可通过“导航窗格”按标题跳转。</w:t>
      </w:r>
    </w:p>
    <w:p>
      <w:pPr>
        <w:pStyle w:val="Heading1"/>
      </w:pPr>
      <w:r>
        <w:t>1. 范围冻结</w:t>
      </w:r>
    </w:p>
    <w:p>
      <w:pPr>
        <w:spacing w:after="100" w:line="300" w:lineRule="auto"/>
      </w:pPr>
      <w:r>
        <w:rPr>
          <w:b w:val="0"/>
        </w:rPr>
        <w:t>V1.0范围以PRD、原型、Excel样例和立项确认书为准。开发期新增阅读量、模糊匹配、更多平台、邮件日报等均进入后续版本，除非通过正式变更审批并调整工期。</w:t>
      </w:r>
    </w:p>
    <w:p>
      <w:pPr>
        <w:pStyle w:val="Heading1"/>
      </w:pPr>
      <w:r>
        <w:t>2. 变更分类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3402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3969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处理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缺陷修复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实现不符合已确认需求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不视为新需求，按优先级修复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小变更</w:t>
            </w:r>
          </w:p>
        </w:tc>
        <w:tc>
          <w:tcPr>
            <w:tcW w:type="dxa" w:w="34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文字、非核心布局、不影响数据</w:t>
            </w:r>
          </w:p>
        </w:tc>
        <w:tc>
          <w:tcPr>
            <w:tcW w:type="dxa" w:w="39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评估后纳入当前迭代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范围变更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新功能、统计口径、数据库核心变化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提交变更单、评估工期和风险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紧急变更</w:t>
            </w:r>
          </w:p>
        </w:tc>
        <w:tc>
          <w:tcPr>
            <w:tcW w:type="dxa" w:w="34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生产P0/P1</w:t>
            </w:r>
          </w:p>
        </w:tc>
        <w:tc>
          <w:tcPr>
            <w:tcW w:type="dxa" w:w="3969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hotfix流程，事后补审批</w:t>
            </w:r>
          </w:p>
        </w:tc>
      </w:tr>
    </w:tbl>
    <w:p>
      <w:pPr>
        <w:spacing w:after="0"/>
      </w:pPr>
    </w:p>
    <w:p>
      <w:pPr>
        <w:pStyle w:val="Heading1"/>
      </w:pPr>
      <w:r>
        <w:t>3. 变更单字段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6803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变更编号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CR-YYYYMMDD-NN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提出人/日期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记录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原需求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引用文档章节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变更内容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明确前后差异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业务原因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必要性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影响分析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前端、后端、数据库、采集、报表、测试、部署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工作量/计划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估算与新日期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风险/回滚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说明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审批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业务验收人、技术负责人</w:t>
            </w:r>
          </w:p>
        </w:tc>
      </w:tr>
    </w:tbl>
    <w:p>
      <w:pPr>
        <w:spacing w:after="0"/>
      </w:pPr>
    </w:p>
    <w:p>
      <w:pPr>
        <w:pStyle w:val="Heading1"/>
      </w:pPr>
      <w:r>
        <w:t>4. 版本规则</w:t>
      </w:r>
    </w:p>
    <w:p>
      <w:pPr>
        <w:pStyle w:val="ListBullet"/>
        <w:spacing w:after="60" w:line="276" w:lineRule="auto"/>
      </w:pPr>
      <w:r>
        <w:t>正式系统使用语义化版本V1.0.0。</w:t>
      </w:r>
    </w:p>
    <w:p>
      <w:pPr>
        <w:pStyle w:val="ListBullet"/>
        <w:spacing w:after="60" w:line="276" w:lineRule="auto"/>
      </w:pPr>
      <w:r>
        <w:t>文档基线文件统一V1.0；内容修改发布V1.1等。</w:t>
      </w:r>
    </w:p>
    <w:p>
      <w:pPr>
        <w:pStyle w:val="ListBullet"/>
        <w:spacing w:after="60" w:line="276" w:lineRule="auto"/>
      </w:pPr>
      <w:r>
        <w:t>紧急修复发布V1.0.1。</w:t>
      </w:r>
    </w:p>
    <w:p>
      <w:pPr>
        <w:pStyle w:val="ListBullet"/>
        <w:spacing w:after="60" w:line="276" w:lineRule="auto"/>
      </w:pPr>
      <w:r>
        <w:t>报表文件内部版本V1/V2独立。</w:t>
      </w:r>
    </w:p>
    <w:p>
      <w:pPr>
        <w:pStyle w:val="ListBullet"/>
        <w:spacing w:after="60" w:line="276" w:lineRule="auto"/>
      </w:pPr>
      <w:r>
        <w:t>数据库Migration编号随代码，不手工重写历史。</w:t>
      </w:r>
    </w:p>
    <w:p>
      <w:pPr>
        <w:pStyle w:val="Heading1"/>
      </w:pPr>
      <w:r>
        <w:t>5. 发布类型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窗口</w:t>
            </w:r>
          </w:p>
        </w:tc>
        <w:tc>
          <w:tcPr>
            <w:tcW w:type="dxa" w:w="5102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常规发布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计划维护窗口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完整CI、测试、备份、Migration、冒烟。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配置发布</w:t>
            </w:r>
          </w:p>
        </w:tc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平台规则/系统参数</w:t>
            </w:r>
          </w:p>
        </w:tc>
        <w:tc>
          <w:tcPr>
            <w:tcW w:type="dxa" w:w="51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版本化、测试样本回归、审计。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hotfix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立即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最小修复、快速测试、备份、双分支合并。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回滚</w:t>
            </w:r>
          </w:p>
        </w:tc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故障触发</w:t>
            </w:r>
          </w:p>
        </w:tc>
        <w:tc>
          <w:tcPr>
            <w:tcW w:type="dxa" w:w="5102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使用上一镜像/配置版本，记录原因。</w:t>
            </w:r>
          </w:p>
        </w:tc>
      </w:tr>
    </w:tbl>
    <w:p>
      <w:pPr>
        <w:spacing w:after="0"/>
      </w:pPr>
    </w:p>
    <w:p>
      <w:pPr>
        <w:pStyle w:val="Heading1"/>
      </w:pPr>
      <w:r>
        <w:t>6. 发布清单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850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5953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结果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1</w:t>
            </w:r>
          </w:p>
        </w:tc>
        <w:tc>
          <w:tcPr>
            <w:tcW w:type="dxa" w:w="595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需求/变更已审批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□完成 □不适用</w:t>
            </w:r>
          </w:p>
        </w:tc>
      </w:tr>
      <w:tr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2</w:t>
            </w:r>
          </w:p>
        </w:tc>
        <w:tc>
          <w:tcPr>
            <w:tcW w:type="dxa" w:w="595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代码已合并main并打标签</w:t>
            </w:r>
          </w:p>
        </w:tc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□完成 □不适用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3</w:t>
            </w:r>
          </w:p>
        </w:tc>
        <w:tc>
          <w:tcPr>
            <w:tcW w:type="dxa" w:w="595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CI全绿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□完成 □不适用</w:t>
            </w:r>
          </w:p>
        </w:tc>
      </w:tr>
      <w:tr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4</w:t>
            </w:r>
          </w:p>
        </w:tc>
        <w:tc>
          <w:tcPr>
            <w:tcW w:type="dxa" w:w="595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P0/P1为0</w:t>
            </w:r>
          </w:p>
        </w:tc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□完成 □不适用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5</w:t>
            </w:r>
          </w:p>
        </w:tc>
        <w:tc>
          <w:tcPr>
            <w:tcW w:type="dxa" w:w="595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Migration已测试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□完成 □不适用</w:t>
            </w:r>
          </w:p>
        </w:tc>
      </w:tr>
      <w:tr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6</w:t>
            </w:r>
          </w:p>
        </w:tc>
        <w:tc>
          <w:tcPr>
            <w:tcW w:type="dxa" w:w="595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生产备份完成</w:t>
            </w:r>
          </w:p>
        </w:tc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□完成 □不适用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7</w:t>
            </w:r>
          </w:p>
        </w:tc>
        <w:tc>
          <w:tcPr>
            <w:tcW w:type="dxa" w:w="595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镜像digest记录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□完成 □不适用</w:t>
            </w:r>
          </w:p>
        </w:tc>
      </w:tr>
      <w:tr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8</w:t>
            </w:r>
          </w:p>
        </w:tc>
        <w:tc>
          <w:tcPr>
            <w:tcW w:type="dxa" w:w="595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环境变量检查</w:t>
            </w:r>
          </w:p>
        </w:tc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□完成 □不适用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9</w:t>
            </w:r>
          </w:p>
        </w:tc>
        <w:tc>
          <w:tcPr>
            <w:tcW w:type="dxa" w:w="595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Beat单实例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□完成 □不适用</w:t>
            </w:r>
          </w:p>
        </w:tc>
      </w:tr>
      <w:tr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10</w:t>
            </w:r>
          </w:p>
        </w:tc>
        <w:tc>
          <w:tcPr>
            <w:tcW w:type="dxa" w:w="595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冒烟脚本准备</w:t>
            </w:r>
          </w:p>
        </w:tc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□完成 □不适用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11</w:t>
            </w:r>
          </w:p>
        </w:tc>
        <w:tc>
          <w:tcPr>
            <w:tcW w:type="dxa" w:w="5953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回滚版本可用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□完成 □不适用</w:t>
            </w:r>
          </w:p>
        </w:tc>
      </w:tr>
      <w:tr>
        <w:tc>
          <w:tcPr>
            <w:tcW w:type="dxa" w:w="850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12</w:t>
            </w:r>
          </w:p>
        </w:tc>
        <w:tc>
          <w:tcPr>
            <w:tcW w:type="dxa" w:w="5953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发布通知和记录</w:t>
            </w:r>
          </w:p>
        </w:tc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7"/>
              </w:rPr>
              <w:t>□完成 □不适用</w:t>
            </w:r>
          </w:p>
        </w:tc>
      </w:tr>
    </w:tbl>
    <w:p>
      <w:pPr>
        <w:spacing w:after="0"/>
      </w:pPr>
    </w:p>
    <w:p>
      <w:pPr>
        <w:pStyle w:val="Heading1"/>
      </w:pPr>
      <w:r>
        <w:t>7. 发布后验证</w:t>
      </w:r>
    </w:p>
    <w:p>
      <w:pPr>
        <w:pStyle w:val="ListBullet"/>
        <w:spacing w:after="60" w:line="276" w:lineRule="auto"/>
      </w:pPr>
      <w:r>
        <w:t>登录和权限。</w:t>
      </w:r>
    </w:p>
    <w:p>
      <w:pPr>
        <w:pStyle w:val="ListBullet"/>
        <w:spacing w:after="60" w:line="276" w:lineRule="auto"/>
      </w:pPr>
      <w:r>
        <w:t>文章查询/导入。</w:t>
      </w:r>
    </w:p>
    <w:p>
      <w:pPr>
        <w:pStyle w:val="ListBullet"/>
        <w:spacing w:after="60" w:line="276" w:lineRule="auto"/>
      </w:pPr>
      <w:r>
        <w:t>创建一条测试立即检测。</w:t>
      </w:r>
    </w:p>
    <w:p>
      <w:pPr>
        <w:pStyle w:val="ListBullet"/>
        <w:spacing w:after="60" w:line="276" w:lineRule="auto"/>
      </w:pPr>
      <w:r>
        <w:t>队列和Beat状态。</w:t>
      </w:r>
    </w:p>
    <w:p>
      <w:pPr>
        <w:pStyle w:val="ListBullet"/>
        <w:spacing w:after="60" w:line="276" w:lineRule="auto"/>
      </w:pPr>
      <w:r>
        <w:t>矩阵和明细。</w:t>
      </w:r>
    </w:p>
    <w:p>
      <w:pPr>
        <w:pStyle w:val="ListBullet"/>
        <w:spacing w:after="60" w:line="276" w:lineRule="auto"/>
      </w:pPr>
      <w:r>
        <w:t>生成小型Excel。</w:t>
      </w:r>
    </w:p>
    <w:p>
      <w:pPr>
        <w:pStyle w:val="ListBullet"/>
        <w:spacing w:after="60" w:line="276" w:lineRule="auto"/>
      </w:pPr>
      <w:r>
        <w:t>测试邮件（必要时）。</w:t>
      </w:r>
    </w:p>
    <w:p>
      <w:pPr>
        <w:pStyle w:val="ListBullet"/>
        <w:spacing w:after="60" w:line="276" w:lineRule="auto"/>
      </w:pPr>
      <w:r>
        <w:t>监控错误和资源30分钟。</w:t>
      </w:r>
    </w:p>
    <w:p>
      <w:pPr>
        <w:pStyle w:val="Heading1"/>
      </w:pPr>
      <w:r>
        <w:t>8. 发布记录模板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tblHeader w:val="true"/>
        </w:trPr>
        <w:tc>
          <w:tcPr>
            <w:tcW w:type="dxa" w:w="113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1417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1701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提交/镜像</w:t>
            </w:r>
          </w:p>
        </w:tc>
        <w:tc>
          <w:tcPr>
            <w:tcW w:type="dxa" w:w="1417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Migration</w:t>
            </w:r>
          </w:p>
        </w:tc>
        <w:tc>
          <w:tcPr>
            <w:tcW w:type="dxa" w:w="2268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变更摘要</w:t>
            </w:r>
          </w:p>
        </w:tc>
        <w:tc>
          <w:tcPr>
            <w:tcW w:type="dxa" w:w="113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结果</w:t>
            </w:r>
          </w:p>
        </w:tc>
        <w:tc>
          <w:tcPr>
            <w:tcW w:type="dxa" w:w="1134"/>
            <w:vAlign w:val="center"/>
            <w:shd w:fill="2B2D31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回滚</w:t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2268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134"/>
            <w:vAlign w:val="center"/>
            <w:shd w:fill="FAFAF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  <w:tr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  <w:insideH w:val="single" w:sz="4" w:space="0" w:color="D9DCE1"/>
              <w:insideV w:val="single" w:sz="4" w:space="0" w:color="D9DCE1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Noto Sans CJK SC"/>
                <w:b w:val="0"/>
                <w:color w:val="2B2D31"/>
                <w:sz w:val="16"/>
              </w:rPr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内部资料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CJK SC"/>
        <w:color w:val="666666"/>
        <w:sz w:val="16"/>
      </w:rPr>
      <w:t>文章转载监测系统  |  需求变更与发布管理制度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C9001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2B2D3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80"/>
      <w:outlineLvl w:val="3"/>
    </w:pPr>
    <w:rPr>
      <w:rFonts w:asciiTheme="majorHAnsi" w:eastAsiaTheme="majorEastAsia" w:hAnsiTheme="majorHAnsi" w:cstheme="majorBidi" w:ascii="Arial" w:hAnsi="Arial" w:eastAsia="Noto Sans CJK SC"/>
      <w:b/>
      <w:bCs/>
      <w:i/>
      <w:iCs/>
      <w:color w:val="2B2D3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Noto Sans CJK SC"/>
      <w:b/>
      <w:bCs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Subtitle">
    <w:name w:val="Document Subtitle"/>
    <w:rPr>
      <w:rFonts w:ascii="Arial" w:hAnsi="Arial" w:eastAsia="Noto Sans CJK SC"/>
      <w:color w:val="66666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19_需求变更与发布管理制度_V1.0</dc:title>
  <dc:subject>文章转载监测系统</dc:subject>
  <dc:creator>OpenAI</dc:creator>
  <cp:keywords>文章转载监测, PRD, 生产环境,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