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内部工具完整开发提示词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PROMPT-V1.0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用于AI编码工具/开发团队的实现输入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使用说明</w:t>
      </w:r>
    </w:p>
    <w:p>
      <w:pPr>
        <w:spacing w:after="100" w:line="300" w:lineRule="auto"/>
      </w:pPr>
      <w:r>
        <w:rPr>
          <w:b w:val="0"/>
        </w:rPr>
        <w:t>以下提示词可以整体交给内部工具构建器或AI编码代理。执行时必须同时提供本文件包中的PRD、架构、数据库、API、UI原型、Excel样例和安全规范。不得只根据简短描述自行改变统计口径。</w:t>
      </w:r>
    </w:p>
    <w:p>
      <w:pPr>
        <w:pStyle w:val="Heading1"/>
      </w:pPr>
      <w:r>
        <w:t>2. 完整开发提示词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请构建“文章转载监测系统”V1.0正式生产版本，并严格遵守以下要求：</w:t>
              <w:br/>
              <w:br/>
              <w:t>一、技术栈</w:t>
              <w:br/>
              <w:t>- 后端：Python 3.12、Django 5.2 LTS、Django REST Framework。</w:t>
              <w:br/>
              <w:t>- 异步任务：Celery 5.6、Celery Beat、Redis；Beat只能运行一个实例。</w:t>
              <w:br/>
              <w:t>- 前端：Vue 3、TypeScript、Vite、Element Plus、ECharts。</w:t>
              <w:br/>
              <w:t>- 数据库：MySQL 8.4 LTS；所有结构变更必须通过Django Migration，禁止直接修改生产库。</w:t>
              <w:br/>
              <w:t>- 采集：httpx/lxml/BeautifulSoup，动态页面使用Playwright。</w:t>
              <w:br/>
              <w:t>- 部署：本机Docker Compose先运行和验收，再部署阿里云中国内地轻量应用服务器、Ubuntu 24.04、Nginx，正式配置备案域名和HTTPS。</w:t>
              <w:br/>
              <w:br/>
              <w:t>二、业务</w:t>
              <w:br/>
              <w:t>- 支持手工录入和Excel导入原创文章，标题和发布日期必填；导入文章默认全选；重复标题提醒管理员确认。</w:t>
              <w:br/>
              <w:t>- 平台在运行维护中一次配置长期保存，状态包括待配置、测试中、已启用、停用、规则失效、归档。</w:t>
              <w:br/>
              <w:t>- 本次未选择平台时，检测全部当前已启用平台；批次创建时保存平台快照，后续启停不影响历史分母。</w:t>
              <w:br/>
              <w:t>- 支持“立即检测一次”和“创建新的自动检测批次”。自动批次立即执行首轮，此后24小时每小时执行，到下周一07:00执行最后一轮并结束；07:30生成最终周报，08:00前完成。</w:t>
              <w:br/>
              <w:t>- 日报按每天24:00状态生成，只在后台下载；周日报不因周一早间结果修改。周报自动发送SMTP邮件，失败重试2次，支持测试和手动重发。</w:t>
              <w:br/>
              <w:t>- 首页默认本周，可选择历史周；每5分钟刷新，保留手动刷新；刷新不触发检测。</w:t>
              <w:br/>
              <w:br/>
              <w:t>三、采集</w:t>
              <w:br/>
              <w:t>- V1.0不使用百度搜索API、DeepSeek或收费大模型。</w:t>
              <w:br/>
              <w:t>- 只采集公开页面/公开接口，不绕过登录、验证码、签名、付费墙或访问控制。</w:t>
              <w:br/>
              <w:t>- 采用平台适配器：公开JSON接口、HTML搜索、作者/栏目扫描、RSS/Sitemap、Playwright、专用适配器。</w:t>
              <w:br/>
              <w:t>- 默认扫描前5页或100条，每个平台可配置。</w:t>
              <w:br/>
              <w:t>- 标题执行Unicode/空格/常见标点标准化后必须完全一致；不做模糊/正文语义匹配。</w:t>
              <w:br/>
              <w:t>- 保存原始标题、标准化标题、原始URL、规范化URL、最终URL、发布时间、首次发现和证据。</w:t>
              <w:br/>
              <w:t>- 同平台多条不同链接全部保存；平台仍计1。URL去跟踪参数并以文章ID+平台ID+URL哈希唯一。</w:t>
              <w:br/>
              <w:t>- 结果状态：1=发现；0=搜索和解析成功且规定范围无结果；—=未检测/超时/验证码/登录/解析异常/无法判断。技术失败绝不能记0。</w:t>
              <w:br/>
              <w:t>- 已发现链接后来删除，保留上次成功数据和历史1。</w:t>
              <w:br/>
              <w:br/>
              <w:t>四、统计</w:t>
              <w:br/>
              <w:t>- 单篇平台转载率=已转载平台数/批次选择平台数，失败平台仍在分母。</w:t>
              <w:br/>
              <w:t>- 检测完成率=(状态1或0的平台数)/选择平台数。</w:t>
              <w:br/>
              <w:t>- 文章转载率=至少一个平台状态1的文章数/统计范围文章数。</w:t>
              <w:br/>
              <w:t>- 新增链接按首次发现时间和规范化URL去重。</w:t>
              <w:br/>
              <w:t>- 周报不能相加七份累计日报，必须从原始记录重算。</w:t>
              <w:br/>
              <w:t>- 阅读量字段预留，页面和Excel标注“暂未启用”。</w:t>
              <w:br/>
              <w:br/>
              <w:t>五、权限</w:t>
              <w:br/>
              <w:t>- 约10名用户，不开放注册；管理员创建账号。</w:t>
              <w:br/>
              <w:t>- 管理员：全部权限；操作人员：文章、任务、人工补充、报表；查看人员：查看和下载。</w:t>
              <w:br/>
              <w:t>- 管理员和操作人员允许人工补充遗漏链接；只有管理员可作废/恢复。</w:t>
              <w:br/>
              <w:t>- 所有关键操作写审计日志。</w:t>
              <w:br/>
              <w:br/>
              <w:t>六、页面与Excel</w:t>
              <w:br/>
              <w:t>- UI参考证券市场周刊官网的红/黑/白财经风格，按prototype/index.html和截图实现。</w:t>
              <w:br/>
              <w:t>- 页面：登录、本周工作台、原创文章、监测任务、转载矩阵、转载明细、统计报表、平台维护、邮箱和系统、用户权限。</w:t>
              <w:br/>
              <w:t>- Excel严格按《目标报表样例V1.0》：概览、矩阵、全部明细、平台统计、任务异常、每个平台独立表、导入模板、字段说明；链接可点击；历史重生成不覆盖。</w:t>
              <w:br/>
              <w:br/>
              <w:t>七、安全与质量</w:t>
              <w:br/>
              <w:t>- 实现SSRF防护：平台域名白名单，拒绝内网/回环/云元数据IP，重定向逐跳验证。</w:t>
              <w:br/>
              <w:t>- Django CSRF、XSS转义、SQL参数化、下载鉴权、Excel公式注入防护、上传大小/类型限制。</w:t>
              <w:br/>
              <w:t>- SMTP授权码和所有密钥加密/环境变量，禁止进入Git和日志。</w:t>
              <w:br/>
              <w:t>- Git分支：main生产、develop集成、feature/*功能、hotfix/*紧急；合并前Black、Ruff、mypy、pytest、前端检查、Migration检查和安全扫描通过。</w:t>
              <w:br/>
              <w:br/>
              <w:t>八、交付</w:t>
              <w:br/>
              <w:t>- 完整源代码、README、.env.example、Docker Compose、Nginx、Migration、初始化命令、OpenAPI、备份/恢复脚本、部署脚本、适配器说明、测试报告、发布和回滚说明。</w:t>
              <w:br/>
              <w:t>- 首先在本机实现5个平台MVP并连续运行24小时，再部署阿里云。</w:t>
              <w:br/>
              <w:t>- 验收：已知正样本检出率≥95%，误报率≤2%，错误误记0=0，重复链接=0，周一时间节点达成。</w:t>
            </w:r>
          </w:p>
        </w:tc>
      </w:tr>
    </w:tbl>
    <w:p>
      <w:pPr>
        <w:spacing w:after="0"/>
      </w:pPr>
    </w:p>
    <w:p>
      <w:pPr>
        <w:pStyle w:val="Heading1"/>
      </w:pPr>
      <w:r>
        <w:t>3. AI开发过程约束</w:t>
      </w:r>
    </w:p>
    <w:p>
      <w:pPr>
        <w:pStyle w:val="ListBullet"/>
        <w:spacing w:after="60" w:line="276" w:lineRule="auto"/>
      </w:pPr>
      <w:r>
        <w:t>先输出模块计划、数据库ER、接口清单和待确认问题，再写代码。</w:t>
      </w:r>
    </w:p>
    <w:p>
      <w:pPr>
        <w:pStyle w:val="ListBullet"/>
        <w:spacing w:after="60" w:line="276" w:lineRule="auto"/>
      </w:pPr>
      <w:r>
        <w:t>每完成模块必须运行测试，不以伪数据界面冒充功能完成。</w:t>
      </w:r>
    </w:p>
    <w:p>
      <w:pPr>
        <w:pStyle w:val="ListBullet"/>
        <w:spacing w:after="60" w:line="276" w:lineRule="auto"/>
      </w:pPr>
      <w:r>
        <w:t>平台适配不能声称已验证，除非保存实际测试证据。</w:t>
      </w:r>
    </w:p>
    <w:p>
      <w:pPr>
        <w:pStyle w:val="ListBullet"/>
        <w:spacing w:after="60" w:line="276" w:lineRule="auto"/>
      </w:pPr>
      <w:r>
        <w:t>不将业务规则写死在前端。</w:t>
      </w:r>
    </w:p>
    <w:p>
      <w:pPr>
        <w:pStyle w:val="ListBullet"/>
        <w:spacing w:after="60" w:line="276" w:lineRule="auto"/>
      </w:pPr>
      <w:r>
        <w:t>不省略异常、权限、日志、备份和Migration。</w:t>
      </w:r>
    </w:p>
    <w:p>
      <w:pPr>
        <w:pStyle w:val="ListBullet"/>
        <w:spacing w:after="60" w:line="276" w:lineRule="auto"/>
      </w:pPr>
      <w:r>
        <w:t>所有未完成项写入问题台账。</w:t>
      </w:r>
    </w:p>
    <w:p>
      <w:pPr>
        <w:pStyle w:val="Heading1"/>
      </w:pPr>
      <w:r>
        <w:t>4. 阶段验收提示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必须展示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骨架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本机容器、登录、Migration、健康检查。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文章/平台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导入错误反馈、平台测试和启用。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采集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5个平台已知链接、1/0/—、证据、去重。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每小时、锁、重试、周一结束模拟。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原型一致、历史周、矩阵和明细。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目标Excel、版本、下载和邮件。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上线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备份恢复、回滚、安全和验收单。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内部工具完整开发提示词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21_内部工具完整开发提示词_V1.0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