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风险清单与问题台账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RISK-V1.0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项目风险、决策与未决事项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风险管理规则</w:t>
      </w:r>
    </w:p>
    <w:p>
      <w:pPr>
        <w:spacing w:after="100" w:line="300" w:lineRule="auto"/>
      </w:pPr>
      <w:r>
        <w:rPr>
          <w:b w:val="0"/>
        </w:rPr>
        <w:t>风险按概率和影响评级，指定责任人、触发条件、缓解和应急措施。高风险未关闭时不得默认为可接受；上线验收单需列出仍接受的风险。</w:t>
      </w:r>
    </w:p>
    <w:p>
      <w:pPr>
        <w:pStyle w:val="Heading1"/>
      </w:pPr>
      <w:r>
        <w:t>2. 初始风险清单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概率</w:t>
            </w:r>
          </w:p>
        </w:tc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缓解措施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责任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平台无稳定公开搜索或索引延迟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先做5平台验证；多层适配；允许人工补录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R-02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验证码/登录/风控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不绕过；状态—；降频或替换公开来源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技术/维护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页面结构变更导致错误0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解析异常转—；连续失败告警；固定样本回归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R-04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阿里云IP被限流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平台并发1、间隔、停止重试；不使用违规代理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维护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任务重复执行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Beat单实例、Redis锁、数据库唯一约束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R-06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URL触发SSRF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极高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域名白名单、私网IP阻断、重定向验证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R-07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工期过短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MVP仅5平台；冻结V1.0；其余后续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项目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R-08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测试样本不完整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开发期建立固定数据集；历史空白=UNKNOWN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业务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R-09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Excel统计错误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后端重算、目标样例、自动校验和抽样核对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开发/测试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R-10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Playwright资源过高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独立队列、低并发、Context回收、扩容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R-11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SMTP配置或附件失败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测试邮件、2次重试、下载链接降级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维护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R-12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公网IP临时暴露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最小安全组、强密码、尽快备案域名HTTPS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技术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数据库/磁盘故障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低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极高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每日备份、磁盘告警、恢复演练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维护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R-14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用户误作废/误补录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权限、二次确认、审计、可恢复</w:t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业务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R-15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核心负责人单点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高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中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文档、脚本、运行手册、备份和交接材料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  <w:t>项目</w:t>
            </w:r>
          </w:p>
        </w:tc>
      </w:tr>
    </w:tbl>
    <w:p>
      <w:pPr>
        <w:spacing w:after="0"/>
      </w:pPr>
    </w:p>
    <w:p>
      <w:pPr>
        <w:pStyle w:val="Heading1"/>
      </w:pPr>
      <w:r>
        <w:t>3. 当前已确认决策</w:t>
      </w:r>
    </w:p>
    <w:p>
      <w:pPr>
        <w:pStyle w:val="ListBullet"/>
        <w:spacing w:after="60" w:line="276" w:lineRule="auto"/>
      </w:pPr>
      <w:r>
        <w:t>使用Django/Vue/MySQL/Celery/Redis/Playwright。</w:t>
      </w:r>
    </w:p>
    <w:p>
      <w:pPr>
        <w:pStyle w:val="ListBullet"/>
        <w:spacing w:after="60" w:line="276" w:lineRule="auto"/>
      </w:pPr>
      <w:r>
        <w:t>先本机运行，再阿里云中国内地轻量服务器。</w:t>
      </w:r>
    </w:p>
    <w:p>
      <w:pPr>
        <w:pStyle w:val="ListBullet"/>
        <w:spacing w:after="60" w:line="276" w:lineRule="auto"/>
      </w:pPr>
      <w:r>
        <w:t>V1.0不使用百度API和大模型。</w:t>
      </w:r>
    </w:p>
    <w:p>
      <w:pPr>
        <w:pStyle w:val="ListBullet"/>
        <w:spacing w:after="60" w:line="276" w:lineRule="auto"/>
      </w:pPr>
      <w:r>
        <w:t>首批5平台MVP，后续20~50。</w:t>
      </w:r>
    </w:p>
    <w:p>
      <w:pPr>
        <w:pStyle w:val="ListBullet"/>
        <w:spacing w:after="60" w:line="276" w:lineRule="auto"/>
      </w:pPr>
      <w:r>
        <w:t>首页5分钟刷新。</w:t>
      </w:r>
    </w:p>
    <w:p>
      <w:pPr>
        <w:pStyle w:val="ListBullet"/>
        <w:spacing w:after="60" w:line="276" w:lineRule="auto"/>
      </w:pPr>
      <w:r>
        <w:t>只自动发送周报。</w:t>
      </w:r>
    </w:p>
    <w:p>
      <w:pPr>
        <w:pStyle w:val="ListBullet"/>
        <w:spacing w:after="60" w:line="276" w:lineRule="auto"/>
      </w:pPr>
      <w:r>
        <w:t>核心数据1年，日志/Excel/备份30天。</w:t>
      </w:r>
    </w:p>
    <w:p>
      <w:pPr>
        <w:pStyle w:val="ListBullet"/>
        <w:spacing w:after="60" w:line="276" w:lineRule="auto"/>
      </w:pPr>
      <w:r>
        <w:t>测试集开发过程中建立。</w:t>
      </w:r>
    </w:p>
    <w:p>
      <w:pPr>
        <w:pStyle w:val="ListBullet"/>
        <w:spacing w:after="60" w:line="276" w:lineRule="auto"/>
      </w:pPr>
      <w:r>
        <w:t>Git仓库位置开发启动时确认。</w:t>
      </w:r>
    </w:p>
    <w:p>
      <w:pPr>
        <w:pStyle w:val="Heading1"/>
      </w:pPr>
      <w:r>
        <w:t>4. 上线前仍需填写的环境信息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56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状态/填写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阿里云地域与实例规格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待购买/确认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公网IP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待部署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域名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待配置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ICP备案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待确认/办理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HTTPS证书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待配置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Git私有仓库URL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开发启动时确认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正式SMTP发件邮箱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管理员上线前配置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正式周报收件人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管理员上线前配置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首批固定测试集版本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开发过程中完成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生产管理员账号</w:t>
            </w:r>
          </w:p>
        </w:tc>
        <w:tc>
          <w:tcPr>
            <w:tcW w:type="dxa" w:w="56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部署时创建</w:t>
            </w:r>
          </w:p>
        </w:tc>
      </w:tr>
    </w:tbl>
    <w:p>
      <w:pPr>
        <w:spacing w:after="0"/>
      </w:pPr>
    </w:p>
    <w:p>
      <w:pPr>
        <w:pStyle w:val="Heading1"/>
      </w:pPr>
      <w:r>
        <w:t>5. 问题台账模板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68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24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提出日期</w:t>
            </w:r>
          </w:p>
        </w:tc>
        <w:tc>
          <w:tcPr>
            <w:tcW w:type="dxa" w:w="255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问题/决策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影响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计划完成</w:t>
            </w:r>
          </w:p>
        </w:tc>
        <w:tc>
          <w:tcPr>
            <w:tcW w:type="dxa" w:w="10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结论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  <w:tr>
        <w:tc>
          <w:tcPr>
            <w:tcW w:type="dxa" w:w="68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24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30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0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风险接受记录</w:t>
      </w:r>
    </w:p>
    <w:p>
      <w:pPr>
        <w:spacing w:after="100" w:line="300" w:lineRule="auto"/>
      </w:pPr>
      <w:r>
        <w:rPr>
          <w:b w:val="0"/>
        </w:rPr>
        <w:t>若风险在上线时仍未消除，必须记录风险、影响、临时措施、监控方式、接受人和到期复审日期。不得仅以“时间紧”作为不处理安全或数据正确性风险的理由。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风险清单与问题台账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22_风险清单与问题台账_V1.0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