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84F" w:rsidRDefault="00235D43" w:rsidP="00491FE6">
      <w:pPr>
        <w:pStyle w:val="Heading1"/>
      </w:pPr>
      <w:r w:rsidRPr="00235D43">
        <w:rPr>
          <w:noProof/>
          <w:lang w:val="en-AU" w:eastAsia="en-AU"/>
        </w:rPr>
        <w:drawing>
          <wp:anchor distT="0" distB="0" distL="114300" distR="114300" simplePos="0" relativeHeight="251659264" behindDoc="1" locked="0" layoutInCell="1" allowOverlap="1">
            <wp:simplePos x="0" y="0"/>
            <wp:positionH relativeFrom="column">
              <wp:posOffset>-903682</wp:posOffset>
            </wp:positionH>
            <wp:positionV relativeFrom="paragraph">
              <wp:posOffset>-1868805</wp:posOffset>
            </wp:positionV>
            <wp:extent cx="7630686" cy="3289610"/>
            <wp:effectExtent l="19050" t="0" r="8364" b="0"/>
            <wp:wrapNone/>
            <wp:docPr id="2" name="Picture 0" descr="Australian Government &#10;Department of Finance and Deregulation&#10;Australian Government Information Managemen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Banner.jpg"/>
                    <pic:cNvPicPr/>
                  </pic:nvPicPr>
                  <pic:blipFill>
                    <a:blip r:embed="rId8"/>
                    <a:stretch>
                      <a:fillRect/>
                    </a:stretch>
                  </pic:blipFill>
                  <pic:spPr>
                    <a:xfrm>
                      <a:off x="0" y="0"/>
                      <a:ext cx="7626985" cy="3284524"/>
                    </a:xfrm>
                    <a:prstGeom prst="rect">
                      <a:avLst/>
                    </a:prstGeom>
                  </pic:spPr>
                </pic:pic>
              </a:graphicData>
            </a:graphic>
          </wp:anchor>
        </w:drawing>
      </w:r>
      <w:r w:rsidR="00960245">
        <w:t xml:space="preserve">Multicultural </w:t>
      </w:r>
      <w:r w:rsidR="00960245" w:rsidRPr="00960245">
        <w:rPr>
          <w:noProof/>
          <w:lang w:val="en-AU" w:eastAsia="en-AU"/>
        </w:rPr>
        <w:t xml:space="preserve">Access &amp; Equity </w:t>
      </w:r>
      <w:r w:rsidR="00960245">
        <w:rPr>
          <w:noProof/>
          <w:lang w:val="en-AU" w:eastAsia="en-AU"/>
        </w:rPr>
        <w:br/>
      </w:r>
      <w:r w:rsidR="00960245" w:rsidRPr="00960245">
        <w:rPr>
          <w:noProof/>
          <w:lang w:val="en-AU" w:eastAsia="en-AU"/>
        </w:rPr>
        <w:t>in Online Information and Services</w:t>
      </w:r>
    </w:p>
    <w:p w:rsidR="00491FE6" w:rsidRPr="0054233A" w:rsidRDefault="007A09FF" w:rsidP="0054233A">
      <w:pPr>
        <w:pStyle w:val="Subheading"/>
      </w:pPr>
      <w:r>
        <w:t>June 2013</w:t>
      </w:r>
      <w:r w:rsidR="00210065">
        <w:t xml:space="preserve"> (</w:t>
      </w:r>
      <w:r w:rsidR="008145AA">
        <w:t>revised</w:t>
      </w:r>
      <w:r w:rsidR="00210065">
        <w:t xml:space="preserve"> </w:t>
      </w:r>
      <w:r w:rsidR="008145AA">
        <w:t>October</w:t>
      </w:r>
      <w:r w:rsidR="00210065">
        <w:t xml:space="preserve"> 2014)</w:t>
      </w:r>
    </w:p>
    <w:p w:rsidR="001E6EFB" w:rsidRPr="00210065" w:rsidRDefault="001E6EFB" w:rsidP="00AD0B0A">
      <w:pPr>
        <w:pStyle w:val="Heading2"/>
        <w:rPr>
          <w:lang w:val="en-US"/>
          <w:rPrChange w:id="0" w:author="Unknown" w:date="2254-09-21T07:25:00Z">
            <w:rPr/>
          </w:rPrChange>
        </w:rPr>
        <w:sectPr w:rsidR="001E6EFB" w:rsidRPr="00210065" w:rsidSect="00235D43">
          <w:headerReference w:type="default" r:id="rId9"/>
          <w:footerReference w:type="default" r:id="rId10"/>
          <w:headerReference w:type="first" r:id="rId11"/>
          <w:footerReference w:type="first" r:id="rId12"/>
          <w:pgSz w:w="11900" w:h="16840" w:code="9"/>
          <w:pgMar w:top="2943" w:right="1418" w:bottom="1701" w:left="1418" w:header="510" w:footer="366" w:gutter="0"/>
          <w:cols w:space="709"/>
          <w:docGrid w:linePitch="360"/>
        </w:sectPr>
      </w:pPr>
    </w:p>
    <w:p w:rsidR="00960245" w:rsidRDefault="00960245" w:rsidP="00F07625">
      <w:r>
        <w:t xml:space="preserve">The Australian Government’s commitment to supporting a culturally-diverse nation is expressed in the </w:t>
      </w:r>
      <w:hyperlink r:id="rId13" w:history="1">
        <w:r w:rsidRPr="007F3941">
          <w:rPr>
            <w:rStyle w:val="Hyperlink"/>
            <w:i/>
          </w:rPr>
          <w:t>Multicultural Access and Equity Policy: Respecting diversity. Improving responsiveness (2013)</w:t>
        </w:r>
      </w:hyperlink>
      <w:r>
        <w:rPr>
          <w:rStyle w:val="Emphasis"/>
        </w:rPr>
        <w:t xml:space="preserve"> (the Policy)</w:t>
      </w:r>
      <w:r>
        <w:t xml:space="preserve">. </w:t>
      </w:r>
      <w:r w:rsidR="00621C45">
        <w:t>T</w:t>
      </w:r>
      <w:r>
        <w:t>h</w:t>
      </w:r>
      <w:r w:rsidR="00621C45">
        <w:t>is</w:t>
      </w:r>
      <w:r>
        <w:t xml:space="preserve"> policy includes a commitment that government programs and services will be </w:t>
      </w:r>
      <w:r w:rsidR="007F3941">
        <w:t xml:space="preserve">accessible </w:t>
      </w:r>
      <w:r>
        <w:t>to</w:t>
      </w:r>
      <w:r w:rsidR="007F3941">
        <w:t xml:space="preserve"> eligible</w:t>
      </w:r>
      <w:r>
        <w:t xml:space="preserve"> Australians from culturally and linguistically diverse (CALD) backgrounds</w:t>
      </w:r>
      <w:r w:rsidR="007F3941">
        <w:t>, and provide equitable outcomes to them</w:t>
      </w:r>
      <w:r>
        <w:t>.</w:t>
      </w:r>
      <w:r w:rsidRPr="00D20DA2">
        <w:t xml:space="preserve"> </w:t>
      </w:r>
    </w:p>
    <w:p w:rsidR="00960245" w:rsidRPr="006C7CFA" w:rsidRDefault="00960245" w:rsidP="00960245">
      <w:pPr>
        <w:pStyle w:val="Heading2"/>
      </w:pPr>
      <w:r w:rsidRPr="006C7CFA">
        <w:t>Why should I?</w:t>
      </w:r>
    </w:p>
    <w:p w:rsidR="00960245" w:rsidRDefault="00960245" w:rsidP="00F07625">
      <w:r>
        <w:t>Government communication, information and online services should meet the needs of a diverse Australian community. Some information and services may even be specifically intended for an audience that has a known high level of cultural and linguistic diversity.</w:t>
      </w:r>
    </w:p>
    <w:p w:rsidR="00960245" w:rsidRDefault="00960245" w:rsidP="00F07625">
      <w:r>
        <w:t xml:space="preserve">The </w:t>
      </w:r>
      <w:r w:rsidRPr="00D20DA2">
        <w:t>Policy</w:t>
      </w:r>
      <w:r>
        <w:t xml:space="preserve"> covers all engagement and communication of government departments and agencies with multicultural communities, not just direct service delivery. </w:t>
      </w:r>
    </w:p>
    <w:p w:rsidR="00960245" w:rsidRDefault="00960245" w:rsidP="00F07625">
      <w:r>
        <w:t>Ensuring that information and services meet the needs of a diverse audience will help improve public access to government and improve the value of agency investment in the online channel.</w:t>
      </w:r>
    </w:p>
    <w:p w:rsidR="00960245" w:rsidRPr="006C7CFA" w:rsidRDefault="00960245" w:rsidP="00960245">
      <w:pPr>
        <w:pStyle w:val="Heading2"/>
      </w:pPr>
      <w:r w:rsidRPr="006C7CFA">
        <w:t>What should I do?</w:t>
      </w:r>
    </w:p>
    <w:p w:rsidR="00960245" w:rsidRDefault="00960245" w:rsidP="00F07625">
      <w:r>
        <w:t>There are a range of actions that agencies can undertake to improve their online content for users from diverse backgrounds.</w:t>
      </w:r>
    </w:p>
    <w:p w:rsidR="00960245" w:rsidRDefault="00960245" w:rsidP="00F07625">
      <w:pPr>
        <w:pStyle w:val="Heading4"/>
      </w:pPr>
      <w:r>
        <w:t>Equitable access for culturally and linguistically diverse audiences</w:t>
      </w:r>
    </w:p>
    <w:p w:rsidR="00960245" w:rsidRDefault="00960245" w:rsidP="00F07625">
      <w:r>
        <w:t>As part of establishing online service standards and developing customer service charters, consider services to people from diverse cultural and linguistic backgrounds. Consider how they can access the charter and provide feedback about online services in their own language, where appropriate.</w:t>
      </w:r>
    </w:p>
    <w:p w:rsidR="00960245" w:rsidRDefault="00960245" w:rsidP="00960245">
      <w:pPr>
        <w:pStyle w:val="Heading3"/>
      </w:pPr>
      <w:r>
        <w:t>Language</w:t>
      </w:r>
    </w:p>
    <w:p w:rsidR="00960245" w:rsidRDefault="00960245" w:rsidP="00F07625">
      <w:pPr>
        <w:pStyle w:val="Heading4"/>
      </w:pPr>
      <w:r>
        <w:t>Use plain English</w:t>
      </w:r>
    </w:p>
    <w:p w:rsidR="009E7EE4" w:rsidRDefault="00960245" w:rsidP="009E7EE4">
      <w:pPr>
        <w:widowControl w:val="0"/>
      </w:pPr>
      <w:r>
        <w:t>Review the language used by your agency and simplify it, where possible. This change can have benefits for many people in the Australian community, not just those from linguistically diverse backgrounds.</w:t>
      </w:r>
      <w:r w:rsidR="009E7EE4">
        <w:t xml:space="preserve"> </w:t>
      </w:r>
    </w:p>
    <w:p w:rsidR="00960245" w:rsidRDefault="00960245" w:rsidP="009E7EE4">
      <w:pPr>
        <w:widowControl w:val="0"/>
      </w:pPr>
      <w:r>
        <w:t xml:space="preserve">Where complex information needs to be provided in its original form (e.g. a legal statement), consider developing a plain English summary that </w:t>
      </w:r>
      <w:r w:rsidR="009E7EE4">
        <w:t>presents</w:t>
      </w:r>
      <w:r>
        <w:t xml:space="preserve"> the information in simpler terms.</w:t>
      </w:r>
    </w:p>
    <w:p w:rsidR="00960245" w:rsidRPr="002D0D0A" w:rsidRDefault="00960245" w:rsidP="00F07625">
      <w:r>
        <w:lastRenderedPageBreak/>
        <w:t xml:space="preserve">For example, the </w:t>
      </w:r>
      <w:hyperlink r:id="rId14" w:history="1">
        <w:r w:rsidRPr="000B554F">
          <w:rPr>
            <w:rStyle w:val="Hyperlink"/>
            <w:i/>
          </w:rPr>
          <w:t>australia.gov.au</w:t>
        </w:r>
      </w:hyperlink>
      <w:r>
        <w:t xml:space="preserve"> website provides a </w:t>
      </w:r>
      <w:hyperlink r:id="rId15" w:history="1">
        <w:r w:rsidRPr="000B554F">
          <w:rPr>
            <w:rStyle w:val="Hyperlink"/>
          </w:rPr>
          <w:t>plain English summary of its privacy statement</w:t>
        </w:r>
      </w:hyperlink>
      <w:r>
        <w:t xml:space="preserve"> that complements its </w:t>
      </w:r>
      <w:hyperlink r:id="rId16" w:history="1">
        <w:r w:rsidRPr="000B554F">
          <w:rPr>
            <w:rStyle w:val="Hyperlink"/>
          </w:rPr>
          <w:t>full privacy statement</w:t>
        </w:r>
      </w:hyperlink>
      <w:r>
        <w:t>.</w:t>
      </w:r>
    </w:p>
    <w:p w:rsidR="00960245" w:rsidRDefault="00960245" w:rsidP="00F07625">
      <w:pPr>
        <w:pStyle w:val="Heading4"/>
      </w:pPr>
      <w:r>
        <w:t>Consider making information available online in other languages</w:t>
      </w:r>
    </w:p>
    <w:p w:rsidR="00960245" w:rsidRDefault="00960245" w:rsidP="00F07625">
      <w:r>
        <w:t>Consider the value of making information available in languages other than English.</w:t>
      </w:r>
    </w:p>
    <w:p w:rsidR="00960245" w:rsidRDefault="00960245" w:rsidP="00F07625">
      <w:r>
        <w:t>There are many factors that can affect the business case for providing content in other languages:</w:t>
      </w:r>
    </w:p>
    <w:p w:rsidR="00960245" w:rsidRDefault="00960245" w:rsidP="0084494A">
      <w:pPr>
        <w:pStyle w:val="ListParagraph"/>
        <w:numPr>
          <w:ilvl w:val="0"/>
          <w:numId w:val="34"/>
        </w:numPr>
      </w:pPr>
      <w:r>
        <w:t>the size of the potential audience for material in each language</w:t>
      </w:r>
    </w:p>
    <w:p w:rsidR="00960245" w:rsidRDefault="00960245" w:rsidP="0084494A">
      <w:pPr>
        <w:pStyle w:val="ListParagraph"/>
        <w:numPr>
          <w:ilvl w:val="0"/>
          <w:numId w:val="34"/>
        </w:numPr>
      </w:pPr>
      <w:r>
        <w:t>the extent to which that audience is proficient in English</w:t>
      </w:r>
    </w:p>
    <w:p w:rsidR="00960245" w:rsidRDefault="00960245" w:rsidP="0084494A">
      <w:pPr>
        <w:pStyle w:val="ListParagraph"/>
        <w:numPr>
          <w:ilvl w:val="0"/>
          <w:numId w:val="34"/>
        </w:numPr>
      </w:pPr>
      <w:r>
        <w:t>alternative mechanisms (existing or potential) for providing information to that audience</w:t>
      </w:r>
    </w:p>
    <w:p w:rsidR="00960245" w:rsidRDefault="00960245" w:rsidP="0084494A">
      <w:pPr>
        <w:pStyle w:val="ListParagraph"/>
        <w:numPr>
          <w:ilvl w:val="0"/>
          <w:numId w:val="34"/>
        </w:numPr>
      </w:pPr>
      <w:r>
        <w:t xml:space="preserve">the proposed method of translation (professional interpreting service </w:t>
      </w:r>
      <w:r w:rsidRPr="00C6651A">
        <w:t xml:space="preserve">or </w:t>
      </w:r>
      <w:r>
        <w:t>automated translations) and the risks and benefits of that method</w:t>
      </w:r>
    </w:p>
    <w:p w:rsidR="00960245" w:rsidRDefault="00960245" w:rsidP="0084494A">
      <w:pPr>
        <w:pStyle w:val="ListParagraph"/>
        <w:numPr>
          <w:ilvl w:val="0"/>
          <w:numId w:val="34"/>
        </w:numPr>
      </w:pPr>
      <w:r>
        <w:t>benefits from making additional culturally-appropriate changes to the information to maximise the relevance and value of the information to specific sub-audiences</w:t>
      </w:r>
    </w:p>
    <w:p w:rsidR="00960245" w:rsidRDefault="00960245" w:rsidP="00F07625">
      <w:r>
        <w:t>Where translations are provided, the design of a website should make them easy to find. Navigational guidance to their location should be provided in the same language(s) as the translated content.</w:t>
      </w:r>
    </w:p>
    <w:p w:rsidR="00960245" w:rsidRDefault="00960245" w:rsidP="00F07625">
      <w:r>
        <w:t>Non-English content must be identified appropriately in mark-up i.e. metadata elements, language elements, or the HTML language (</w:t>
      </w:r>
      <w:proofErr w:type="spellStart"/>
      <w:proofErr w:type="gramStart"/>
      <w:r>
        <w:t>lang</w:t>
      </w:r>
      <w:proofErr w:type="spellEnd"/>
      <w:proofErr w:type="gramEnd"/>
      <w:r>
        <w:t xml:space="preserve">) attribute.   </w:t>
      </w:r>
    </w:p>
    <w:p w:rsidR="00960245" w:rsidRDefault="00960245" w:rsidP="00F07625">
      <w:r>
        <w:t>In addition to providing documents in other languages, consider adding alternative non-English caption options to appropriate video material you might have online. Many video players, including YouTube, are capable of supporting multiple caption files, enabling multiple language options for the captions.</w:t>
      </w:r>
    </w:p>
    <w:p w:rsidR="00960245" w:rsidRDefault="00960245" w:rsidP="00F07625">
      <w:pPr>
        <w:pStyle w:val="Heading4"/>
      </w:pPr>
      <w:r>
        <w:t>Use the online channel to promote services for people from diverse backgrounds that are available through other channels</w:t>
      </w:r>
    </w:p>
    <w:p w:rsidR="00960245" w:rsidRDefault="00960245" w:rsidP="00F07625">
      <w:r>
        <w:t>Websites are a good place to promote the existence of services for people from diverse backgrounds, such as telephone interpreter services and bilingual staff, even if those services can’t be directly accessed on the web.</w:t>
      </w:r>
    </w:p>
    <w:p w:rsidR="00960245" w:rsidRDefault="00960245" w:rsidP="00F07625">
      <w:pPr>
        <w:pStyle w:val="Heading4"/>
      </w:pPr>
      <w:r>
        <w:t>Consider how search engine features might support users from diverse backgrounds</w:t>
      </w:r>
    </w:p>
    <w:p w:rsidR="00960245" w:rsidRDefault="00960245" w:rsidP="00F07625">
      <w:r>
        <w:t>Most search engines offer features that can allow agencies to customise the results they display in response to given terms rather than rely purely on the search algorithm. This may include a synonym list function, which can be instructed to recognise non-English versions of common search terms, and deliver results for their English equivalents.</w:t>
      </w:r>
    </w:p>
    <w:p w:rsidR="00960245" w:rsidRDefault="00960245" w:rsidP="00F07625">
      <w:pPr>
        <w:pStyle w:val="Heading4"/>
      </w:pPr>
      <w:r>
        <w:t>Consider text-to-speech options</w:t>
      </w:r>
    </w:p>
    <w:p w:rsidR="00960245" w:rsidRDefault="00960245" w:rsidP="00F07625">
      <w:r>
        <w:t xml:space="preserve">Some people from linguistically diverse backgrounds can understand spoken English better than they can read printed English. Depending on the audience of your agency’s website and </w:t>
      </w:r>
      <w:proofErr w:type="gramStart"/>
      <w:r>
        <w:t>it’s</w:t>
      </w:r>
      <w:proofErr w:type="gramEnd"/>
      <w:r>
        <w:t xml:space="preserve"> information and services, agencies could consider the provision of text-to-speech options directly on the appropriate web pages. </w:t>
      </w:r>
    </w:p>
    <w:p w:rsidR="00960245" w:rsidRPr="00372610" w:rsidRDefault="00960245" w:rsidP="00F07625">
      <w:r>
        <w:t xml:space="preserve">For example, the </w:t>
      </w:r>
      <w:r w:rsidRPr="00CF7F6C">
        <w:t xml:space="preserve">Department of </w:t>
      </w:r>
      <w:r w:rsidR="001F62BE">
        <w:t xml:space="preserve">Social Services </w:t>
      </w:r>
      <w:r>
        <w:t>(</w:t>
      </w:r>
      <w:hyperlink r:id="rId17" w:history="1">
        <w:r w:rsidR="001F62BE">
          <w:rPr>
            <w:rStyle w:val="Hyperlink"/>
          </w:rPr>
          <w:t>DSS</w:t>
        </w:r>
      </w:hyperlink>
      <w:r>
        <w:t xml:space="preserve">) and the </w:t>
      </w:r>
      <w:r w:rsidRPr="00CF7F6C">
        <w:t>Australian Centre for International Agricultural Research</w:t>
      </w:r>
      <w:r>
        <w:t xml:space="preserve"> (</w:t>
      </w:r>
      <w:hyperlink r:id="rId18" w:history="1">
        <w:r w:rsidRPr="00422FFA">
          <w:rPr>
            <w:rStyle w:val="Hyperlink"/>
          </w:rPr>
          <w:t>ACIAR</w:t>
        </w:r>
      </w:hyperlink>
      <w:r>
        <w:t>) have both implemented text-to-speech options on their websites to allow visitors to listen to key information without requiring any additional technology.</w:t>
      </w:r>
    </w:p>
    <w:p w:rsidR="00960245" w:rsidRDefault="00960245" w:rsidP="007A09FF">
      <w:pPr>
        <w:pStyle w:val="Heading3"/>
        <w:keepNext/>
      </w:pPr>
      <w:r>
        <w:lastRenderedPageBreak/>
        <w:t>Presentation and design</w:t>
      </w:r>
    </w:p>
    <w:p w:rsidR="00960245" w:rsidRDefault="00960245" w:rsidP="00F07625">
      <w:pPr>
        <w:pStyle w:val="Heading4"/>
      </w:pPr>
      <w:r>
        <w:t>Use design elements that are universally understood and culturally appropriate</w:t>
      </w:r>
    </w:p>
    <w:p w:rsidR="00960245" w:rsidRPr="00F07625" w:rsidRDefault="00960245" w:rsidP="00F07625">
      <w:r w:rsidRPr="00F07625">
        <w:t>Use universally recognisable symbols, words and figures to ensure that they can be understood by all users, regardless of their cultural or linguistic background. Ensure that navigation controls are intuitive and appropriate.</w:t>
      </w:r>
    </w:p>
    <w:p w:rsidR="00960245" w:rsidRDefault="00960245" w:rsidP="00F07625">
      <w:r>
        <w:t xml:space="preserve">Adhering to the Web Guide’s </w:t>
      </w:r>
      <w:hyperlink r:id="rId19" w:history="1">
        <w:r w:rsidRPr="003F17BC">
          <w:rPr>
            <w:rStyle w:val="Hyperlink"/>
          </w:rPr>
          <w:t>Common Page Elements</w:t>
        </w:r>
      </w:hyperlink>
      <w:r>
        <w:t xml:space="preserve"> advice can also assist with creating a more familiar user experience.</w:t>
      </w:r>
    </w:p>
    <w:p w:rsidR="00960245" w:rsidRDefault="00960245" w:rsidP="00F07625">
      <w:pPr>
        <w:pStyle w:val="Heading4"/>
      </w:pPr>
      <w:r>
        <w:t>Present data in ways that are clear to international audiences</w:t>
      </w:r>
    </w:p>
    <w:p w:rsidR="00960245" w:rsidRDefault="00960245" w:rsidP="00F07625">
      <w:r>
        <w:t>The understanding of dates, currencies, weights &amp; measures, telephone numbers and addresses may all be affected by an audience’s cultural and linguistic background. Ensure that such information is provided in the clearest possible manner to minimise any potential for misunderstanding.</w:t>
      </w:r>
    </w:p>
    <w:p w:rsidR="00960245" w:rsidRDefault="00960245" w:rsidP="00F07625">
      <w:r>
        <w:t>For example, standard formats for certain information differs around the world; the date 7/1/12 would be understood as 7 January 2012 in Australia, but as 1 July 2012 in the United States and Canada</w:t>
      </w:r>
      <w:bookmarkStart w:id="1" w:name="_GoBack"/>
      <w:bookmarkEnd w:id="1"/>
      <w:r>
        <w:t>.</w:t>
      </w:r>
    </w:p>
    <w:p w:rsidR="00960245" w:rsidRDefault="00960245" w:rsidP="00F07625">
      <w:r>
        <w:t>Australian government agencies are encouraged to present this information, as appropriate, as:</w:t>
      </w:r>
    </w:p>
    <w:p w:rsidR="00960245" w:rsidRDefault="00960245" w:rsidP="0084494A">
      <w:pPr>
        <w:pStyle w:val="ListParagraph"/>
        <w:numPr>
          <w:ilvl w:val="0"/>
          <w:numId w:val="33"/>
        </w:numPr>
      </w:pPr>
      <w:r>
        <w:t xml:space="preserve">Date – spell out the month, for example “7 January 2012” </w:t>
      </w:r>
    </w:p>
    <w:p w:rsidR="00960245" w:rsidRDefault="00960245" w:rsidP="0084494A">
      <w:pPr>
        <w:pStyle w:val="ListParagraph"/>
        <w:numPr>
          <w:ilvl w:val="0"/>
          <w:numId w:val="33"/>
        </w:numPr>
      </w:pPr>
      <w:r>
        <w:t>Time –specify the applicable time-zone/city/state, for example “2:30pm AEST” or “11:00am Sydney / 9:00am Perth”</w:t>
      </w:r>
    </w:p>
    <w:p w:rsidR="00960245" w:rsidRPr="00B857A0" w:rsidRDefault="00960245" w:rsidP="0084494A">
      <w:pPr>
        <w:pStyle w:val="ListParagraph"/>
        <w:numPr>
          <w:ilvl w:val="0"/>
          <w:numId w:val="33"/>
        </w:numPr>
      </w:pPr>
      <w:r>
        <w:t>Phone – include the international code if targeting an international audience, for example  “+</w:t>
      </w:r>
      <w:r w:rsidRPr="00B857A0">
        <w:t xml:space="preserve">61 </w:t>
      </w:r>
      <w:r>
        <w:t>(0)</w:t>
      </w:r>
      <w:r w:rsidRPr="00B857A0">
        <w:t>2 6215 2222</w:t>
      </w:r>
      <w:r>
        <w:t>”</w:t>
      </w:r>
    </w:p>
    <w:p w:rsidR="00960245" w:rsidRDefault="00960245" w:rsidP="0084494A">
      <w:pPr>
        <w:pStyle w:val="ListParagraph"/>
        <w:numPr>
          <w:ilvl w:val="0"/>
          <w:numId w:val="33"/>
        </w:numPr>
      </w:pPr>
      <w:r>
        <w:t>Currency – identify country currency as appropriate, for example “$</w:t>
      </w:r>
      <w:r w:rsidRPr="00B857A0">
        <w:t xml:space="preserve">1,567.89 </w:t>
      </w:r>
      <w:r>
        <w:t>AUD”; if including currency in a non-English publication, consider using the international standard of a space instead of a comma between each group of three, for example “$1 </w:t>
      </w:r>
      <w:r w:rsidRPr="00B857A0">
        <w:t xml:space="preserve">567.89 </w:t>
      </w:r>
      <w:r>
        <w:t>AUD”, as appropriate.</w:t>
      </w:r>
    </w:p>
    <w:p w:rsidR="00960245" w:rsidRDefault="00960245" w:rsidP="00F07625">
      <w:r>
        <w:t xml:space="preserve">Additional advice on </w:t>
      </w:r>
      <w:hyperlink r:id="rId20" w:history="1">
        <w:r w:rsidRPr="006054C9">
          <w:rPr>
            <w:rStyle w:val="Hyperlink"/>
          </w:rPr>
          <w:t>website internationalisation</w:t>
        </w:r>
      </w:hyperlink>
      <w:r>
        <w:t xml:space="preserve"> is available from the W3C.</w:t>
      </w:r>
    </w:p>
    <w:p w:rsidR="00960245" w:rsidRDefault="00960245" w:rsidP="00F07625">
      <w:pPr>
        <w:pStyle w:val="Heading4"/>
      </w:pPr>
      <w:r>
        <w:t>Develop mechanisms to support intermediary information providers</w:t>
      </w:r>
    </w:p>
    <w:p w:rsidR="00960245" w:rsidRDefault="00960245" w:rsidP="00F07625">
      <w:r>
        <w:t>Some people from diverse backgrounds may rely on others to assist them with information gathering and access to services. This intermediary might be a family member (possibly a younger family member) or it might be an ethnic media group. Consider what information and resources might support these intermediaries and how this indirect flow of information can impact on the best way to present information online.</w:t>
      </w:r>
    </w:p>
    <w:p w:rsidR="00960245" w:rsidRDefault="00960245" w:rsidP="00960245">
      <w:pPr>
        <w:pStyle w:val="Heading3"/>
      </w:pPr>
      <w:r>
        <w:t>Testing and evaluation</w:t>
      </w:r>
    </w:p>
    <w:p w:rsidR="00960245" w:rsidRDefault="00960245" w:rsidP="00F07625">
      <w:pPr>
        <w:pStyle w:val="Heading4"/>
      </w:pPr>
      <w:r>
        <w:t>Consider user testing with a focus on culturally and linguistically diverse audiences</w:t>
      </w:r>
    </w:p>
    <w:p w:rsidR="00960245" w:rsidRDefault="002B01E0" w:rsidP="00F07625">
      <w:hyperlink r:id="rId21" w:history="1">
        <w:r w:rsidR="00960245" w:rsidRPr="003A6A0B">
          <w:rPr>
            <w:rStyle w:val="Hyperlink"/>
          </w:rPr>
          <w:t>Usability testing</w:t>
        </w:r>
      </w:hyperlink>
      <w:r w:rsidR="00960245">
        <w:t xml:space="preserve"> is an important part of developing a relevant and valuable web presence. Direct engagement with culturally and linguistically diverse users is the best way to determine the effectiveness of your efforts to support their needs and identify future opportunities for improvement.</w:t>
      </w:r>
    </w:p>
    <w:p w:rsidR="00960245" w:rsidRDefault="00960245" w:rsidP="00F07625">
      <w:pPr>
        <w:pStyle w:val="Heading4"/>
      </w:pPr>
      <w:r>
        <w:t xml:space="preserve">Consider ways in which analytics and feedback can be </w:t>
      </w:r>
      <w:r w:rsidR="009E7EE4">
        <w:t>used</w:t>
      </w:r>
      <w:r>
        <w:t xml:space="preserve"> to improve understanding of the experience for users from culturally and linguistically diverse backgrounds.</w:t>
      </w:r>
    </w:p>
    <w:p w:rsidR="00960245" w:rsidRDefault="00960245" w:rsidP="00F07625">
      <w:r>
        <w:t>Website analytics packages can provide a lot of information about general user habits when they visit your website, but they offer little with regard to cultural and linguistic diversity. Consider supplementing your analytics with surveys and focus groups that will allow you to investigate this issue to help determine your agency’s approach to online information and service delivery.</w:t>
      </w:r>
    </w:p>
    <w:p w:rsidR="00960245" w:rsidRDefault="00960245" w:rsidP="00F07625">
      <w:r>
        <w:lastRenderedPageBreak/>
        <w:t xml:space="preserve">Data collected on issues related to cultural and linguistic diversity should be consistent with the Australian Bureau of Statistics’ </w:t>
      </w:r>
      <w:hyperlink r:id="rId22" w:history="1">
        <w:r w:rsidRPr="006F0FB1">
          <w:rPr>
            <w:rStyle w:val="Hyperlink"/>
          </w:rPr>
          <w:t>Standards for Statistics on Cultural and Language Diversity (ABS catalogue no. 1289.0)</w:t>
        </w:r>
      </w:hyperlink>
      <w:r>
        <w:t>.</w:t>
      </w:r>
    </w:p>
    <w:p w:rsidR="00960245" w:rsidRDefault="00960245" w:rsidP="00960245">
      <w:pPr>
        <w:pStyle w:val="Heading3"/>
      </w:pPr>
      <w:r>
        <w:t>Other issues</w:t>
      </w:r>
    </w:p>
    <w:p w:rsidR="00960245" w:rsidRDefault="00960245" w:rsidP="00F07625">
      <w:pPr>
        <w:pStyle w:val="Heading4"/>
      </w:pPr>
      <w:r>
        <w:t>Ensure that third-party service providers are aware of and responsive to issues of access and equity</w:t>
      </w:r>
    </w:p>
    <w:p w:rsidR="00960245" w:rsidRDefault="00960245" w:rsidP="00F07625">
      <w:r>
        <w:t>Online information and services delivered by a third party should adhere to the same standard of access and equity provision as information and services delivered directly by your agency.</w:t>
      </w:r>
    </w:p>
    <w:p w:rsidR="00960245" w:rsidRDefault="00960245" w:rsidP="00F07625">
      <w:r>
        <w:t>Inserting appropriate references to access and equity considerations in procurement documentation will ensure that potential service providers are aware of this requirement even before they are engaged. Appropriate monitoring or reporting processes as part of the negotiated service agreement will help emphasise the importance of this issue to government and provide a mechanism for you to assess the service provider’s work.</w:t>
      </w:r>
    </w:p>
    <w:p w:rsidR="00960245" w:rsidRDefault="00960245" w:rsidP="00F07625">
      <w:pPr>
        <w:pStyle w:val="Heading4"/>
      </w:pPr>
      <w:r>
        <w:t>Use compliance with WCAG 2.0 as an opportunity to improve access for people with disabilities from culturally and linguistically diverse backgrounds</w:t>
      </w:r>
    </w:p>
    <w:p w:rsidR="00960245" w:rsidRDefault="00960245" w:rsidP="00F07625">
      <w:pPr>
        <w:rPr>
          <w:rFonts w:cs="Arial"/>
          <w:color w:val="000000"/>
          <w:shd w:val="clear" w:color="auto" w:fill="FFFFFF"/>
        </w:rPr>
      </w:pPr>
      <w:r>
        <w:t xml:space="preserve">Australian Government websites are </w:t>
      </w:r>
      <w:r w:rsidRPr="009D7F34">
        <w:t>required</w:t>
      </w:r>
      <w:r>
        <w:t xml:space="preserve"> to </w:t>
      </w:r>
      <w:hyperlink r:id="rId23" w:history="1">
        <w:r>
          <w:rPr>
            <w:rStyle w:val="Hyperlink"/>
          </w:rPr>
          <w:t>comply</w:t>
        </w:r>
        <w:r w:rsidRPr="009D7F34">
          <w:rPr>
            <w:rStyle w:val="Hyperlink"/>
          </w:rPr>
          <w:t xml:space="preserve"> with the Web Content Accessibility Guidelines (WCAG) version 2.0</w:t>
        </w:r>
      </w:hyperlink>
      <w:r>
        <w:t xml:space="preserve"> as per the </w:t>
      </w:r>
      <w:hyperlink r:id="rId24" w:history="1">
        <w:r w:rsidRPr="00734E5C">
          <w:rPr>
            <w:rStyle w:val="Hyperlink"/>
          </w:rPr>
          <w:t>Web Accessibility National Transition Strategy</w:t>
        </w:r>
      </w:hyperlink>
      <w:r>
        <w:t xml:space="preserve">.  Many mechanisms that promote accessibility will also improve access for people from diverse backgrounds. In particular, take note of the requirements under WCAG’s </w:t>
      </w:r>
      <w:hyperlink r:id="rId25" w:anchor="meaning" w:history="1">
        <w:r w:rsidRPr="00E642B5">
          <w:rPr>
            <w:rStyle w:val="Hyperlink"/>
            <w:rFonts w:cs="Arial"/>
            <w:shd w:val="clear" w:color="auto" w:fill="FAFAD2"/>
          </w:rPr>
          <w:t>Guideline 3.1</w:t>
        </w:r>
      </w:hyperlink>
      <w:r w:rsidRPr="00852D34">
        <w:rPr>
          <w:rStyle w:val="apple-converted-space"/>
          <w:rFonts w:cs="Arial"/>
          <w:color w:val="000000"/>
          <w:shd w:val="clear" w:color="auto" w:fill="FFFFFF"/>
        </w:rPr>
        <w:t> </w:t>
      </w:r>
      <w:r>
        <w:rPr>
          <w:rStyle w:val="apple-converted-space"/>
          <w:rFonts w:cs="Arial"/>
          <w:color w:val="000000"/>
          <w:shd w:val="clear" w:color="auto" w:fill="FFFFFF"/>
        </w:rPr>
        <w:t>‘</w:t>
      </w:r>
      <w:r w:rsidRPr="00852D34">
        <w:rPr>
          <w:rFonts w:cs="Arial"/>
          <w:color w:val="000000"/>
          <w:shd w:val="clear" w:color="auto" w:fill="FFFFFF"/>
        </w:rPr>
        <w:t>Make text content readable and understandable</w:t>
      </w:r>
      <w:r>
        <w:rPr>
          <w:rFonts w:cs="Arial"/>
          <w:color w:val="000000"/>
          <w:shd w:val="clear" w:color="auto" w:fill="FFFFFF"/>
        </w:rPr>
        <w:t>’</w:t>
      </w:r>
      <w:r w:rsidRPr="00852D34">
        <w:rPr>
          <w:rFonts w:cs="Arial"/>
          <w:color w:val="000000"/>
          <w:shd w:val="clear" w:color="auto" w:fill="FFFFFF"/>
        </w:rPr>
        <w:t>.</w:t>
      </w:r>
    </w:p>
    <w:p w:rsidR="00960245" w:rsidRDefault="00960245" w:rsidP="00F07625">
      <w:r>
        <w:t>Accessibility requirements specify that real text should be used, not images of text, in preparing non-English documents, including PDFs. This is required for access by reading technologies and also enables search engine indexing.</w:t>
      </w:r>
    </w:p>
    <w:p w:rsidR="00960245" w:rsidRDefault="00960245" w:rsidP="00960245">
      <w:pPr>
        <w:pStyle w:val="Heading2"/>
      </w:pPr>
      <w:r>
        <w:t>Resources:</w:t>
      </w:r>
    </w:p>
    <w:p w:rsidR="00960245" w:rsidRPr="008145AA" w:rsidRDefault="00960245" w:rsidP="0084494A">
      <w:pPr>
        <w:pStyle w:val="ListParagraph"/>
        <w:numPr>
          <w:ilvl w:val="0"/>
          <w:numId w:val="32"/>
        </w:numPr>
        <w:spacing w:after="120" w:line="240" w:lineRule="auto"/>
        <w:ind w:left="360"/>
        <w:contextualSpacing w:val="0"/>
      </w:pPr>
      <w:r w:rsidRPr="007F3941">
        <w:rPr>
          <w:i/>
        </w:rPr>
        <w:t>The People of Australia – Australia's Multicultural Policy</w:t>
      </w:r>
      <w:r w:rsidRPr="008145AA">
        <w:t xml:space="preserve"> </w:t>
      </w:r>
      <w:r w:rsidRPr="008145AA">
        <w:rPr>
          <w:i/>
        </w:rPr>
        <w:t>(2011)</w:t>
      </w:r>
    </w:p>
    <w:p w:rsidR="00323792" w:rsidRPr="007F3941" w:rsidRDefault="002B01E0" w:rsidP="0084494A">
      <w:pPr>
        <w:spacing w:after="120" w:line="240" w:lineRule="auto"/>
        <w:ind w:left="360"/>
      </w:pPr>
      <w:hyperlink r:id="rId26" w:history="1">
        <w:r w:rsidR="007F3941" w:rsidRPr="007F3941">
          <w:rPr>
            <w:rStyle w:val="Hyperlink"/>
          </w:rPr>
          <w:t>https://www.dss.gov.au/our-responsibilities/settlement-and-multicultural-affairs/programs-policy/access-and-equity/multicultural-access-and-equity-policy-toolkit</w:t>
        </w:r>
      </w:hyperlink>
    </w:p>
    <w:p w:rsidR="00960245" w:rsidRDefault="00960245" w:rsidP="0084494A">
      <w:pPr>
        <w:pStyle w:val="ListParagraph"/>
        <w:numPr>
          <w:ilvl w:val="0"/>
          <w:numId w:val="32"/>
        </w:numPr>
        <w:spacing w:after="120" w:line="240" w:lineRule="auto"/>
        <w:ind w:left="360"/>
        <w:contextualSpacing w:val="0"/>
      </w:pPr>
      <w:r w:rsidRPr="008145AA">
        <w:rPr>
          <w:i/>
        </w:rPr>
        <w:t>Multicultural Access and Equity Policy: Respecting diversity. Improving responsiveness (2013)</w:t>
      </w:r>
    </w:p>
    <w:p w:rsidR="007F3941" w:rsidRPr="00E97365" w:rsidRDefault="002B01E0" w:rsidP="0084494A">
      <w:pPr>
        <w:spacing w:after="120" w:line="240" w:lineRule="auto"/>
        <w:ind w:left="360"/>
      </w:pPr>
      <w:hyperlink r:id="rId27" w:history="1">
        <w:r w:rsidR="008145AA" w:rsidRPr="008145AA">
          <w:rPr>
            <w:rStyle w:val="Hyperlink"/>
          </w:rPr>
          <w:t>https://www.dss.gov.au/our-responsibilities/settlement-and-multicultural-affairs/programs-policy/multicultural-access-and-equity</w:t>
        </w:r>
      </w:hyperlink>
    </w:p>
    <w:p w:rsidR="00E97365" w:rsidRDefault="00E97365" w:rsidP="0084494A">
      <w:pPr>
        <w:pStyle w:val="ListParagraph"/>
        <w:numPr>
          <w:ilvl w:val="0"/>
          <w:numId w:val="32"/>
        </w:numPr>
        <w:spacing w:after="120" w:line="240" w:lineRule="auto"/>
        <w:ind w:left="360"/>
        <w:contextualSpacing w:val="0"/>
      </w:pPr>
      <w:r w:rsidRPr="008145AA">
        <w:rPr>
          <w:i/>
        </w:rPr>
        <w:t>Multicultural Access and Equity Policy Toolkit (DIAC, 2013)</w:t>
      </w:r>
      <w:r>
        <w:t xml:space="preserve"> </w:t>
      </w:r>
    </w:p>
    <w:p w:rsidR="00960245" w:rsidRPr="008145AA" w:rsidRDefault="002B01E0" w:rsidP="0084494A">
      <w:pPr>
        <w:spacing w:after="120" w:line="240" w:lineRule="auto"/>
        <w:ind w:left="360"/>
        <w:rPr>
          <w:rStyle w:val="Emphasis"/>
          <w:i w:val="0"/>
          <w:iCs w:val="0"/>
        </w:rPr>
      </w:pPr>
      <w:hyperlink r:id="rId28" w:history="1">
        <w:r w:rsidR="00770288" w:rsidRPr="008145AA">
          <w:rPr>
            <w:rStyle w:val="Hyperlink"/>
          </w:rPr>
          <w:t>http://www.dss.gov.au/our-responsibilities/settlement-and-multicultural-affairs/programs-policy/access-and-equity/multicultural-access-and-equity-policy-toolkit</w:t>
        </w:r>
      </w:hyperlink>
      <w:r w:rsidR="00960245">
        <w:t xml:space="preserve"> </w:t>
      </w:r>
    </w:p>
    <w:p w:rsidR="00960245" w:rsidRDefault="00E97365" w:rsidP="0084494A">
      <w:pPr>
        <w:pStyle w:val="ListParagraph"/>
        <w:numPr>
          <w:ilvl w:val="0"/>
          <w:numId w:val="32"/>
        </w:numPr>
        <w:spacing w:after="120" w:line="240" w:lineRule="auto"/>
        <w:ind w:left="360"/>
        <w:contextualSpacing w:val="0"/>
      </w:pPr>
      <w:r w:rsidRPr="008145AA">
        <w:rPr>
          <w:i/>
        </w:rPr>
        <w:t>Multicultural Language Services Guidelines (DIAC, 2013)</w:t>
      </w:r>
    </w:p>
    <w:p w:rsidR="00E97365" w:rsidRPr="008145AA" w:rsidRDefault="002B01E0" w:rsidP="0084494A">
      <w:pPr>
        <w:spacing w:after="120" w:line="240" w:lineRule="auto"/>
        <w:ind w:left="360"/>
        <w:rPr>
          <w:rStyle w:val="Emphasis"/>
          <w:i w:val="0"/>
          <w:iCs w:val="0"/>
        </w:rPr>
      </w:pPr>
      <w:hyperlink r:id="rId29" w:history="1">
        <w:r w:rsidR="00770288" w:rsidRPr="008145AA">
          <w:rPr>
            <w:rStyle w:val="Hyperlink"/>
          </w:rPr>
          <w:t>http://www.dss.gov.au/our-responsibilities/settlement-and-multicultural-affairs/programs-policy/multicultural-access-and-equity/multicultural-language-services-guidelines-for-australian-government-agencies</w:t>
        </w:r>
      </w:hyperlink>
    </w:p>
    <w:p w:rsidR="00E97365" w:rsidRPr="00E97365" w:rsidRDefault="00E97365" w:rsidP="0084494A">
      <w:pPr>
        <w:pStyle w:val="ListParagraph"/>
        <w:numPr>
          <w:ilvl w:val="0"/>
          <w:numId w:val="32"/>
        </w:numPr>
        <w:spacing w:after="120" w:line="240" w:lineRule="auto"/>
        <w:ind w:left="360"/>
        <w:contextualSpacing w:val="0"/>
      </w:pPr>
      <w:r w:rsidRPr="008145AA">
        <w:rPr>
          <w:i/>
        </w:rPr>
        <w:t>Website internationalisation resources (W3C)</w:t>
      </w:r>
    </w:p>
    <w:p w:rsidR="00960245" w:rsidRDefault="002B01E0" w:rsidP="0084494A">
      <w:pPr>
        <w:spacing w:after="120" w:line="240" w:lineRule="auto"/>
        <w:ind w:left="360"/>
      </w:pPr>
      <w:hyperlink r:id="rId30" w:history="1">
        <w:r w:rsidR="00E97365" w:rsidRPr="008145AA">
          <w:rPr>
            <w:rStyle w:val="Hyperlink"/>
          </w:rPr>
          <w:t>http://www.w3.org/International/resources</w:t>
        </w:r>
      </w:hyperlink>
      <w:r w:rsidR="00E97365">
        <w:t xml:space="preserve"> </w:t>
      </w:r>
    </w:p>
    <w:p w:rsidR="00E97365" w:rsidRDefault="00DC2D70" w:rsidP="0084494A">
      <w:pPr>
        <w:pStyle w:val="ListParagraph"/>
        <w:numPr>
          <w:ilvl w:val="0"/>
          <w:numId w:val="32"/>
        </w:numPr>
        <w:spacing w:after="120" w:line="240" w:lineRule="auto"/>
        <w:ind w:left="360"/>
        <w:contextualSpacing w:val="0"/>
      </w:pPr>
      <w:r w:rsidRPr="008145AA">
        <w:rPr>
          <w:i/>
        </w:rPr>
        <w:t>Australian Government Web Guide</w:t>
      </w:r>
    </w:p>
    <w:p w:rsidR="00DC2D70" w:rsidRDefault="002B01E0" w:rsidP="0084494A">
      <w:pPr>
        <w:spacing w:after="120" w:line="240" w:lineRule="auto"/>
        <w:ind w:left="360"/>
      </w:pPr>
      <w:hyperlink r:id="rId31" w:history="1">
        <w:r w:rsidR="00E97365" w:rsidRPr="008145AA">
          <w:rPr>
            <w:rStyle w:val="Hyperlink"/>
          </w:rPr>
          <w:t>http://webguide.gov.au/</w:t>
        </w:r>
      </w:hyperlink>
      <w:r w:rsidR="00E97365">
        <w:t xml:space="preserve"> </w:t>
      </w:r>
    </w:p>
    <w:sectPr w:rsidR="00DC2D70" w:rsidSect="007A09FF">
      <w:headerReference w:type="default" r:id="rId32"/>
      <w:type w:val="continuous"/>
      <w:pgSz w:w="11900" w:h="16840" w:code="9"/>
      <w:pgMar w:top="1418" w:right="1268" w:bottom="1134" w:left="1191" w:header="510" w:footer="369"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DC8" w:rsidRDefault="00A64DC8" w:rsidP="00F07625">
      <w:r>
        <w:separator/>
      </w:r>
    </w:p>
  </w:endnote>
  <w:endnote w:type="continuationSeparator" w:id="0">
    <w:p w:rsidR="00A64DC8" w:rsidRDefault="00A64DC8" w:rsidP="00F076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otham Rounded Book">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E97365" w:rsidRPr="00960245" w:rsidRDefault="00E97365" w:rsidP="009D014E">
        <w:pPr>
          <w:pStyle w:val="Footer"/>
          <w:pBdr>
            <w:top w:val="single" w:sz="4" w:space="1" w:color="auto"/>
          </w:pBdr>
          <w:tabs>
            <w:tab w:val="clear" w:pos="8640"/>
            <w:tab w:val="right" w:pos="9356"/>
          </w:tabs>
        </w:pPr>
        <w:r w:rsidRPr="003247AE">
          <w:t>Access &amp; Equity in Online Information and Services</w:t>
        </w:r>
        <w:r>
          <w:tab/>
          <w:t xml:space="preserve">Page </w:t>
        </w:r>
        <w:fldSimple w:instr=" PAGE ">
          <w:r w:rsidR="00061A2C">
            <w:rPr>
              <w:noProof/>
            </w:rPr>
            <w:t>4</w:t>
          </w:r>
        </w:fldSimple>
        <w:r>
          <w:t xml:space="preserve"> of </w:t>
        </w:r>
        <w:fldSimple w:instr=" NUMPAGES  ">
          <w:r w:rsidR="00061A2C">
            <w:rPr>
              <w:noProof/>
            </w:rPr>
            <w:t>4</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4236"/>
      <w:docPartObj>
        <w:docPartGallery w:val="Page Numbers (Bottom of Page)"/>
        <w:docPartUnique/>
      </w:docPartObj>
    </w:sdtPr>
    <w:sdtContent>
      <w:sdt>
        <w:sdtPr>
          <w:id w:val="565050523"/>
          <w:docPartObj>
            <w:docPartGallery w:val="Page Numbers (Top of Page)"/>
            <w:docPartUnique/>
          </w:docPartObj>
        </w:sdtPr>
        <w:sdtContent>
          <w:sdt>
            <w:sdtPr>
              <w:id w:val="7824855"/>
              <w:docPartObj>
                <w:docPartGallery w:val="Page Numbers (Bottom of Page)"/>
                <w:docPartUnique/>
              </w:docPartObj>
            </w:sdtPr>
            <w:sdtContent>
              <w:p w:rsidR="00E97365" w:rsidRDefault="00E97365" w:rsidP="00F07625">
                <w:pPr>
                  <w:pStyle w:val="Footer"/>
                </w:pPr>
                <w:r w:rsidRPr="00E301F5">
                  <w:rPr>
                    <w:rStyle w:val="ArialBlackBlue"/>
                    <w:color w:val="005A77"/>
                    <w:sz w:val="18"/>
                    <w:szCs w:val="18"/>
                  </w:rPr>
                  <w:t>Book title</w:t>
                </w:r>
                <w:r w:rsidRPr="004D6565">
                  <w:t xml:space="preserve">    </w:t>
                </w:r>
                <w:r w:rsidRPr="004D6565">
                  <w:rPr>
                    <w:rFonts w:asciiTheme="majorHAnsi" w:hAnsiTheme="majorHAnsi"/>
                  </w:rPr>
                  <w:t xml:space="preserve">|    </w:t>
                </w:r>
                <w:r w:rsidR="002B01E0" w:rsidRPr="004D6565">
                  <w:rPr>
                    <w:rFonts w:asciiTheme="majorHAnsi" w:hAnsiTheme="majorHAnsi"/>
                  </w:rPr>
                  <w:fldChar w:fldCharType="begin"/>
                </w:r>
                <w:r w:rsidRPr="004D6565">
                  <w:rPr>
                    <w:rFonts w:asciiTheme="majorHAnsi" w:hAnsiTheme="majorHAnsi"/>
                  </w:rPr>
                  <w:instrText xml:space="preserve"> PAGE   \* MERGEFORMAT </w:instrText>
                </w:r>
                <w:r w:rsidR="002B01E0" w:rsidRPr="004D6565">
                  <w:rPr>
                    <w:rFonts w:asciiTheme="majorHAnsi" w:hAnsiTheme="majorHAnsi"/>
                  </w:rPr>
                  <w:fldChar w:fldCharType="separate"/>
                </w:r>
                <w:r>
                  <w:rPr>
                    <w:rFonts w:asciiTheme="majorHAnsi" w:hAnsiTheme="majorHAnsi"/>
                    <w:noProof/>
                  </w:rPr>
                  <w:t>1</w:t>
                </w:r>
                <w:r w:rsidR="002B01E0" w:rsidRPr="004D6565">
                  <w:rPr>
                    <w:rFonts w:asciiTheme="majorHAnsi" w:hAnsiTheme="majorHAnsi"/>
                  </w:rPr>
                  <w:fldChar w:fldCharType="end"/>
                </w:r>
              </w:p>
            </w:sdtContent>
          </w:sdt>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DC8" w:rsidRDefault="00A64DC8" w:rsidP="00F07625"/>
  </w:footnote>
  <w:footnote w:type="continuationSeparator" w:id="0">
    <w:p w:rsidR="00A64DC8" w:rsidRDefault="00A64DC8" w:rsidP="00F0762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365" w:rsidRDefault="002B01E0" w:rsidP="00F07625">
    <w:pPr>
      <w:pStyle w:val="Header"/>
    </w:pPr>
    <w:r>
      <w:rPr>
        <w:noProof/>
        <w:lang w:eastAsia="en-AU"/>
      </w:rPr>
      <w:pict>
        <v:rect id="_x0000_s13316" style="position:absolute;margin-left:-70.9pt;margin-top:199.4pt;width:596.25pt;height:62.8pt;z-index:-251654656" wrapcoords="0 0 21600 0 21600 21600 0 21600 0 0" filled="f" stroked="f">
          <w10:wrap type="tight"/>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365" w:rsidRDefault="002B01E0" w:rsidP="00F07625">
    <w:pPr>
      <w:pStyle w:val="Header"/>
    </w:pPr>
    <w:r>
      <w:rPr>
        <w:noProof/>
        <w:lang w:eastAsia="en-AU"/>
      </w:rPr>
      <w:pict>
        <v:rect id="_x0000_s13315" style="position:absolute;margin-left:-70.9pt;margin-top:208.7pt;width:596.25pt;height:62.8pt;z-index:-251657728" wrapcoords="0 0 21600 0 21600 21600 0 21600 0 0" filled="f" stroked="f">
          <w10:wrap type="tight"/>
        </v:rect>
      </w:pict>
    </w:r>
    <w:r w:rsidR="00E97365">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D70" w:rsidRDefault="00DC2D70" w:rsidP="00F07625">
    <w:pPr>
      <w:pStyle w:val="Header"/>
    </w:pPr>
    <w:r w:rsidRPr="00785BE7">
      <w:rPr>
        <w:noProof/>
        <w:lang w:eastAsia="en-AU"/>
      </w:rPr>
      <w:drawing>
        <wp:anchor distT="0" distB="0" distL="114300" distR="114300" simplePos="0" relativeHeight="251660800" behindDoc="1" locked="0" layoutInCell="1" allowOverlap="1">
          <wp:simplePos x="0" y="0"/>
          <wp:positionH relativeFrom="column">
            <wp:posOffset>-2431400</wp:posOffset>
          </wp:positionH>
          <wp:positionV relativeFrom="paragraph">
            <wp:posOffset>32989</wp:posOffset>
          </wp:positionV>
          <wp:extent cx="13317809" cy="345688"/>
          <wp:effectExtent l="1905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Banner.jpg"/>
                  <pic:cNvPicPr/>
                </pic:nvPicPr>
                <pic:blipFill>
                  <a:blip r:embed="rId1" cstate="screen"/>
                  <a:srcRect b="93896"/>
                  <a:stretch>
                    <a:fillRect/>
                  </a:stretch>
                </pic:blipFill>
                <pic:spPr>
                  <a:xfrm>
                    <a:off x="0" y="0"/>
                    <a:ext cx="13317809" cy="345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58C576"/>
    <w:lvl w:ilvl="0">
      <w:start w:val="1"/>
      <w:numFmt w:val="decimal"/>
      <w:lvlText w:val="%1."/>
      <w:lvlJc w:val="left"/>
      <w:pPr>
        <w:tabs>
          <w:tab w:val="num" w:pos="1492"/>
        </w:tabs>
        <w:ind w:left="1492" w:hanging="360"/>
      </w:pPr>
    </w:lvl>
  </w:abstractNum>
  <w:abstractNum w:abstractNumId="1">
    <w:nsid w:val="FFFFFF7D"/>
    <w:multiLevelType w:val="singleLevel"/>
    <w:tmpl w:val="A63E1660"/>
    <w:lvl w:ilvl="0">
      <w:start w:val="1"/>
      <w:numFmt w:val="decimal"/>
      <w:lvlText w:val="%1."/>
      <w:lvlJc w:val="left"/>
      <w:pPr>
        <w:tabs>
          <w:tab w:val="num" w:pos="1209"/>
        </w:tabs>
        <w:ind w:left="1209" w:hanging="360"/>
      </w:pPr>
    </w:lvl>
  </w:abstractNum>
  <w:abstractNum w:abstractNumId="2">
    <w:nsid w:val="FFFFFF7E"/>
    <w:multiLevelType w:val="singleLevel"/>
    <w:tmpl w:val="C546BC92"/>
    <w:lvl w:ilvl="0">
      <w:start w:val="1"/>
      <w:numFmt w:val="decimal"/>
      <w:lvlText w:val="%1."/>
      <w:lvlJc w:val="left"/>
      <w:pPr>
        <w:tabs>
          <w:tab w:val="num" w:pos="926"/>
        </w:tabs>
        <w:ind w:left="926" w:hanging="360"/>
      </w:pPr>
    </w:lvl>
  </w:abstractNum>
  <w:abstractNum w:abstractNumId="3">
    <w:nsid w:val="FFFFFF7F"/>
    <w:multiLevelType w:val="singleLevel"/>
    <w:tmpl w:val="7938FC96"/>
    <w:lvl w:ilvl="0">
      <w:start w:val="1"/>
      <w:numFmt w:val="decimal"/>
      <w:lvlText w:val="%1."/>
      <w:lvlJc w:val="left"/>
      <w:pPr>
        <w:tabs>
          <w:tab w:val="num" w:pos="643"/>
        </w:tabs>
        <w:ind w:left="643" w:hanging="360"/>
      </w:pPr>
    </w:lvl>
  </w:abstractNum>
  <w:abstractNum w:abstractNumId="4">
    <w:nsid w:val="FFFFFF80"/>
    <w:multiLevelType w:val="singleLevel"/>
    <w:tmpl w:val="536000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B1A7F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A61B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3640B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236E452"/>
    <w:lvl w:ilvl="0">
      <w:start w:val="1"/>
      <w:numFmt w:val="decimal"/>
      <w:pStyle w:val="ListNumber"/>
      <w:lvlText w:val="%1."/>
      <w:lvlJc w:val="left"/>
      <w:pPr>
        <w:tabs>
          <w:tab w:val="num" w:pos="360"/>
        </w:tabs>
        <w:ind w:left="360" w:hanging="360"/>
      </w:pPr>
    </w:lvl>
  </w:abstractNum>
  <w:abstractNum w:abstractNumId="9">
    <w:nsid w:val="FFFFFF89"/>
    <w:multiLevelType w:val="singleLevel"/>
    <w:tmpl w:val="E0B2C9B2"/>
    <w:lvl w:ilvl="0">
      <w:start w:val="1"/>
      <w:numFmt w:val="bullet"/>
      <w:pStyle w:val="ListBullet"/>
      <w:lvlText w:val=""/>
      <w:lvlJc w:val="left"/>
      <w:pPr>
        <w:ind w:left="360" w:hanging="360"/>
      </w:pPr>
      <w:rPr>
        <w:rFonts w:ascii="Symbol" w:hAnsi="Symbol" w:hint="default"/>
        <w:color w:val="14708E" w:themeColor="accent1" w:themeShade="80"/>
      </w:rPr>
    </w:lvl>
  </w:abstractNum>
  <w:abstractNum w:abstractNumId="10">
    <w:nsid w:val="00D04AC9"/>
    <w:multiLevelType w:val="hybridMultilevel"/>
    <w:tmpl w:val="90DCCB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013048DF"/>
    <w:multiLevelType w:val="hybridMultilevel"/>
    <w:tmpl w:val="BD26DBF0"/>
    <w:lvl w:ilvl="0" w:tplc="8A9AC69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7242F55"/>
    <w:multiLevelType w:val="hybridMultilevel"/>
    <w:tmpl w:val="286635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08056096"/>
    <w:multiLevelType w:val="hybridMultilevel"/>
    <w:tmpl w:val="77E28ED6"/>
    <w:lvl w:ilvl="0" w:tplc="30023904">
      <w:start w:val="1"/>
      <w:numFmt w:val="decimal"/>
      <w:lvlText w:val="%1."/>
      <w:lvlJc w:val="left"/>
      <w:pPr>
        <w:ind w:left="720" w:hanging="360"/>
      </w:pPr>
      <w:rPr>
        <w:rFonts w:hint="default"/>
        <w:b/>
        <w:i w:val="0"/>
      </w:rPr>
    </w:lvl>
    <w:lvl w:ilvl="1" w:tplc="49E0823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F52470"/>
    <w:multiLevelType w:val="hybridMultilevel"/>
    <w:tmpl w:val="0882CC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C6070A6"/>
    <w:multiLevelType w:val="hybridMultilevel"/>
    <w:tmpl w:val="A9941FDC"/>
    <w:lvl w:ilvl="0" w:tplc="0C090001">
      <w:start w:val="1"/>
      <w:numFmt w:val="bullet"/>
      <w:lvlText w:val=""/>
      <w:lvlJc w:val="left"/>
      <w:pPr>
        <w:ind w:left="640" w:hanging="360"/>
      </w:pPr>
      <w:rPr>
        <w:rFonts w:ascii="Symbol" w:hAnsi="Symbol" w:hint="default"/>
      </w:rPr>
    </w:lvl>
    <w:lvl w:ilvl="1" w:tplc="0C090003">
      <w:start w:val="1"/>
      <w:numFmt w:val="bullet"/>
      <w:lvlText w:val="o"/>
      <w:lvlJc w:val="left"/>
      <w:pPr>
        <w:ind w:left="1360" w:hanging="360"/>
      </w:pPr>
      <w:rPr>
        <w:rFonts w:ascii="Courier New" w:hAnsi="Courier New" w:cs="Courier New" w:hint="default"/>
      </w:rPr>
    </w:lvl>
    <w:lvl w:ilvl="2" w:tplc="0C090005" w:tentative="1">
      <w:start w:val="1"/>
      <w:numFmt w:val="bullet"/>
      <w:lvlText w:val=""/>
      <w:lvlJc w:val="left"/>
      <w:pPr>
        <w:ind w:left="2080" w:hanging="360"/>
      </w:pPr>
      <w:rPr>
        <w:rFonts w:ascii="Wingdings" w:hAnsi="Wingdings" w:hint="default"/>
      </w:rPr>
    </w:lvl>
    <w:lvl w:ilvl="3" w:tplc="0C090001" w:tentative="1">
      <w:start w:val="1"/>
      <w:numFmt w:val="bullet"/>
      <w:lvlText w:val=""/>
      <w:lvlJc w:val="left"/>
      <w:pPr>
        <w:ind w:left="2800" w:hanging="360"/>
      </w:pPr>
      <w:rPr>
        <w:rFonts w:ascii="Symbol" w:hAnsi="Symbol" w:hint="default"/>
      </w:rPr>
    </w:lvl>
    <w:lvl w:ilvl="4" w:tplc="0C090003" w:tentative="1">
      <w:start w:val="1"/>
      <w:numFmt w:val="bullet"/>
      <w:lvlText w:val="o"/>
      <w:lvlJc w:val="left"/>
      <w:pPr>
        <w:ind w:left="3520" w:hanging="360"/>
      </w:pPr>
      <w:rPr>
        <w:rFonts w:ascii="Courier New" w:hAnsi="Courier New" w:cs="Courier New" w:hint="default"/>
      </w:rPr>
    </w:lvl>
    <w:lvl w:ilvl="5" w:tplc="0C090005" w:tentative="1">
      <w:start w:val="1"/>
      <w:numFmt w:val="bullet"/>
      <w:lvlText w:val=""/>
      <w:lvlJc w:val="left"/>
      <w:pPr>
        <w:ind w:left="4240" w:hanging="360"/>
      </w:pPr>
      <w:rPr>
        <w:rFonts w:ascii="Wingdings" w:hAnsi="Wingdings" w:hint="default"/>
      </w:rPr>
    </w:lvl>
    <w:lvl w:ilvl="6" w:tplc="0C090001" w:tentative="1">
      <w:start w:val="1"/>
      <w:numFmt w:val="bullet"/>
      <w:lvlText w:val=""/>
      <w:lvlJc w:val="left"/>
      <w:pPr>
        <w:ind w:left="4960" w:hanging="360"/>
      </w:pPr>
      <w:rPr>
        <w:rFonts w:ascii="Symbol" w:hAnsi="Symbol" w:hint="default"/>
      </w:rPr>
    </w:lvl>
    <w:lvl w:ilvl="7" w:tplc="0C090003" w:tentative="1">
      <w:start w:val="1"/>
      <w:numFmt w:val="bullet"/>
      <w:lvlText w:val="o"/>
      <w:lvlJc w:val="left"/>
      <w:pPr>
        <w:ind w:left="5680" w:hanging="360"/>
      </w:pPr>
      <w:rPr>
        <w:rFonts w:ascii="Courier New" w:hAnsi="Courier New" w:cs="Courier New" w:hint="default"/>
      </w:rPr>
    </w:lvl>
    <w:lvl w:ilvl="8" w:tplc="0C090005" w:tentative="1">
      <w:start w:val="1"/>
      <w:numFmt w:val="bullet"/>
      <w:lvlText w:val=""/>
      <w:lvlJc w:val="left"/>
      <w:pPr>
        <w:ind w:left="6400" w:hanging="360"/>
      </w:pPr>
      <w:rPr>
        <w:rFonts w:ascii="Wingdings" w:hAnsi="Wingdings" w:hint="default"/>
      </w:rPr>
    </w:lvl>
  </w:abstractNum>
  <w:abstractNum w:abstractNumId="16">
    <w:nsid w:val="0D6C2D64"/>
    <w:multiLevelType w:val="hybridMultilevel"/>
    <w:tmpl w:val="5B983AE0"/>
    <w:lvl w:ilvl="0" w:tplc="DAC0ADA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9410C09"/>
    <w:multiLevelType w:val="hybridMultilevel"/>
    <w:tmpl w:val="28CED3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294214C9"/>
    <w:multiLevelType w:val="multilevel"/>
    <w:tmpl w:val="CB4E17A4"/>
    <w:styleLink w:val="Bullets"/>
    <w:lvl w:ilvl="0">
      <w:start w:val="1"/>
      <w:numFmt w:val="bullet"/>
      <w:pStyle w:val="Bullets1stindent"/>
      <w:lvlText w:val=""/>
      <w:lvlJc w:val="left"/>
      <w:pPr>
        <w:ind w:left="360" w:hanging="360"/>
      </w:pPr>
      <w:rPr>
        <w:rFonts w:ascii="Symbol" w:hAnsi="Symbol" w:hint="default"/>
        <w:color w:val="14708E" w:themeColor="accent1" w:themeShade="80"/>
      </w:rPr>
    </w:lvl>
    <w:lvl w:ilvl="1">
      <w:start w:val="1"/>
      <w:numFmt w:val="bullet"/>
      <w:pStyle w:val="Bullets2ndindent"/>
      <w:lvlText w:val=""/>
      <w:lvlJc w:val="left"/>
      <w:pPr>
        <w:tabs>
          <w:tab w:val="num" w:pos="567"/>
        </w:tabs>
        <w:ind w:left="567" w:hanging="283"/>
      </w:pPr>
      <w:rPr>
        <w:rFonts w:ascii="Symbol" w:hAnsi="Symbol" w:hint="default"/>
        <w:color w:val="14708E" w:themeColor="accent1" w:themeShade="80"/>
      </w:rPr>
    </w:lvl>
    <w:lvl w:ilvl="2">
      <w:start w:val="1"/>
      <w:numFmt w:val="bullet"/>
      <w:pStyle w:val="Bulletslast1stindent"/>
      <w:lvlText w:val="•"/>
      <w:lvlJc w:val="left"/>
      <w:pPr>
        <w:tabs>
          <w:tab w:val="num" w:pos="284"/>
        </w:tabs>
        <w:ind w:left="284" w:hanging="284"/>
      </w:pPr>
      <w:rPr>
        <w:rFonts w:ascii="Cambria" w:hAnsi="Cambria" w:hint="default"/>
        <w:color w:val="5BC6E8" w:themeColor="accent1"/>
      </w:rPr>
    </w:lvl>
    <w:lvl w:ilvl="3">
      <w:start w:val="1"/>
      <w:numFmt w:val="bullet"/>
      <w:pStyle w:val="Bulletslast2ndindent"/>
      <w:lvlText w:val="•"/>
      <w:lvlJc w:val="left"/>
      <w:pPr>
        <w:tabs>
          <w:tab w:val="num" w:pos="567"/>
        </w:tabs>
        <w:ind w:left="567" w:hanging="283"/>
      </w:pPr>
      <w:rPr>
        <w:rFonts w:ascii="Cambria" w:hAnsi="Cambria" w:hint="default"/>
        <w:color w:val="5BC6E8" w:themeColor="accent1"/>
      </w:rPr>
    </w:lvl>
    <w:lvl w:ilvl="4">
      <w:start w:val="1"/>
      <w:numFmt w:val="none"/>
      <w:lvlText w:val=""/>
      <w:lvlJc w:val="left"/>
      <w:pPr>
        <w:ind w:left="0" w:firstLine="0"/>
      </w:pPr>
      <w:rPr>
        <w:rFonts w:hint="default"/>
      </w:rPr>
    </w:lvl>
    <w:lvl w:ilvl="5">
      <w:start w:val="1"/>
      <w:numFmt w:val="bullet"/>
      <w:pStyle w:val="Tablebullets1stindent"/>
      <w:lvlText w:val=""/>
      <w:lvlJc w:val="left"/>
      <w:pPr>
        <w:tabs>
          <w:tab w:val="num" w:pos="266"/>
        </w:tabs>
        <w:ind w:left="266" w:hanging="170"/>
      </w:pPr>
      <w:rPr>
        <w:rFonts w:ascii="Symbol" w:hAnsi="Symbol" w:hint="default"/>
        <w:color w:val="14708E" w:themeColor="accent1" w:themeShade="80"/>
        <w:sz w:val="16"/>
      </w:rPr>
    </w:lvl>
    <w:lvl w:ilvl="6">
      <w:start w:val="1"/>
      <w:numFmt w:val="bullet"/>
      <w:pStyle w:val="Tablebullets2ndindent"/>
      <w:lvlText w:val=""/>
      <w:lvlJc w:val="left"/>
      <w:pPr>
        <w:tabs>
          <w:tab w:val="num" w:pos="437"/>
        </w:tabs>
        <w:ind w:left="437" w:hanging="171"/>
      </w:pPr>
      <w:rPr>
        <w:rFonts w:ascii="Symbol" w:hAnsi="Symbol" w:hint="default"/>
        <w:color w:val="14708E" w:themeColor="accent1" w:themeShade="80"/>
        <w:sz w:val="16"/>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nsid w:val="31275190"/>
    <w:multiLevelType w:val="hybridMultilevel"/>
    <w:tmpl w:val="AE06C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7AA32B9"/>
    <w:multiLevelType w:val="hybridMultilevel"/>
    <w:tmpl w:val="4C4099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41B33348"/>
    <w:multiLevelType w:val="hybridMultilevel"/>
    <w:tmpl w:val="1840C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917C21"/>
    <w:multiLevelType w:val="hybridMultilevel"/>
    <w:tmpl w:val="B672A2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46880915"/>
    <w:multiLevelType w:val="hybridMultilevel"/>
    <w:tmpl w:val="51602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75E1D6E"/>
    <w:multiLevelType w:val="multilevel"/>
    <w:tmpl w:val="D52A2368"/>
    <w:lvl w:ilvl="0">
      <w:start w:val="1"/>
      <w:numFmt w:val="bullet"/>
      <w:lvlText w:val="•"/>
      <w:lvlJc w:val="left"/>
      <w:pPr>
        <w:ind w:left="360" w:hanging="360"/>
      </w:pPr>
      <w:rPr>
        <w:rFonts w:ascii="Cambria" w:hAnsi="Cambria" w:hint="default"/>
        <w:color w:val="5BC6E8" w:themeColor="accent1"/>
        <w:sz w:val="16"/>
      </w:rPr>
    </w:lvl>
    <w:lvl w:ilvl="1">
      <w:start w:val="1"/>
      <w:numFmt w:val="bullet"/>
      <w:lvlText w:val="–"/>
      <w:lvlJc w:val="left"/>
      <w:pPr>
        <w:tabs>
          <w:tab w:val="num" w:pos="567"/>
        </w:tabs>
        <w:ind w:left="567" w:hanging="283"/>
      </w:pPr>
      <w:rPr>
        <w:rFonts w:ascii="Arial" w:hAnsi="Arial" w:hint="default"/>
        <w:color w:val="auto"/>
        <w:sz w:val="17"/>
      </w:rPr>
    </w:lvl>
    <w:lvl w:ilvl="2">
      <w:start w:val="1"/>
      <w:numFmt w:val="bullet"/>
      <w:lvlText w:val="•"/>
      <w:lvlJc w:val="left"/>
      <w:pPr>
        <w:tabs>
          <w:tab w:val="num" w:pos="851"/>
        </w:tabs>
        <w:ind w:left="851" w:hanging="284"/>
      </w:pPr>
      <w:rPr>
        <w:rFonts w:ascii="Gotham Rounded Book" w:hAnsi="Gotham Rounded Book" w:hint="default"/>
        <w:sz w:val="16"/>
      </w:rPr>
    </w:lvl>
    <w:lvl w:ilvl="3">
      <w:start w:val="1"/>
      <w:numFmt w:val="bullet"/>
      <w:lvlText w:val="–"/>
      <w:lvlJc w:val="left"/>
      <w:pPr>
        <w:tabs>
          <w:tab w:val="num" w:pos="1134"/>
        </w:tabs>
        <w:ind w:left="1134" w:hanging="283"/>
      </w:pPr>
      <w:rPr>
        <w:rFonts w:ascii="Arial" w:hAnsi="Arial" w:hint="default"/>
        <w:color w:val="auto"/>
        <w:sz w:val="17"/>
      </w:rPr>
    </w:lvl>
    <w:lvl w:ilvl="4">
      <w:start w:val="1"/>
      <w:numFmt w:val="bullet"/>
      <w:lvlText w:val="•"/>
      <w:lvlJc w:val="left"/>
      <w:pPr>
        <w:tabs>
          <w:tab w:val="num" w:pos="227"/>
        </w:tabs>
        <w:ind w:left="227" w:hanging="227"/>
      </w:pPr>
      <w:rPr>
        <w:rFonts w:ascii="Gotham Rounded Book" w:hAnsi="Gotham Rounded Book" w:hint="default"/>
        <w:sz w:val="16"/>
      </w:rPr>
    </w:lvl>
    <w:lvl w:ilvl="5">
      <w:start w:val="1"/>
      <w:numFmt w:val="bullet"/>
      <w:lvlText w:val="–"/>
      <w:lvlJc w:val="left"/>
      <w:pPr>
        <w:tabs>
          <w:tab w:val="num" w:pos="454"/>
        </w:tabs>
        <w:ind w:left="454" w:hanging="227"/>
      </w:pPr>
      <w:rPr>
        <w:rFonts w:ascii="Arial" w:hAnsi="Arial" w:hint="default"/>
        <w:color w:val="auto"/>
        <w:sz w:val="17"/>
      </w:rPr>
    </w:lvl>
    <w:lvl w:ilvl="6">
      <w:start w:val="1"/>
      <w:numFmt w:val="bullet"/>
      <w:lvlText w:val="•"/>
      <w:lvlJc w:val="left"/>
      <w:pPr>
        <w:tabs>
          <w:tab w:val="num" w:pos="680"/>
        </w:tabs>
        <w:ind w:left="680" w:hanging="226"/>
      </w:pPr>
      <w:rPr>
        <w:rFonts w:ascii="Gotham Rounded Book" w:hAnsi="Gotham Rounded Book" w:hint="default"/>
        <w:sz w:val="16"/>
      </w:rPr>
    </w:lvl>
    <w:lvl w:ilvl="7">
      <w:start w:val="1"/>
      <w:numFmt w:val="bullet"/>
      <w:lvlText w:val="–"/>
      <w:lvlJc w:val="left"/>
      <w:pPr>
        <w:tabs>
          <w:tab w:val="num" w:pos="907"/>
        </w:tabs>
        <w:ind w:left="907" w:hanging="227"/>
      </w:pPr>
      <w:rPr>
        <w:rFonts w:ascii="Arial" w:hAnsi="Arial" w:hint="default"/>
        <w:color w:val="auto"/>
        <w:sz w:val="17"/>
      </w:rPr>
    </w:lvl>
    <w:lvl w:ilvl="8">
      <w:start w:val="1"/>
      <w:numFmt w:val="none"/>
      <w:lvlText w:val=""/>
      <w:lvlJc w:val="left"/>
      <w:pPr>
        <w:tabs>
          <w:tab w:val="num" w:pos="0"/>
        </w:tabs>
        <w:ind w:left="0" w:firstLine="0"/>
      </w:pPr>
      <w:rPr>
        <w:rFonts w:hint="default"/>
      </w:rPr>
    </w:lvl>
  </w:abstractNum>
  <w:abstractNum w:abstractNumId="25">
    <w:nsid w:val="4F1523F7"/>
    <w:multiLevelType w:val="multilevel"/>
    <w:tmpl w:val="6BC6F2D0"/>
    <w:styleLink w:val="Number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Restart w:val="1"/>
      <w:pStyle w:val="Numberedpara1stindent"/>
      <w:lvlText w:val="%1.%4"/>
      <w:lvlJc w:val="left"/>
      <w:pPr>
        <w:tabs>
          <w:tab w:val="num" w:pos="567"/>
        </w:tabs>
        <w:ind w:left="567" w:hanging="567"/>
      </w:pPr>
      <w:rPr>
        <w:rFonts w:hint="default"/>
        <w:b/>
        <w:i w:val="0"/>
      </w:rPr>
    </w:lvl>
    <w:lvl w:ilvl="4">
      <w:start w:val="1"/>
      <w:numFmt w:val="lowerLetter"/>
      <w:pStyle w:val="Numberedpara2ndindent"/>
      <w:lvlText w:val="%5."/>
      <w:lvlJc w:val="left"/>
      <w:pPr>
        <w:tabs>
          <w:tab w:val="num" w:pos="851"/>
        </w:tabs>
        <w:ind w:left="851" w:hanging="284"/>
      </w:pPr>
      <w:rPr>
        <w:rFonts w:hint="default"/>
      </w:rPr>
    </w:lvl>
    <w:lvl w:ilvl="5">
      <w:start w:val="1"/>
      <w:numFmt w:val="lowerRoman"/>
      <w:pStyle w:val="Numberedpara3rdindent"/>
      <w:lvlText w:val="%6."/>
      <w:lvlJc w:val="left"/>
      <w:pPr>
        <w:tabs>
          <w:tab w:val="num" w:pos="1134"/>
        </w:tabs>
        <w:ind w:left="1134" w:hanging="283"/>
      </w:pPr>
      <w:rPr>
        <w:rFonts w:hint="default"/>
      </w:rPr>
    </w:lvl>
    <w:lvl w:ilvl="6">
      <w:start w:val="1"/>
      <w:numFmt w:val="decimal"/>
      <w:lvlRestart w:val="0"/>
      <w:pStyle w:val="Figuretitle"/>
      <w:suff w:val="space"/>
      <w:lvlText w:val="Figure %7:"/>
      <w:lvlJc w:val="left"/>
      <w:pPr>
        <w:ind w:left="0" w:firstLine="0"/>
      </w:pPr>
      <w:rPr>
        <w:rFonts w:hint="default"/>
      </w:rPr>
    </w:lvl>
    <w:lvl w:ilvl="7">
      <w:start w:val="1"/>
      <w:numFmt w:val="decimal"/>
      <w:lvlRestart w:val="0"/>
      <w:pStyle w:val="Notetitle"/>
      <w:suff w:val="space"/>
      <w:lvlText w:val="Note %8:"/>
      <w:lvlJc w:val="left"/>
      <w:pPr>
        <w:ind w:left="0" w:firstLine="0"/>
      </w:pPr>
      <w:rPr>
        <w:rFonts w:hint="default"/>
      </w:rPr>
    </w:lvl>
    <w:lvl w:ilvl="8">
      <w:start w:val="1"/>
      <w:numFmt w:val="decimal"/>
      <w:lvlRestart w:val="1"/>
      <w:pStyle w:val="Tabletitle"/>
      <w:suff w:val="space"/>
      <w:lvlText w:val="Table %1.%9:"/>
      <w:lvlJc w:val="left"/>
      <w:pPr>
        <w:ind w:left="0" w:firstLine="0"/>
      </w:pPr>
      <w:rPr>
        <w:rFonts w:hint="default"/>
      </w:rPr>
    </w:lvl>
  </w:abstractNum>
  <w:abstractNum w:abstractNumId="26">
    <w:nsid w:val="59A30E84"/>
    <w:multiLevelType w:val="hybridMultilevel"/>
    <w:tmpl w:val="3ACC0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66DF4850"/>
    <w:multiLevelType w:val="hybridMultilevel"/>
    <w:tmpl w:val="B9C2FC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BC66B1B"/>
    <w:multiLevelType w:val="hybridMultilevel"/>
    <w:tmpl w:val="791E0E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70107864"/>
    <w:multiLevelType w:val="hybridMultilevel"/>
    <w:tmpl w:val="4A5AC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2D11BEF"/>
    <w:multiLevelType w:val="hybridMultilevel"/>
    <w:tmpl w:val="A94C45EC"/>
    <w:lvl w:ilvl="0" w:tplc="2E560574">
      <w:start w:val="1"/>
      <w:numFmt w:val="decimal"/>
      <w:pStyle w:val="Chapter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lvl w:ilvl="0">
        <w:numFmt w:val="decimal"/>
        <w:lvlText w:val=""/>
        <w:lvlJc w:val="left"/>
      </w:lvl>
    </w:lvlOverride>
    <w:lvlOverride w:ilvl="1">
      <w:lvl w:ilvl="1">
        <w:start w:val="1"/>
        <w:numFmt w:val="decimal"/>
        <w:lvlText w:val="%1.%2"/>
        <w:lvlJc w:val="left"/>
        <w:pPr>
          <w:tabs>
            <w:tab w:val="num" w:pos="1134"/>
          </w:tabs>
          <w:ind w:left="1134" w:hanging="1134"/>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2">
    <w:abstractNumId w:val="24"/>
  </w:num>
  <w:num w:numId="3">
    <w:abstractNumId w:val="13"/>
  </w:num>
  <w:num w:numId="4">
    <w:abstractNumId w:val="25"/>
  </w:num>
  <w:num w:numId="5">
    <w:abstractNumId w:val="30"/>
  </w:num>
  <w:num w:numId="6">
    <w:abstractNumId w:val="18"/>
  </w:num>
  <w:num w:numId="7">
    <w:abstractNumId w:val="11"/>
  </w:num>
  <w:num w:numId="8">
    <w:abstractNumId w:val="29"/>
  </w:num>
  <w:num w:numId="9">
    <w:abstractNumId w:val="14"/>
  </w:num>
  <w:num w:numId="10">
    <w:abstractNumId w:val="20"/>
  </w:num>
  <w:num w:numId="11">
    <w:abstractNumId w:val="28"/>
  </w:num>
  <w:num w:numId="12">
    <w:abstractNumId w:val="10"/>
  </w:num>
  <w:num w:numId="13">
    <w:abstractNumId w:val="19"/>
  </w:num>
  <w:num w:numId="14">
    <w:abstractNumId w:val="17"/>
  </w:num>
  <w:num w:numId="15">
    <w:abstractNumId w:val="12"/>
  </w:num>
  <w:num w:numId="16">
    <w:abstractNumId w:val="16"/>
  </w:num>
  <w:num w:numId="17">
    <w:abstractNumId w:val="18"/>
    <w:lvlOverride w:ilvl="0"/>
    <w:lvlOverride w:ilvl="1"/>
    <w:lvlOverride w:ilvl="2"/>
    <w:lvlOverride w:ilvl="3"/>
    <w:lvlOverride w:ilvl="4">
      <w:startOverride w:val="1"/>
    </w:lvlOverride>
    <w:lvlOverride w:ilvl="5"/>
    <w:lvlOverride w:ilvl="6"/>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0"/>
  </w:num>
  <w:num w:numId="24">
    <w:abstractNumId w:val="2"/>
  </w:num>
  <w:num w:numId="25">
    <w:abstractNumId w:val="1"/>
  </w:num>
  <w:num w:numId="26">
    <w:abstractNumId w:val="3"/>
  </w:num>
  <w:num w:numId="27">
    <w:abstractNumId w:val="8"/>
  </w:num>
  <w:num w:numId="28">
    <w:abstractNumId w:val="8"/>
    <w:lvlOverride w:ilvl="0">
      <w:startOverride w:val="1"/>
    </w:lvlOverride>
  </w:num>
  <w:num w:numId="29">
    <w:abstractNumId w:val="21"/>
  </w:num>
  <w:num w:numId="30">
    <w:abstractNumId w:val="23"/>
  </w:num>
  <w:num w:numId="31">
    <w:abstractNumId w:val="27"/>
  </w:num>
  <w:num w:numId="32">
    <w:abstractNumId w:val="15"/>
  </w:num>
  <w:num w:numId="33">
    <w:abstractNumId w:val="26"/>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proofState w:spelling="clean" w:grammar="clean"/>
  <w:stylePaneFormatFilter w:val="1024"/>
  <w:defaultTabStop w:val="720"/>
  <w:drawingGridHorizontalSpacing w:val="110"/>
  <w:displayHorizontalDrawingGridEvery w:val="0"/>
  <w:displayVerticalDrawingGridEvery w:val="0"/>
  <w:noPunctuationKerning/>
  <w:characterSpacingControl w:val="doNotCompress"/>
  <w:hdrShapeDefaults>
    <o:shapedefaults v:ext="edit" spidmax="13317">
      <o:colormenu v:ext="edit" fillcolor="none" strokecolor="none"/>
    </o:shapedefaults>
    <o:shapelayout v:ext="edit">
      <o:idmap v:ext="edit" data="13"/>
    </o:shapelayout>
  </w:hdrShapeDefaults>
  <w:footnotePr>
    <w:footnote w:id="-1"/>
    <w:footnote w:id="0"/>
  </w:footnotePr>
  <w:endnotePr>
    <w:endnote w:id="-1"/>
    <w:endnote w:id="0"/>
  </w:endnotePr>
  <w:compat/>
  <w:rsids>
    <w:rsidRoot w:val="00C86A41"/>
    <w:rsid w:val="000043FB"/>
    <w:rsid w:val="00010776"/>
    <w:rsid w:val="00013C05"/>
    <w:rsid w:val="00015A86"/>
    <w:rsid w:val="00016298"/>
    <w:rsid w:val="00025493"/>
    <w:rsid w:val="00031F0C"/>
    <w:rsid w:val="00033027"/>
    <w:rsid w:val="000403F1"/>
    <w:rsid w:val="00045B03"/>
    <w:rsid w:val="00045CD2"/>
    <w:rsid w:val="00060262"/>
    <w:rsid w:val="00061A2C"/>
    <w:rsid w:val="00061FA9"/>
    <w:rsid w:val="000775EB"/>
    <w:rsid w:val="00086801"/>
    <w:rsid w:val="00095546"/>
    <w:rsid w:val="00096C17"/>
    <w:rsid w:val="000B50AA"/>
    <w:rsid w:val="000C6452"/>
    <w:rsid w:val="000D7181"/>
    <w:rsid w:val="000E21F5"/>
    <w:rsid w:val="000F3017"/>
    <w:rsid w:val="001031E4"/>
    <w:rsid w:val="00105F30"/>
    <w:rsid w:val="001105DF"/>
    <w:rsid w:val="00113501"/>
    <w:rsid w:val="00120110"/>
    <w:rsid w:val="00133DE8"/>
    <w:rsid w:val="001345DB"/>
    <w:rsid w:val="0016375A"/>
    <w:rsid w:val="00165AB5"/>
    <w:rsid w:val="00173954"/>
    <w:rsid w:val="001832F6"/>
    <w:rsid w:val="001836AF"/>
    <w:rsid w:val="001A0954"/>
    <w:rsid w:val="001A0C86"/>
    <w:rsid w:val="001A2271"/>
    <w:rsid w:val="001B0475"/>
    <w:rsid w:val="001B2F8B"/>
    <w:rsid w:val="001B3C8B"/>
    <w:rsid w:val="001C4099"/>
    <w:rsid w:val="001E2B0C"/>
    <w:rsid w:val="001E516E"/>
    <w:rsid w:val="001E6EFB"/>
    <w:rsid w:val="001F13DC"/>
    <w:rsid w:val="001F1A00"/>
    <w:rsid w:val="001F392F"/>
    <w:rsid w:val="001F62BE"/>
    <w:rsid w:val="001F62F5"/>
    <w:rsid w:val="00201922"/>
    <w:rsid w:val="00202AE0"/>
    <w:rsid w:val="00210065"/>
    <w:rsid w:val="00216C27"/>
    <w:rsid w:val="00233957"/>
    <w:rsid w:val="00234BC8"/>
    <w:rsid w:val="00235D43"/>
    <w:rsid w:val="00235FC7"/>
    <w:rsid w:val="00237A7C"/>
    <w:rsid w:val="002406DF"/>
    <w:rsid w:val="00252FF5"/>
    <w:rsid w:val="00253BA3"/>
    <w:rsid w:val="00257CEE"/>
    <w:rsid w:val="00266115"/>
    <w:rsid w:val="0027084F"/>
    <w:rsid w:val="00276859"/>
    <w:rsid w:val="00277808"/>
    <w:rsid w:val="002907DB"/>
    <w:rsid w:val="002A5A8C"/>
    <w:rsid w:val="002B01E0"/>
    <w:rsid w:val="002C4F7F"/>
    <w:rsid w:val="002D0080"/>
    <w:rsid w:val="002D3885"/>
    <w:rsid w:val="002D4A6C"/>
    <w:rsid w:val="002D5FBA"/>
    <w:rsid w:val="002E6351"/>
    <w:rsid w:val="003114F0"/>
    <w:rsid w:val="00316D11"/>
    <w:rsid w:val="003205EC"/>
    <w:rsid w:val="00323792"/>
    <w:rsid w:val="00327EFB"/>
    <w:rsid w:val="00330DA3"/>
    <w:rsid w:val="003321B1"/>
    <w:rsid w:val="0034082E"/>
    <w:rsid w:val="0034101C"/>
    <w:rsid w:val="00345ADC"/>
    <w:rsid w:val="00347813"/>
    <w:rsid w:val="003613EC"/>
    <w:rsid w:val="0036299D"/>
    <w:rsid w:val="00370955"/>
    <w:rsid w:val="00374D1C"/>
    <w:rsid w:val="00375B3E"/>
    <w:rsid w:val="00376B7A"/>
    <w:rsid w:val="003810B5"/>
    <w:rsid w:val="00397299"/>
    <w:rsid w:val="003B52FC"/>
    <w:rsid w:val="003C223C"/>
    <w:rsid w:val="003D11C0"/>
    <w:rsid w:val="003D40D2"/>
    <w:rsid w:val="003E551D"/>
    <w:rsid w:val="003E5DAB"/>
    <w:rsid w:val="003F7B06"/>
    <w:rsid w:val="0040260B"/>
    <w:rsid w:val="00406326"/>
    <w:rsid w:val="004139EE"/>
    <w:rsid w:val="00416BE5"/>
    <w:rsid w:val="00426032"/>
    <w:rsid w:val="0045585F"/>
    <w:rsid w:val="00463FF8"/>
    <w:rsid w:val="00474E81"/>
    <w:rsid w:val="004758DC"/>
    <w:rsid w:val="00476FA2"/>
    <w:rsid w:val="00482C62"/>
    <w:rsid w:val="0048329A"/>
    <w:rsid w:val="0048533A"/>
    <w:rsid w:val="00491485"/>
    <w:rsid w:val="00491FE6"/>
    <w:rsid w:val="0049310A"/>
    <w:rsid w:val="00497236"/>
    <w:rsid w:val="004A0A15"/>
    <w:rsid w:val="004A67C3"/>
    <w:rsid w:val="004B1948"/>
    <w:rsid w:val="004B1C4B"/>
    <w:rsid w:val="004B23CE"/>
    <w:rsid w:val="004C3CBF"/>
    <w:rsid w:val="004C6A67"/>
    <w:rsid w:val="004D6730"/>
    <w:rsid w:val="004E129B"/>
    <w:rsid w:val="004E3FFE"/>
    <w:rsid w:val="005048D7"/>
    <w:rsid w:val="005071A6"/>
    <w:rsid w:val="00513B49"/>
    <w:rsid w:val="00534ADF"/>
    <w:rsid w:val="0054233A"/>
    <w:rsid w:val="0056568D"/>
    <w:rsid w:val="00595649"/>
    <w:rsid w:val="005A436D"/>
    <w:rsid w:val="005A6507"/>
    <w:rsid w:val="005B1403"/>
    <w:rsid w:val="005B4C95"/>
    <w:rsid w:val="005B69AF"/>
    <w:rsid w:val="005C661F"/>
    <w:rsid w:val="005D0496"/>
    <w:rsid w:val="005D12B7"/>
    <w:rsid w:val="005D1DA9"/>
    <w:rsid w:val="005D2CB4"/>
    <w:rsid w:val="005E0C11"/>
    <w:rsid w:val="005F4220"/>
    <w:rsid w:val="00602AAE"/>
    <w:rsid w:val="0061026F"/>
    <w:rsid w:val="00621C45"/>
    <w:rsid w:val="00625BC0"/>
    <w:rsid w:val="00627AA6"/>
    <w:rsid w:val="006407B1"/>
    <w:rsid w:val="00651E39"/>
    <w:rsid w:val="00660D25"/>
    <w:rsid w:val="006611F7"/>
    <w:rsid w:val="00662539"/>
    <w:rsid w:val="006669E1"/>
    <w:rsid w:val="006754E5"/>
    <w:rsid w:val="00675A7C"/>
    <w:rsid w:val="00683ECD"/>
    <w:rsid w:val="00687548"/>
    <w:rsid w:val="00691804"/>
    <w:rsid w:val="006A0F5A"/>
    <w:rsid w:val="006A155A"/>
    <w:rsid w:val="006A63F0"/>
    <w:rsid w:val="006B21FC"/>
    <w:rsid w:val="006B357E"/>
    <w:rsid w:val="006C0AC1"/>
    <w:rsid w:val="006C51DC"/>
    <w:rsid w:val="006D488C"/>
    <w:rsid w:val="006D67B5"/>
    <w:rsid w:val="006D71A1"/>
    <w:rsid w:val="006E5E79"/>
    <w:rsid w:val="006E6C23"/>
    <w:rsid w:val="006F73A7"/>
    <w:rsid w:val="00700BDE"/>
    <w:rsid w:val="00723AD9"/>
    <w:rsid w:val="00732A67"/>
    <w:rsid w:val="00740E86"/>
    <w:rsid w:val="00760BB6"/>
    <w:rsid w:val="0076381F"/>
    <w:rsid w:val="00765EE9"/>
    <w:rsid w:val="00770288"/>
    <w:rsid w:val="007732FF"/>
    <w:rsid w:val="00774A1E"/>
    <w:rsid w:val="00777443"/>
    <w:rsid w:val="00782507"/>
    <w:rsid w:val="00785BE7"/>
    <w:rsid w:val="00790177"/>
    <w:rsid w:val="00790346"/>
    <w:rsid w:val="007903EE"/>
    <w:rsid w:val="00794B22"/>
    <w:rsid w:val="007978A4"/>
    <w:rsid w:val="007A09FF"/>
    <w:rsid w:val="007A0ACF"/>
    <w:rsid w:val="007A5B84"/>
    <w:rsid w:val="007B21FA"/>
    <w:rsid w:val="007B5BC0"/>
    <w:rsid w:val="007C2E37"/>
    <w:rsid w:val="007D27CE"/>
    <w:rsid w:val="007E47F7"/>
    <w:rsid w:val="007E7D8B"/>
    <w:rsid w:val="007F2F40"/>
    <w:rsid w:val="007F3941"/>
    <w:rsid w:val="00805180"/>
    <w:rsid w:val="008055B0"/>
    <w:rsid w:val="00807A9A"/>
    <w:rsid w:val="008145AA"/>
    <w:rsid w:val="00820BC2"/>
    <w:rsid w:val="0082240B"/>
    <w:rsid w:val="0082408D"/>
    <w:rsid w:val="008313E2"/>
    <w:rsid w:val="00835A93"/>
    <w:rsid w:val="00840C76"/>
    <w:rsid w:val="0084494A"/>
    <w:rsid w:val="00847F40"/>
    <w:rsid w:val="00851472"/>
    <w:rsid w:val="0085179F"/>
    <w:rsid w:val="00852BCA"/>
    <w:rsid w:val="00861C26"/>
    <w:rsid w:val="00876C83"/>
    <w:rsid w:val="00877D62"/>
    <w:rsid w:val="008803AA"/>
    <w:rsid w:val="00882B0C"/>
    <w:rsid w:val="00882B2F"/>
    <w:rsid w:val="00894A00"/>
    <w:rsid w:val="00894C65"/>
    <w:rsid w:val="008A68FD"/>
    <w:rsid w:val="008C34BB"/>
    <w:rsid w:val="008E2C63"/>
    <w:rsid w:val="008F07DF"/>
    <w:rsid w:val="008F1C8A"/>
    <w:rsid w:val="008F1EE5"/>
    <w:rsid w:val="00901524"/>
    <w:rsid w:val="00902394"/>
    <w:rsid w:val="0090622C"/>
    <w:rsid w:val="00907C3D"/>
    <w:rsid w:val="00914DBD"/>
    <w:rsid w:val="0092079F"/>
    <w:rsid w:val="009209D2"/>
    <w:rsid w:val="00926613"/>
    <w:rsid w:val="00927FF3"/>
    <w:rsid w:val="00932CA4"/>
    <w:rsid w:val="00941A58"/>
    <w:rsid w:val="00952392"/>
    <w:rsid w:val="0095262B"/>
    <w:rsid w:val="00954309"/>
    <w:rsid w:val="00960245"/>
    <w:rsid w:val="00960DD9"/>
    <w:rsid w:val="0096155C"/>
    <w:rsid w:val="00963A77"/>
    <w:rsid w:val="0097078B"/>
    <w:rsid w:val="0098778C"/>
    <w:rsid w:val="0099073D"/>
    <w:rsid w:val="00991B37"/>
    <w:rsid w:val="0099223F"/>
    <w:rsid w:val="00994C3B"/>
    <w:rsid w:val="00995253"/>
    <w:rsid w:val="009B300F"/>
    <w:rsid w:val="009C5A83"/>
    <w:rsid w:val="009D014E"/>
    <w:rsid w:val="009D19E6"/>
    <w:rsid w:val="009E1B78"/>
    <w:rsid w:val="009E250E"/>
    <w:rsid w:val="009E5C20"/>
    <w:rsid w:val="009E7EE4"/>
    <w:rsid w:val="009F138C"/>
    <w:rsid w:val="009F7FCC"/>
    <w:rsid w:val="00A02998"/>
    <w:rsid w:val="00A06413"/>
    <w:rsid w:val="00A06FBD"/>
    <w:rsid w:val="00A10916"/>
    <w:rsid w:val="00A167C9"/>
    <w:rsid w:val="00A176EC"/>
    <w:rsid w:val="00A36135"/>
    <w:rsid w:val="00A46055"/>
    <w:rsid w:val="00A5697B"/>
    <w:rsid w:val="00A56F92"/>
    <w:rsid w:val="00A64DC8"/>
    <w:rsid w:val="00A676BC"/>
    <w:rsid w:val="00A70104"/>
    <w:rsid w:val="00A772E4"/>
    <w:rsid w:val="00AB143D"/>
    <w:rsid w:val="00AC212D"/>
    <w:rsid w:val="00AC3070"/>
    <w:rsid w:val="00AD0B0A"/>
    <w:rsid w:val="00AD2A77"/>
    <w:rsid w:val="00AD68CD"/>
    <w:rsid w:val="00AE6B19"/>
    <w:rsid w:val="00B02AAE"/>
    <w:rsid w:val="00B04BAC"/>
    <w:rsid w:val="00B05F21"/>
    <w:rsid w:val="00B10AB2"/>
    <w:rsid w:val="00B12E83"/>
    <w:rsid w:val="00B13032"/>
    <w:rsid w:val="00B2162F"/>
    <w:rsid w:val="00B22DD2"/>
    <w:rsid w:val="00B35B37"/>
    <w:rsid w:val="00B42E5D"/>
    <w:rsid w:val="00B5193C"/>
    <w:rsid w:val="00B52171"/>
    <w:rsid w:val="00B74588"/>
    <w:rsid w:val="00B76938"/>
    <w:rsid w:val="00BA2562"/>
    <w:rsid w:val="00BA4955"/>
    <w:rsid w:val="00BA4A2A"/>
    <w:rsid w:val="00BB2D37"/>
    <w:rsid w:val="00BB3CB3"/>
    <w:rsid w:val="00BD1A56"/>
    <w:rsid w:val="00C1271B"/>
    <w:rsid w:val="00C14ECB"/>
    <w:rsid w:val="00C251B2"/>
    <w:rsid w:val="00C40D38"/>
    <w:rsid w:val="00C41D9F"/>
    <w:rsid w:val="00C441EE"/>
    <w:rsid w:val="00C63BF4"/>
    <w:rsid w:val="00C7792A"/>
    <w:rsid w:val="00C82389"/>
    <w:rsid w:val="00C86A41"/>
    <w:rsid w:val="00C902F8"/>
    <w:rsid w:val="00C9108D"/>
    <w:rsid w:val="00C94DB3"/>
    <w:rsid w:val="00CA2837"/>
    <w:rsid w:val="00CB7F0E"/>
    <w:rsid w:val="00CC29D1"/>
    <w:rsid w:val="00CC43FC"/>
    <w:rsid w:val="00CC5C94"/>
    <w:rsid w:val="00CD5BF2"/>
    <w:rsid w:val="00CE5DBD"/>
    <w:rsid w:val="00CF3E5C"/>
    <w:rsid w:val="00D00E6F"/>
    <w:rsid w:val="00D01EA2"/>
    <w:rsid w:val="00D0298F"/>
    <w:rsid w:val="00D05DE7"/>
    <w:rsid w:val="00D11024"/>
    <w:rsid w:val="00D144B5"/>
    <w:rsid w:val="00D32990"/>
    <w:rsid w:val="00D3351B"/>
    <w:rsid w:val="00D33A28"/>
    <w:rsid w:val="00D36862"/>
    <w:rsid w:val="00D41FB7"/>
    <w:rsid w:val="00D46678"/>
    <w:rsid w:val="00D5047A"/>
    <w:rsid w:val="00D63FF9"/>
    <w:rsid w:val="00D65A13"/>
    <w:rsid w:val="00D80384"/>
    <w:rsid w:val="00D81033"/>
    <w:rsid w:val="00D82026"/>
    <w:rsid w:val="00DA5F10"/>
    <w:rsid w:val="00DA760C"/>
    <w:rsid w:val="00DC009C"/>
    <w:rsid w:val="00DC2D70"/>
    <w:rsid w:val="00DC3D96"/>
    <w:rsid w:val="00DD2019"/>
    <w:rsid w:val="00DD354B"/>
    <w:rsid w:val="00DD43EB"/>
    <w:rsid w:val="00DE13D9"/>
    <w:rsid w:val="00DE4442"/>
    <w:rsid w:val="00DE4ED9"/>
    <w:rsid w:val="00DF6B9C"/>
    <w:rsid w:val="00E11300"/>
    <w:rsid w:val="00E16372"/>
    <w:rsid w:val="00E25F60"/>
    <w:rsid w:val="00E301F5"/>
    <w:rsid w:val="00E31434"/>
    <w:rsid w:val="00E52107"/>
    <w:rsid w:val="00E54ABA"/>
    <w:rsid w:val="00E5788B"/>
    <w:rsid w:val="00E65B67"/>
    <w:rsid w:val="00E668FE"/>
    <w:rsid w:val="00E67214"/>
    <w:rsid w:val="00E75244"/>
    <w:rsid w:val="00E84075"/>
    <w:rsid w:val="00E92502"/>
    <w:rsid w:val="00E935A2"/>
    <w:rsid w:val="00E96835"/>
    <w:rsid w:val="00E97365"/>
    <w:rsid w:val="00EA0915"/>
    <w:rsid w:val="00EA3B0F"/>
    <w:rsid w:val="00ED15AE"/>
    <w:rsid w:val="00EE00DE"/>
    <w:rsid w:val="00EE2673"/>
    <w:rsid w:val="00EF28CF"/>
    <w:rsid w:val="00EF299E"/>
    <w:rsid w:val="00F01C11"/>
    <w:rsid w:val="00F025D5"/>
    <w:rsid w:val="00F03D6C"/>
    <w:rsid w:val="00F041B1"/>
    <w:rsid w:val="00F07625"/>
    <w:rsid w:val="00F2301B"/>
    <w:rsid w:val="00F33515"/>
    <w:rsid w:val="00F370CD"/>
    <w:rsid w:val="00F50393"/>
    <w:rsid w:val="00F5403F"/>
    <w:rsid w:val="00FA0424"/>
    <w:rsid w:val="00FB1CF6"/>
    <w:rsid w:val="00FB69A0"/>
    <w:rsid w:val="00FC36B3"/>
    <w:rsid w:val="00FC5064"/>
    <w:rsid w:val="00FD7BDF"/>
    <w:rsid w:val="00FF285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7">
      <o:colormenu v:ext="edit" fillcolor="none"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AU" w:eastAsia="en-AU" w:bidi="ar-SA"/>
      </w:rPr>
    </w:rPrDefault>
    <w:pPrDefault>
      <w:pPr>
        <w:spacing w:after="57" w:line="260" w:lineRule="atLeast"/>
        <w:ind w:left="284" w:hanging="284"/>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uiPriority="9"/>
    <w:lsdException w:name="heading 5" w:uiPriority="9" w:unhideWhenUsed="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unhideWhenUsed="1"/>
    <w:lsdException w:name="caption" w:uiPriority="35" w:qFormat="1"/>
    <w:lsdException w:name="page number" w:semiHidden="0" w:qFormat="1"/>
    <w:lsdException w:name="List" w:qFormat="1"/>
    <w:lsdException w:name="List Bullet" w:semiHidden="0" w:uiPriority="0" w:qFormat="1"/>
    <w:lsdException w:name="List Number" w:semiHidden="0" w:uiPriority="0" w:qFormat="1"/>
    <w:lsdException w:name="List Bullet 2" w:semiHidden="0" w:uiPriority="0"/>
    <w:lsdException w:name="List Bullet 3" w:semiHidden="0" w:uiPriority="0"/>
    <w:lsdException w:name="List Bullet 4" w:semiHidden="0" w:uiPriority="0"/>
    <w:lsdException w:name="List Bullet 5" w:semiHidden="0" w:uiPriority="0"/>
    <w:lsdException w:name="List Number 2" w:semiHidden="0" w:uiPriority="0"/>
    <w:lsdException w:name="List Number 3" w:semiHidden="0" w:uiPriority="0"/>
    <w:lsdException w:name="List Number 4" w:semiHidden="0" w:uiPriority="0"/>
    <w:lsdException w:name="List Number 5" w:semiHidden="0" w:uiPriority="0"/>
    <w:lsdException w:name="Title" w:semiHidden="0" w:uiPriority="2"/>
    <w:lsdException w:name="Default Paragraph Font" w:uiPriority="1" w:unhideWhenUsed="1"/>
    <w:lsdException w:name="Body Text" w:uiPriority="0"/>
    <w:lsdException w:name="Subtitle" w:semiHidden="0" w:uiPriority="2"/>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0"/>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rsid w:val="00F07625"/>
    <w:pPr>
      <w:spacing w:after="180" w:line="260" w:lineRule="exact"/>
      <w:ind w:left="0" w:firstLine="0"/>
    </w:pPr>
    <w:rPr>
      <w:rFonts w:asciiTheme="minorHAnsi" w:hAnsiTheme="minorHAnsi"/>
      <w:sz w:val="22"/>
      <w:szCs w:val="24"/>
      <w:lang w:eastAsia="en-US"/>
    </w:rPr>
  </w:style>
  <w:style w:type="paragraph" w:styleId="Heading1">
    <w:name w:val="heading 1"/>
    <w:next w:val="Bodytext"/>
    <w:qFormat/>
    <w:rsid w:val="00785BE7"/>
    <w:pPr>
      <w:keepNext/>
      <w:spacing w:after="0" w:line="240" w:lineRule="auto"/>
      <w:ind w:left="0" w:firstLine="0"/>
      <w:outlineLvl w:val="0"/>
    </w:pPr>
    <w:rPr>
      <w:rFonts w:asciiTheme="majorHAnsi" w:hAnsiTheme="majorHAnsi"/>
      <w:color w:val="FFFFFF" w:themeColor="background1"/>
      <w:spacing w:val="-10"/>
      <w:kern w:val="32"/>
      <w:sz w:val="42"/>
      <w:szCs w:val="32"/>
      <w:lang w:val="en-US" w:eastAsia="en-US"/>
    </w:rPr>
  </w:style>
  <w:style w:type="paragraph" w:styleId="Heading2">
    <w:name w:val="heading 2"/>
    <w:next w:val="Bodytext"/>
    <w:qFormat/>
    <w:rsid w:val="00785BE7"/>
    <w:pPr>
      <w:spacing w:after="120" w:line="240" w:lineRule="auto"/>
      <w:outlineLvl w:val="1"/>
    </w:pPr>
    <w:rPr>
      <w:rFonts w:asciiTheme="majorHAnsi" w:hAnsiTheme="majorHAnsi"/>
      <w:b/>
      <w:spacing w:val="-6"/>
      <w:sz w:val="26"/>
      <w:szCs w:val="26"/>
      <w:lang w:eastAsia="en-US"/>
    </w:rPr>
  </w:style>
  <w:style w:type="paragraph" w:styleId="Heading3">
    <w:name w:val="heading 3"/>
    <w:next w:val="Bodytext"/>
    <w:qFormat/>
    <w:rsid w:val="006D67B5"/>
    <w:pPr>
      <w:spacing w:before="200" w:after="0" w:line="240" w:lineRule="auto"/>
      <w:ind w:left="0" w:firstLine="0"/>
      <w:outlineLvl w:val="2"/>
    </w:pPr>
    <w:rPr>
      <w:rFonts w:asciiTheme="majorHAnsi" w:hAnsiTheme="majorHAnsi"/>
      <w:b/>
      <w:color w:val="005A77"/>
      <w:spacing w:val="-6"/>
      <w:sz w:val="22"/>
      <w:szCs w:val="26"/>
      <w:lang w:eastAsia="en-US"/>
    </w:rPr>
  </w:style>
  <w:style w:type="paragraph" w:styleId="Heading4">
    <w:name w:val="heading 4"/>
    <w:basedOn w:val="Normal"/>
    <w:next w:val="Heading3"/>
    <w:link w:val="Heading4Char"/>
    <w:uiPriority w:val="9"/>
    <w:rsid w:val="00AE6B19"/>
    <w:pPr>
      <w:keepNext/>
      <w:keepLines/>
      <w:spacing w:before="200"/>
      <w:outlineLvl w:val="3"/>
    </w:pPr>
    <w:rPr>
      <w:rFonts w:asciiTheme="majorHAnsi" w:eastAsiaTheme="majorEastAsia" w:hAnsiTheme="majorHAnsi" w:cstheme="majorBidi"/>
      <w:b/>
      <w:bCs/>
      <w:i/>
      <w:iCs/>
      <w:color w:val="004220" w:themeColor="accent4" w:themeShade="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erbox">
    <w:name w:val="After box"/>
    <w:next w:val="Bodytext"/>
    <w:rsid w:val="00AE6B19"/>
    <w:pPr>
      <w:spacing w:line="113" w:lineRule="exact"/>
      <w:ind w:left="0" w:firstLine="0"/>
    </w:pPr>
    <w:rPr>
      <w:rFonts w:asciiTheme="minorHAnsi" w:hAnsiTheme="minorHAnsi"/>
      <w:sz w:val="2"/>
      <w:szCs w:val="24"/>
      <w:lang w:eastAsia="en-US"/>
    </w:rPr>
  </w:style>
  <w:style w:type="paragraph" w:customStyle="1" w:styleId="Bodytextbeforebullets">
    <w:name w:val="Body text (before bullets)"/>
    <w:basedOn w:val="Bodytext"/>
    <w:rsid w:val="00AE6B19"/>
    <w:pPr>
      <w:spacing w:after="57"/>
    </w:pPr>
  </w:style>
  <w:style w:type="paragraph" w:customStyle="1" w:styleId="Bodytext">
    <w:name w:val="Body text"/>
    <w:basedOn w:val="Normal"/>
    <w:qFormat/>
    <w:rsid w:val="00513B49"/>
    <w:pPr>
      <w:spacing w:after="120" w:line="240" w:lineRule="auto"/>
    </w:pPr>
  </w:style>
  <w:style w:type="paragraph" w:customStyle="1" w:styleId="Bullets1stindent">
    <w:name w:val="Bullets (1st indent)"/>
    <w:basedOn w:val="Bodytext"/>
    <w:rsid w:val="0099073D"/>
    <w:pPr>
      <w:numPr>
        <w:numId w:val="6"/>
      </w:numPr>
    </w:pPr>
  </w:style>
  <w:style w:type="paragraph" w:customStyle="1" w:styleId="Bullets2ndindent">
    <w:name w:val="Bullets (2nd indent)"/>
    <w:basedOn w:val="Bodytext"/>
    <w:rsid w:val="008F1C8A"/>
    <w:pPr>
      <w:numPr>
        <w:ilvl w:val="1"/>
        <w:numId w:val="6"/>
      </w:numPr>
    </w:pPr>
  </w:style>
  <w:style w:type="numbering" w:customStyle="1" w:styleId="Bullets">
    <w:name w:val="Bullets"/>
    <w:basedOn w:val="NoList"/>
    <w:uiPriority w:val="99"/>
    <w:rsid w:val="00AE6B19"/>
    <w:pPr>
      <w:numPr>
        <w:numId w:val="6"/>
      </w:numPr>
    </w:pPr>
  </w:style>
  <w:style w:type="paragraph" w:customStyle="1" w:styleId="Figuretitle">
    <w:name w:val="Figure title"/>
    <w:basedOn w:val="Heading2"/>
    <w:next w:val="Bodytext"/>
    <w:rsid w:val="00AE6B19"/>
    <w:pPr>
      <w:numPr>
        <w:ilvl w:val="6"/>
        <w:numId w:val="4"/>
      </w:numPr>
    </w:pPr>
    <w:rPr>
      <w:rFonts w:ascii="Arial" w:hAnsi="Arial"/>
      <w:szCs w:val="24"/>
    </w:rPr>
  </w:style>
  <w:style w:type="paragraph" w:customStyle="1" w:styleId="Footertext">
    <w:name w:val="Footer text"/>
    <w:semiHidden/>
    <w:rsid w:val="00AE6B19"/>
    <w:pPr>
      <w:framePr w:hSpace="181" w:wrap="around" w:vAnchor="text" w:hAnchor="page" w:x="11228" w:y="1"/>
      <w:spacing w:after="0" w:line="200" w:lineRule="atLeast"/>
      <w:ind w:left="0" w:right="113" w:firstLine="0"/>
      <w:suppressOverlap/>
    </w:pPr>
    <w:rPr>
      <w:rFonts w:asciiTheme="majorHAnsi" w:hAnsiTheme="majorHAnsi" w:cstheme="majorHAnsi"/>
      <w:sz w:val="16"/>
      <w:szCs w:val="24"/>
      <w:lang w:eastAsia="en-US"/>
    </w:rPr>
  </w:style>
  <w:style w:type="paragraph" w:customStyle="1" w:styleId="Footnote">
    <w:name w:val="Footnote"/>
    <w:rsid w:val="00AE6B19"/>
    <w:pPr>
      <w:spacing w:before="85" w:after="85" w:line="160" w:lineRule="atLeast"/>
      <w:ind w:left="0" w:firstLine="0"/>
    </w:pPr>
    <w:rPr>
      <w:rFonts w:ascii="Arial" w:hAnsi="Arial" w:cs="Arial"/>
      <w:i/>
      <w:sz w:val="12"/>
      <w:szCs w:val="12"/>
      <w:lang w:eastAsia="en-US"/>
    </w:rPr>
  </w:style>
  <w:style w:type="paragraph" w:customStyle="1" w:styleId="Bulletslast1stindent">
    <w:name w:val="Bullets last (1st indent)"/>
    <w:basedOn w:val="Bodytext"/>
    <w:rsid w:val="00AE6B19"/>
    <w:pPr>
      <w:numPr>
        <w:ilvl w:val="2"/>
        <w:numId w:val="6"/>
      </w:numPr>
    </w:pPr>
  </w:style>
  <w:style w:type="numbering" w:customStyle="1" w:styleId="Numbers">
    <w:name w:val="Numbers"/>
    <w:basedOn w:val="NoList"/>
    <w:rsid w:val="00AE6B19"/>
    <w:pPr>
      <w:numPr>
        <w:numId w:val="4"/>
      </w:numPr>
    </w:pPr>
  </w:style>
  <w:style w:type="paragraph" w:customStyle="1" w:styleId="Bulletslast2ndindent">
    <w:name w:val="Bullets last (2nd indent)"/>
    <w:basedOn w:val="Bodytext"/>
    <w:rsid w:val="00AE6B19"/>
    <w:pPr>
      <w:numPr>
        <w:ilvl w:val="3"/>
        <w:numId w:val="6"/>
      </w:numPr>
      <w:spacing w:after="57"/>
    </w:pPr>
  </w:style>
  <w:style w:type="paragraph" w:styleId="Subtitle">
    <w:name w:val="Subtitle"/>
    <w:basedOn w:val="Title"/>
    <w:uiPriority w:val="2"/>
    <w:rsid w:val="00AE6B19"/>
    <w:pPr>
      <w:spacing w:before="200" w:line="300" w:lineRule="atLeast"/>
    </w:pPr>
    <w:rPr>
      <w:color w:val="FFFFFF"/>
      <w:sz w:val="24"/>
    </w:rPr>
  </w:style>
  <w:style w:type="paragraph" w:customStyle="1" w:styleId="Tablebodytext">
    <w:name w:val="Table body text"/>
    <w:qFormat/>
    <w:rsid w:val="00AE6B19"/>
    <w:pPr>
      <w:spacing w:before="57" w:line="220" w:lineRule="atLeast"/>
      <w:ind w:left="96" w:right="96" w:firstLine="0"/>
    </w:pPr>
    <w:rPr>
      <w:rFonts w:asciiTheme="majorHAnsi" w:hAnsiTheme="majorHAnsi"/>
      <w:sz w:val="17"/>
      <w:szCs w:val="24"/>
      <w:lang w:eastAsia="en-US"/>
    </w:rPr>
  </w:style>
  <w:style w:type="paragraph" w:customStyle="1" w:styleId="Tablebullets2ndindent">
    <w:name w:val="Table bullets (2nd indent)"/>
    <w:basedOn w:val="Tablebodytext"/>
    <w:qFormat/>
    <w:rsid w:val="00AE6B19"/>
    <w:pPr>
      <w:numPr>
        <w:ilvl w:val="6"/>
        <w:numId w:val="6"/>
      </w:numPr>
    </w:pPr>
  </w:style>
  <w:style w:type="paragraph" w:customStyle="1" w:styleId="Tablebullets1stindent">
    <w:name w:val="Table bullets (1st indent)"/>
    <w:basedOn w:val="Tablebodytext"/>
    <w:qFormat/>
    <w:rsid w:val="00AE6B19"/>
    <w:pPr>
      <w:numPr>
        <w:ilvl w:val="5"/>
        <w:numId w:val="6"/>
      </w:numPr>
    </w:pPr>
  </w:style>
  <w:style w:type="paragraph" w:customStyle="1" w:styleId="Tablecolumnheading">
    <w:name w:val="Table column heading"/>
    <w:basedOn w:val="Tablebodytext"/>
    <w:qFormat/>
    <w:rsid w:val="00AE6B19"/>
    <w:pPr>
      <w:keepNext/>
    </w:pPr>
    <w:rPr>
      <w:rFonts w:ascii="Arial" w:hAnsi="Arial"/>
      <w:b/>
    </w:rPr>
  </w:style>
  <w:style w:type="paragraph" w:customStyle="1" w:styleId="Title2">
    <w:name w:val="Title 2"/>
    <w:basedOn w:val="Title"/>
    <w:uiPriority w:val="2"/>
    <w:semiHidden/>
    <w:rsid w:val="00AE6B19"/>
  </w:style>
  <w:style w:type="paragraph" w:customStyle="1" w:styleId="Tabletitle">
    <w:name w:val="Table title"/>
    <w:basedOn w:val="Heading2"/>
    <w:next w:val="Bodytext"/>
    <w:rsid w:val="00AE6B19"/>
    <w:pPr>
      <w:numPr>
        <w:ilvl w:val="8"/>
        <w:numId w:val="4"/>
      </w:numPr>
    </w:pPr>
    <w:rPr>
      <w:rFonts w:ascii="Arial" w:hAnsi="Arial"/>
      <w:szCs w:val="24"/>
    </w:rPr>
  </w:style>
  <w:style w:type="paragraph" w:styleId="Title">
    <w:name w:val="Title"/>
    <w:uiPriority w:val="2"/>
    <w:rsid w:val="00AE6B19"/>
    <w:pPr>
      <w:spacing w:after="0" w:line="520" w:lineRule="atLeast"/>
      <w:ind w:left="0" w:firstLine="0"/>
      <w:outlineLvl w:val="0"/>
    </w:pPr>
    <w:rPr>
      <w:rFonts w:asciiTheme="majorHAnsi" w:hAnsiTheme="majorHAnsi"/>
      <w:color w:val="9FDBEB"/>
      <w:kern w:val="28"/>
      <w:sz w:val="48"/>
      <w:szCs w:val="32"/>
      <w:lang w:eastAsia="en-US"/>
    </w:rPr>
  </w:style>
  <w:style w:type="paragraph" w:customStyle="1" w:styleId="Boxheading">
    <w:name w:val="Box heading"/>
    <w:next w:val="Bodytext"/>
    <w:uiPriority w:val="1"/>
    <w:rsid w:val="00AE6B19"/>
    <w:pPr>
      <w:spacing w:after="0" w:line="240" w:lineRule="atLeast"/>
      <w:ind w:left="0" w:firstLine="0"/>
    </w:pPr>
    <w:rPr>
      <w:rFonts w:asciiTheme="majorHAnsi" w:hAnsiTheme="majorHAnsi"/>
      <w:b/>
      <w:color w:val="37424A" w:themeColor="text2"/>
      <w:sz w:val="22"/>
      <w:szCs w:val="24"/>
      <w:lang w:eastAsia="en-US"/>
    </w:rPr>
  </w:style>
  <w:style w:type="paragraph" w:styleId="Footer">
    <w:name w:val="footer"/>
    <w:basedOn w:val="Normal"/>
    <w:link w:val="FooterChar"/>
    <w:uiPriority w:val="99"/>
    <w:rsid w:val="00AE6B19"/>
    <w:pPr>
      <w:tabs>
        <w:tab w:val="center" w:pos="4320"/>
        <w:tab w:val="right" w:pos="8640"/>
      </w:tabs>
    </w:pPr>
  </w:style>
  <w:style w:type="table" w:styleId="TableGrid">
    <w:name w:val="Table Grid"/>
    <w:basedOn w:val="TableNormal"/>
    <w:rsid w:val="00AE6B19"/>
    <w:rPr>
      <w:rFonts w:ascii="Arial" w:hAnsi="Arial"/>
    </w:rPr>
    <w:tblPr>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rsid w:val="00AE6B19"/>
    <w:rPr>
      <w:rFonts w:ascii="Tahoma" w:hAnsi="Tahoma" w:cs="Tahoma"/>
      <w:sz w:val="16"/>
      <w:szCs w:val="16"/>
    </w:rPr>
  </w:style>
  <w:style w:type="character" w:customStyle="1" w:styleId="BalloonTextChar">
    <w:name w:val="Balloon Text Char"/>
    <w:basedOn w:val="DefaultParagraphFont"/>
    <w:link w:val="BalloonText"/>
    <w:uiPriority w:val="99"/>
    <w:semiHidden/>
    <w:rsid w:val="00AE6B19"/>
    <w:rPr>
      <w:rFonts w:ascii="Tahoma" w:hAnsi="Tahoma" w:cs="Tahoma"/>
      <w:sz w:val="16"/>
      <w:szCs w:val="16"/>
      <w:lang w:eastAsia="en-US"/>
    </w:rPr>
  </w:style>
  <w:style w:type="paragraph" w:styleId="Header">
    <w:name w:val="header"/>
    <w:basedOn w:val="Normal"/>
    <w:link w:val="HeaderChar"/>
    <w:uiPriority w:val="99"/>
    <w:semiHidden/>
    <w:rsid w:val="00AE6B19"/>
    <w:pPr>
      <w:tabs>
        <w:tab w:val="center" w:pos="4680"/>
        <w:tab w:val="right" w:pos="9360"/>
      </w:tabs>
    </w:pPr>
  </w:style>
  <w:style w:type="character" w:customStyle="1" w:styleId="HeaderChar">
    <w:name w:val="Header Char"/>
    <w:basedOn w:val="DefaultParagraphFont"/>
    <w:link w:val="Header"/>
    <w:uiPriority w:val="99"/>
    <w:semiHidden/>
    <w:rsid w:val="00AE6B19"/>
    <w:rPr>
      <w:rFonts w:asciiTheme="minorHAnsi" w:hAnsiTheme="minorHAnsi"/>
      <w:szCs w:val="24"/>
      <w:lang w:eastAsia="en-US"/>
    </w:rPr>
  </w:style>
  <w:style w:type="paragraph" w:customStyle="1" w:styleId="Subtitle2">
    <w:name w:val="Subtitle 2"/>
    <w:uiPriority w:val="2"/>
    <w:rsid w:val="00AE6B19"/>
    <w:pPr>
      <w:spacing w:before="200" w:after="0" w:line="240" w:lineRule="auto"/>
      <w:ind w:left="0" w:firstLine="0"/>
      <w:contextualSpacing/>
    </w:pPr>
    <w:rPr>
      <w:rFonts w:asciiTheme="majorHAnsi" w:hAnsiTheme="majorHAnsi"/>
      <w:caps/>
      <w:color w:val="1C2735"/>
      <w:kern w:val="28"/>
      <w:sz w:val="22"/>
      <w:szCs w:val="32"/>
      <w:lang w:eastAsia="en-US"/>
    </w:rPr>
  </w:style>
  <w:style w:type="character" w:customStyle="1" w:styleId="Blue">
    <w:name w:val="Blue"/>
    <w:basedOn w:val="DefaultParagraphFont"/>
    <w:semiHidden/>
    <w:qFormat/>
    <w:rsid w:val="00AE6B19"/>
    <w:rPr>
      <w:color w:val="5BC6E8" w:themeColor="accent1"/>
    </w:rPr>
  </w:style>
  <w:style w:type="paragraph" w:customStyle="1" w:styleId="Subheading">
    <w:name w:val="Subheading"/>
    <w:next w:val="Bodytext"/>
    <w:qFormat/>
    <w:rsid w:val="00785BE7"/>
    <w:pPr>
      <w:spacing w:before="284" w:after="0" w:line="240" w:lineRule="auto"/>
    </w:pPr>
    <w:rPr>
      <w:rFonts w:asciiTheme="majorHAnsi" w:hAnsiTheme="majorHAnsi"/>
      <w:color w:val="FFFFFF" w:themeColor="background1"/>
      <w:spacing w:val="-6"/>
      <w:sz w:val="24"/>
      <w:szCs w:val="28"/>
      <w:lang w:val="en-US" w:eastAsia="en-US"/>
    </w:rPr>
  </w:style>
  <w:style w:type="paragraph" w:customStyle="1" w:styleId="Boxtext">
    <w:name w:val="Box text"/>
    <w:basedOn w:val="Tablebodytext"/>
    <w:uiPriority w:val="1"/>
    <w:rsid w:val="00AE6B19"/>
    <w:pPr>
      <w:ind w:left="0" w:right="0"/>
    </w:pPr>
    <w:rPr>
      <w:color w:val="37424A" w:themeColor="text2"/>
    </w:rPr>
  </w:style>
  <w:style w:type="paragraph" w:styleId="Quote">
    <w:name w:val="Quote"/>
    <w:aliases w:val="Quote/emphasis"/>
    <w:link w:val="QuoteChar"/>
    <w:rsid w:val="001A0954"/>
    <w:pPr>
      <w:spacing w:before="170" w:after="170"/>
      <w:ind w:left="0" w:firstLine="0"/>
    </w:pPr>
    <w:rPr>
      <w:rFonts w:asciiTheme="minorHAnsi" w:hAnsiTheme="minorHAnsi"/>
      <w:i/>
      <w:iCs/>
      <w:color w:val="000000" w:themeColor="text1"/>
      <w:spacing w:val="-2"/>
      <w:sz w:val="22"/>
      <w:szCs w:val="22"/>
      <w:lang w:eastAsia="en-US"/>
    </w:rPr>
  </w:style>
  <w:style w:type="character" w:customStyle="1" w:styleId="QuoteChar">
    <w:name w:val="Quote Char"/>
    <w:aliases w:val="Quote/emphasis Char"/>
    <w:basedOn w:val="DefaultParagraphFont"/>
    <w:link w:val="Quote"/>
    <w:rsid w:val="001A0954"/>
    <w:rPr>
      <w:rFonts w:asciiTheme="minorHAnsi" w:hAnsiTheme="minorHAnsi"/>
      <w:i/>
      <w:iCs/>
      <w:color w:val="000000" w:themeColor="text1"/>
      <w:spacing w:val="-2"/>
      <w:sz w:val="22"/>
      <w:szCs w:val="22"/>
      <w:lang w:eastAsia="en-US"/>
    </w:rPr>
  </w:style>
  <w:style w:type="table" w:customStyle="1" w:styleId="DOFDtexttable">
    <w:name w:val="DOFD_text table"/>
    <w:basedOn w:val="TableNormal"/>
    <w:uiPriority w:val="99"/>
    <w:qFormat/>
    <w:rsid w:val="00AE6B19"/>
    <w:pPr>
      <w:spacing w:before="57"/>
    </w:pPr>
    <w:rPr>
      <w:rFonts w:asciiTheme="minorHAnsi" w:hAnsiTheme="minorHAnsi"/>
    </w:rPr>
    <w:tblPr>
      <w:tblInd w:w="0" w:type="dxa"/>
      <w:tblBorders>
        <w:top w:val="single" w:sz="2" w:space="0" w:color="37424A" w:themeColor="background2"/>
        <w:left w:val="single" w:sz="2" w:space="0" w:color="37424A" w:themeColor="background2"/>
        <w:bottom w:val="single" w:sz="2" w:space="0" w:color="37424A" w:themeColor="background2"/>
        <w:right w:val="single" w:sz="2" w:space="0" w:color="37424A" w:themeColor="background2"/>
        <w:insideH w:val="single" w:sz="2" w:space="0" w:color="37424A" w:themeColor="background2"/>
        <w:insideV w:val="single" w:sz="2" w:space="0" w:color="37424A" w:themeColor="background2"/>
      </w:tblBorders>
      <w:tblCellMar>
        <w:top w:w="170" w:type="dxa"/>
        <w:left w:w="227" w:type="dxa"/>
        <w:bottom w:w="113" w:type="dxa"/>
        <w:right w:w="227" w:type="dxa"/>
      </w:tblCellMar>
    </w:tblPr>
    <w:trPr>
      <w:cantSplit/>
    </w:trPr>
    <w:tblStylePr w:type="firstRow">
      <w:rPr>
        <w:rFonts w:ascii="Arial" w:hAnsi="Arial"/>
        <w:b w:val="0"/>
        <w:color w:val="37424A" w:themeColor="text2"/>
        <w:sz w:val="22"/>
      </w:rPr>
      <w:tblPr/>
      <w:trPr>
        <w:tblHeader/>
      </w:trPr>
      <w:tcPr>
        <w:tcBorders>
          <w:top w:val="nil"/>
          <w:left w:val="nil"/>
          <w:bottom w:val="nil"/>
          <w:right w:val="nil"/>
          <w:insideH w:val="nil"/>
          <w:insideV w:val="nil"/>
          <w:tl2br w:val="nil"/>
          <w:tr2bl w:val="nil"/>
        </w:tcBorders>
        <w:shd w:val="clear" w:color="auto" w:fill="72CE9B" w:themeFill="accent2"/>
        <w:tcMar>
          <w:top w:w="113" w:type="dxa"/>
          <w:left w:w="0" w:type="nil"/>
          <w:bottom w:w="113" w:type="dxa"/>
          <w:right w:w="0" w:type="nil"/>
        </w:tcMar>
      </w:tcPr>
    </w:tblStylePr>
  </w:style>
  <w:style w:type="character" w:customStyle="1" w:styleId="ArialBlackBlue">
    <w:name w:val="Arial Black Blue"/>
    <w:basedOn w:val="DefaultParagraphFont"/>
    <w:uiPriority w:val="1"/>
    <w:semiHidden/>
    <w:qFormat/>
    <w:rsid w:val="00AE6B19"/>
    <w:rPr>
      <w:rFonts w:ascii="Arial Black" w:hAnsi="Arial Black"/>
      <w:color w:val="5BC6E8" w:themeColor="accent1"/>
    </w:rPr>
  </w:style>
  <w:style w:type="character" w:styleId="PageNumber">
    <w:name w:val="page number"/>
    <w:basedOn w:val="DefaultParagraphFont"/>
    <w:uiPriority w:val="99"/>
    <w:semiHidden/>
    <w:qFormat/>
    <w:rsid w:val="00AE6B19"/>
    <w:rPr>
      <w:rFonts w:ascii="Arial" w:hAnsi="Arial"/>
      <w:b/>
      <w:color w:val="1C2735"/>
      <w:spacing w:val="-20"/>
      <w:sz w:val="16"/>
      <w:lang w:val="en-AU"/>
    </w:rPr>
  </w:style>
  <w:style w:type="paragraph" w:customStyle="1" w:styleId="Chapternumber">
    <w:name w:val="Chapter number"/>
    <w:semiHidden/>
    <w:qFormat/>
    <w:rsid w:val="00AE6B19"/>
    <w:pPr>
      <w:numPr>
        <w:numId w:val="5"/>
      </w:numPr>
      <w:spacing w:after="0" w:line="940" w:lineRule="exact"/>
      <w:ind w:left="142" w:firstLine="0"/>
    </w:pPr>
    <w:rPr>
      <w:rFonts w:asciiTheme="majorHAnsi" w:hAnsiTheme="majorHAnsi" w:cstheme="majorHAnsi"/>
      <w:b/>
      <w:color w:val="A7B4BE" w:themeColor="background2" w:themeTint="66"/>
      <w:sz w:val="94"/>
      <w:szCs w:val="94"/>
      <w:lang w:eastAsia="en-US"/>
    </w:rPr>
  </w:style>
  <w:style w:type="paragraph" w:styleId="FootnoteText">
    <w:name w:val="footnote text"/>
    <w:link w:val="FootnoteTextChar"/>
    <w:uiPriority w:val="99"/>
    <w:semiHidden/>
    <w:qFormat/>
    <w:rsid w:val="00AE6B19"/>
    <w:pPr>
      <w:tabs>
        <w:tab w:val="left" w:pos="284"/>
      </w:tabs>
      <w:spacing w:after="20"/>
    </w:pPr>
    <w:rPr>
      <w:rFonts w:asciiTheme="majorHAnsi" w:hAnsiTheme="majorHAnsi"/>
      <w:color w:val="37424A" w:themeColor="text2"/>
      <w:sz w:val="15"/>
      <w:lang w:eastAsia="en-US"/>
    </w:rPr>
  </w:style>
  <w:style w:type="character" w:customStyle="1" w:styleId="FootnoteTextChar">
    <w:name w:val="Footnote Text Char"/>
    <w:basedOn w:val="DefaultParagraphFont"/>
    <w:link w:val="FootnoteText"/>
    <w:uiPriority w:val="99"/>
    <w:semiHidden/>
    <w:rsid w:val="00AE6B19"/>
    <w:rPr>
      <w:rFonts w:asciiTheme="majorHAnsi" w:hAnsiTheme="majorHAnsi"/>
      <w:color w:val="37424A" w:themeColor="text2"/>
      <w:sz w:val="15"/>
      <w:lang w:eastAsia="en-US"/>
    </w:rPr>
  </w:style>
  <w:style w:type="character" w:styleId="FootnoteReference">
    <w:name w:val="footnote reference"/>
    <w:basedOn w:val="DefaultParagraphFont"/>
    <w:uiPriority w:val="99"/>
    <w:semiHidden/>
    <w:rsid w:val="00AE6B19"/>
    <w:rPr>
      <w:vertAlign w:val="superscript"/>
    </w:rPr>
  </w:style>
  <w:style w:type="paragraph" w:customStyle="1" w:styleId="Boxtitle">
    <w:name w:val="Box title"/>
    <w:basedOn w:val="Boxheading"/>
    <w:uiPriority w:val="1"/>
    <w:rsid w:val="00AE6B19"/>
    <w:pPr>
      <w:spacing w:before="113" w:after="113"/>
    </w:pPr>
    <w:rPr>
      <w:color w:val="5BC6E8" w:themeColor="accent1"/>
    </w:rPr>
  </w:style>
  <w:style w:type="paragraph" w:customStyle="1" w:styleId="Notetitle">
    <w:name w:val="Note title"/>
    <w:basedOn w:val="Heading2"/>
    <w:rsid w:val="00AE6B19"/>
    <w:pPr>
      <w:numPr>
        <w:ilvl w:val="7"/>
        <w:numId w:val="4"/>
      </w:numPr>
    </w:pPr>
  </w:style>
  <w:style w:type="character" w:customStyle="1" w:styleId="Black">
    <w:name w:val="Black"/>
    <w:basedOn w:val="DefaultParagraphFont"/>
    <w:uiPriority w:val="1"/>
    <w:semiHidden/>
    <w:qFormat/>
    <w:rsid w:val="00AE6B19"/>
    <w:rPr>
      <w:color w:val="1C2735"/>
      <w:lang w:val="en-AU"/>
    </w:rPr>
  </w:style>
  <w:style w:type="paragraph" w:customStyle="1" w:styleId="Numberedpara1stindent">
    <w:name w:val="Numbered para (1st indent)"/>
    <w:basedOn w:val="Bodytext"/>
    <w:rsid w:val="00AE6B19"/>
    <w:pPr>
      <w:numPr>
        <w:ilvl w:val="3"/>
        <w:numId w:val="4"/>
      </w:numPr>
    </w:pPr>
  </w:style>
  <w:style w:type="paragraph" w:customStyle="1" w:styleId="Numberedpara2ndindent">
    <w:name w:val="Numbered para (2nd indent)"/>
    <w:basedOn w:val="Bodytext"/>
    <w:rsid w:val="00AE6B19"/>
    <w:pPr>
      <w:numPr>
        <w:ilvl w:val="4"/>
        <w:numId w:val="4"/>
      </w:numPr>
    </w:pPr>
  </w:style>
  <w:style w:type="paragraph" w:customStyle="1" w:styleId="Numberedpara3rdindent">
    <w:name w:val="Numbered para (3rd indent)"/>
    <w:basedOn w:val="Bodytext"/>
    <w:rsid w:val="00AE6B19"/>
    <w:pPr>
      <w:numPr>
        <w:ilvl w:val="5"/>
        <w:numId w:val="4"/>
      </w:numPr>
    </w:pPr>
  </w:style>
  <w:style w:type="character" w:styleId="Hyperlink">
    <w:name w:val="Hyperlink"/>
    <w:basedOn w:val="DefaultParagraphFont"/>
    <w:uiPriority w:val="99"/>
    <w:rsid w:val="00E97365"/>
    <w:rPr>
      <w:color w:val="002060"/>
      <w:u w:val="single"/>
    </w:rPr>
  </w:style>
  <w:style w:type="paragraph" w:styleId="ListParagraph">
    <w:name w:val="List Paragraph"/>
    <w:basedOn w:val="Normal"/>
    <w:uiPriority w:val="34"/>
    <w:qFormat/>
    <w:rsid w:val="00AE6B19"/>
    <w:pPr>
      <w:spacing w:line="276" w:lineRule="auto"/>
      <w:ind w:left="720"/>
      <w:contextualSpacing/>
    </w:pPr>
    <w:rPr>
      <w:rFonts w:eastAsiaTheme="minorHAnsi" w:cstheme="minorBidi"/>
      <w:szCs w:val="22"/>
    </w:rPr>
  </w:style>
  <w:style w:type="character" w:customStyle="1" w:styleId="Heading4Char">
    <w:name w:val="Heading 4 Char"/>
    <w:basedOn w:val="DefaultParagraphFont"/>
    <w:link w:val="Heading4"/>
    <w:uiPriority w:val="9"/>
    <w:rsid w:val="00AE6B19"/>
    <w:rPr>
      <w:rFonts w:asciiTheme="majorHAnsi" w:eastAsiaTheme="majorEastAsia" w:hAnsiTheme="majorHAnsi" w:cstheme="majorBidi"/>
      <w:b/>
      <w:bCs/>
      <w:i/>
      <w:iCs/>
      <w:color w:val="004220" w:themeColor="accent4" w:themeShade="80"/>
      <w:szCs w:val="24"/>
      <w:lang w:val="en-US" w:eastAsia="en-US"/>
    </w:rPr>
  </w:style>
  <w:style w:type="paragraph" w:customStyle="1" w:styleId="BodyCopy">
    <w:name w:val="Body Copy"/>
    <w:basedOn w:val="Normal"/>
    <w:uiPriority w:val="99"/>
    <w:rsid w:val="00AE6B19"/>
    <w:pPr>
      <w:suppressAutoHyphens/>
      <w:autoSpaceDE w:val="0"/>
      <w:autoSpaceDN w:val="0"/>
      <w:adjustRightInd w:val="0"/>
      <w:spacing w:before="113" w:line="250" w:lineRule="atLeast"/>
      <w:textAlignment w:val="center"/>
    </w:pPr>
    <w:rPr>
      <w:rFonts w:ascii="Cambria" w:hAnsi="Cambria" w:cs="Cambria"/>
      <w:color w:val="000000"/>
      <w:spacing w:val="-1"/>
      <w:szCs w:val="20"/>
      <w:lang w:val="en-GB" w:eastAsia="en-AU"/>
    </w:rPr>
  </w:style>
  <w:style w:type="paragraph" w:customStyle="1" w:styleId="DateYear">
    <w:name w:val="Date:Year"/>
    <w:basedOn w:val="Normal"/>
    <w:link w:val="DateYearChar"/>
    <w:rsid w:val="00AE6B19"/>
    <w:pPr>
      <w:jc w:val="center"/>
    </w:pPr>
    <w:rPr>
      <w:rFonts w:asciiTheme="majorHAnsi" w:hAnsiTheme="majorHAnsi" w:cstheme="majorHAnsi"/>
      <w:b/>
      <w:caps/>
      <w:color w:val="FFFFFF" w:themeColor="background1"/>
    </w:rPr>
  </w:style>
  <w:style w:type="character" w:customStyle="1" w:styleId="DateYearChar">
    <w:name w:val="Date:Year Char"/>
    <w:basedOn w:val="DefaultParagraphFont"/>
    <w:link w:val="DateYear"/>
    <w:rsid w:val="00AE6B19"/>
    <w:rPr>
      <w:rFonts w:asciiTheme="majorHAnsi" w:hAnsiTheme="majorHAnsi" w:cstheme="majorHAnsi"/>
      <w:b/>
      <w:caps/>
      <w:color w:val="FFFFFF" w:themeColor="background1"/>
      <w:szCs w:val="24"/>
      <w:lang w:eastAsia="en-US"/>
    </w:rPr>
  </w:style>
  <w:style w:type="paragraph" w:customStyle="1" w:styleId="BasicParagraph">
    <w:name w:val="[Basic Paragraph]"/>
    <w:basedOn w:val="Normal"/>
    <w:uiPriority w:val="99"/>
    <w:rsid w:val="0099073D"/>
    <w:pPr>
      <w:autoSpaceDE w:val="0"/>
      <w:autoSpaceDN w:val="0"/>
      <w:adjustRightInd w:val="0"/>
      <w:spacing w:after="0" w:line="288" w:lineRule="auto"/>
      <w:textAlignment w:val="center"/>
    </w:pPr>
    <w:rPr>
      <w:rFonts w:ascii="Minion Pro" w:hAnsi="Minion Pro" w:cs="Minion Pro"/>
      <w:color w:val="000000"/>
      <w:sz w:val="24"/>
      <w:lang w:val="en-GB" w:eastAsia="en-AU"/>
    </w:rPr>
  </w:style>
  <w:style w:type="character" w:customStyle="1" w:styleId="FooterChar">
    <w:name w:val="Footer Char"/>
    <w:basedOn w:val="DefaultParagraphFont"/>
    <w:link w:val="Footer"/>
    <w:uiPriority w:val="99"/>
    <w:rsid w:val="00C86A41"/>
    <w:rPr>
      <w:rFonts w:asciiTheme="minorHAnsi" w:hAnsiTheme="minorHAnsi"/>
      <w:sz w:val="22"/>
      <w:szCs w:val="24"/>
      <w:lang w:eastAsia="en-US"/>
    </w:rPr>
  </w:style>
  <w:style w:type="paragraph" w:styleId="ListBullet">
    <w:name w:val="List Bullet"/>
    <w:basedOn w:val="Normal"/>
    <w:qFormat/>
    <w:rsid w:val="00785BE7"/>
    <w:pPr>
      <w:numPr>
        <w:numId w:val="18"/>
      </w:numPr>
      <w:spacing w:line="240" w:lineRule="auto"/>
      <w:ind w:left="357" w:hanging="357"/>
      <w:contextualSpacing/>
    </w:pPr>
  </w:style>
  <w:style w:type="paragraph" w:styleId="ListNumber">
    <w:name w:val="List Number"/>
    <w:basedOn w:val="Normal"/>
    <w:qFormat/>
    <w:rsid w:val="00785BE7"/>
    <w:pPr>
      <w:numPr>
        <w:numId w:val="27"/>
      </w:numPr>
      <w:spacing w:line="240" w:lineRule="auto"/>
      <w:ind w:left="357" w:hanging="357"/>
      <w:contextualSpacing/>
    </w:pPr>
  </w:style>
  <w:style w:type="paragraph" w:styleId="NormalWeb">
    <w:name w:val="Normal (Web)"/>
    <w:basedOn w:val="Normal"/>
    <w:uiPriority w:val="99"/>
    <w:semiHidden/>
    <w:unhideWhenUsed/>
    <w:rsid w:val="006D67B5"/>
    <w:pPr>
      <w:spacing w:before="100" w:beforeAutospacing="1" w:after="100" w:afterAutospacing="1" w:line="240" w:lineRule="auto"/>
    </w:pPr>
    <w:rPr>
      <w:rFonts w:ascii="Times New Roman" w:hAnsi="Times New Roman"/>
      <w:sz w:val="24"/>
      <w:lang w:eastAsia="en-AU"/>
    </w:rPr>
  </w:style>
  <w:style w:type="paragraph" w:customStyle="1" w:styleId="Sourcenotetext">
    <w:name w:val="Source/note text"/>
    <w:qFormat/>
    <w:rsid w:val="00E301F5"/>
    <w:pPr>
      <w:spacing w:before="85" w:after="85" w:line="240" w:lineRule="auto"/>
      <w:ind w:left="0" w:firstLine="0"/>
    </w:pPr>
    <w:rPr>
      <w:rFonts w:ascii="Arial" w:hAnsi="Arial" w:cs="Arial"/>
      <w:i/>
      <w:sz w:val="12"/>
      <w:szCs w:val="12"/>
      <w:lang w:eastAsia="en-US"/>
    </w:rPr>
  </w:style>
  <w:style w:type="table" w:customStyle="1" w:styleId="DOFDwithheader">
    <w:name w:val="DOFD with header"/>
    <w:basedOn w:val="TableNormal"/>
    <w:uiPriority w:val="99"/>
    <w:qFormat/>
    <w:rsid w:val="00E301F5"/>
    <w:pPr>
      <w:spacing w:before="57" w:line="220" w:lineRule="atLeast"/>
      <w:ind w:left="96" w:right="96" w:firstLine="0"/>
    </w:pPr>
    <w:rPr>
      <w:rFonts w:ascii="Arial" w:hAnsi="Arial"/>
    </w:rPr>
    <w:tblPr>
      <w:tblInd w:w="0" w:type="dxa"/>
      <w:tblBorders>
        <w:top w:val="single" w:sz="2" w:space="0" w:color="A7B4BE" w:themeColor="background2" w:themeTint="66"/>
        <w:bottom w:val="single" w:sz="2" w:space="0" w:color="A7B4BE" w:themeColor="background2" w:themeTint="66"/>
        <w:insideH w:val="single" w:sz="2" w:space="0" w:color="A7B4BE" w:themeColor="background2" w:themeTint="66"/>
        <w:insideV w:val="single" w:sz="2" w:space="0" w:color="A7B4BE" w:themeColor="background2" w:themeTint="66"/>
      </w:tblBorders>
      <w:tblCellMar>
        <w:top w:w="0" w:type="dxa"/>
        <w:left w:w="0" w:type="dxa"/>
        <w:bottom w:w="0" w:type="dxa"/>
        <w:right w:w="0" w:type="dxa"/>
      </w:tblCellMar>
    </w:tblPr>
    <w:tblStylePr w:type="firstRow">
      <w:pPr>
        <w:keepNext/>
        <w:wordWrap/>
      </w:pPr>
      <w:rPr>
        <w:b w:val="0"/>
      </w:rPr>
      <w:tblPr/>
      <w:tcPr>
        <w:shd w:val="clear" w:color="auto" w:fill="DDF3FA" w:themeFill="accent1" w:themeFillTint="33"/>
      </w:tcPr>
    </w:tblStylePr>
  </w:style>
  <w:style w:type="table" w:customStyle="1" w:styleId="DOFDplain">
    <w:name w:val="DOFD plain"/>
    <w:basedOn w:val="TableNormal"/>
    <w:uiPriority w:val="99"/>
    <w:qFormat/>
    <w:rsid w:val="00E301F5"/>
    <w:pPr>
      <w:spacing w:before="57" w:line="220" w:lineRule="atLeast"/>
      <w:ind w:left="96" w:right="96" w:firstLine="0"/>
    </w:pPr>
    <w:rPr>
      <w:rFonts w:ascii="Arial" w:hAnsi="Arial"/>
      <w:sz w:val="17"/>
    </w:rPr>
    <w:tblPr>
      <w:tblInd w:w="0" w:type="dxa"/>
      <w:tblBorders>
        <w:top w:val="single" w:sz="2" w:space="0" w:color="A7B4BE" w:themeColor="background2" w:themeTint="66"/>
        <w:bottom w:val="single" w:sz="2" w:space="0" w:color="A7B4BE" w:themeColor="background2" w:themeTint="66"/>
        <w:insideH w:val="single" w:sz="2" w:space="0" w:color="A7B4BE" w:themeColor="background2" w:themeTint="66"/>
        <w:insideV w:val="single" w:sz="2" w:space="0" w:color="A7B4BE" w:themeColor="background2" w:themeTint="66"/>
      </w:tblBorders>
      <w:tblCellMar>
        <w:top w:w="0" w:type="dxa"/>
        <w:left w:w="0" w:type="dxa"/>
        <w:bottom w:w="0" w:type="dxa"/>
        <w:right w:w="0" w:type="dxa"/>
      </w:tblCellMar>
    </w:tblPr>
    <w:tblStylePr w:type="firstRow">
      <w:pPr>
        <w:keepNext/>
        <w:wordWrap/>
      </w:pPr>
      <w:rPr>
        <w:rFonts w:ascii="Arial" w:hAnsi="Arial"/>
        <w:b w:val="0"/>
      </w:rPr>
      <w:tblPr/>
      <w:trPr>
        <w:tblHeader/>
      </w:trPr>
    </w:tblStylePr>
  </w:style>
  <w:style w:type="table" w:customStyle="1" w:styleId="DOFDbanded">
    <w:name w:val="DOFD banded"/>
    <w:basedOn w:val="TableNormal"/>
    <w:uiPriority w:val="99"/>
    <w:qFormat/>
    <w:rsid w:val="00E301F5"/>
    <w:pPr>
      <w:spacing w:before="57" w:line="220" w:lineRule="atLeast"/>
      <w:ind w:left="96" w:right="96" w:firstLine="0"/>
    </w:pPr>
    <w:rPr>
      <w:rFonts w:ascii="Arial" w:hAnsi="Arial"/>
      <w:sz w:val="17"/>
    </w:rPr>
    <w:tblPr>
      <w:tblStyleRowBandSize w:val="1"/>
      <w:tblInd w:w="0" w:type="dxa"/>
      <w:tblBorders>
        <w:top w:val="single" w:sz="2" w:space="0" w:color="A7B4BE" w:themeColor="background2" w:themeTint="66"/>
        <w:bottom w:val="single" w:sz="2" w:space="0" w:color="A7B4BE" w:themeColor="background2" w:themeTint="66"/>
        <w:insideH w:val="single" w:sz="2" w:space="0" w:color="A7B4BE" w:themeColor="background2" w:themeTint="66"/>
        <w:insideV w:val="single" w:sz="2" w:space="0" w:color="A7B4BE" w:themeColor="background2" w:themeTint="66"/>
      </w:tblBorders>
      <w:tblCellMar>
        <w:top w:w="0" w:type="dxa"/>
        <w:left w:w="0" w:type="dxa"/>
        <w:bottom w:w="0" w:type="dxa"/>
        <w:right w:w="0" w:type="dxa"/>
      </w:tblCellMar>
    </w:tblPr>
    <w:tblStylePr w:type="firstRow">
      <w:pPr>
        <w:keepNext/>
        <w:keepLines w:val="0"/>
        <w:wordWrap/>
      </w:pPr>
      <w:rPr>
        <w:b w:val="0"/>
      </w:rPr>
      <w:tblPr/>
      <w:trPr>
        <w:tblHeader/>
      </w:trPr>
    </w:tblStylePr>
    <w:tblStylePr w:type="band1Horz">
      <w:tblPr/>
      <w:tcPr>
        <w:tcBorders>
          <w:top w:val="single" w:sz="2" w:space="0" w:color="A7B4BE" w:themeColor="background2" w:themeTint="66"/>
          <w:left w:val="nil"/>
          <w:bottom w:val="single" w:sz="2" w:space="0" w:color="A7B4BE" w:themeColor="background2" w:themeTint="66"/>
          <w:right w:val="nil"/>
          <w:insideH w:val="single" w:sz="2" w:space="0" w:color="A7B4BE" w:themeColor="background2" w:themeTint="66"/>
          <w:insideV w:val="single" w:sz="2" w:space="0" w:color="A7B4BE" w:themeColor="background2" w:themeTint="66"/>
          <w:tl2br w:val="nil"/>
          <w:tr2bl w:val="nil"/>
        </w:tcBorders>
        <w:shd w:val="clear" w:color="auto" w:fill="DDF3FA" w:themeFill="accent1" w:themeFillTint="33"/>
      </w:tcPr>
    </w:tblStylePr>
  </w:style>
  <w:style w:type="paragraph" w:styleId="BodyText0">
    <w:name w:val="Body Text"/>
    <w:basedOn w:val="Normal"/>
    <w:link w:val="BodyTextChar"/>
    <w:rsid w:val="00E301F5"/>
    <w:pPr>
      <w:spacing w:after="120" w:line="240" w:lineRule="auto"/>
    </w:pPr>
    <w:rPr>
      <w:rFonts w:eastAsiaTheme="minorHAnsi" w:cstheme="minorBidi"/>
      <w:szCs w:val="22"/>
    </w:rPr>
  </w:style>
  <w:style w:type="character" w:customStyle="1" w:styleId="BodyTextChar">
    <w:name w:val="Body Text Char"/>
    <w:basedOn w:val="DefaultParagraphFont"/>
    <w:link w:val="BodyText0"/>
    <w:rsid w:val="00E301F5"/>
    <w:rPr>
      <w:rFonts w:asciiTheme="minorHAnsi" w:eastAsiaTheme="minorHAnsi" w:hAnsiTheme="minorHAnsi" w:cstheme="minorBidi"/>
      <w:sz w:val="22"/>
      <w:szCs w:val="22"/>
      <w:lang w:eastAsia="en-US"/>
    </w:rPr>
  </w:style>
  <w:style w:type="character" w:styleId="Emphasis">
    <w:name w:val="Emphasis"/>
    <w:basedOn w:val="DefaultParagraphFont"/>
    <w:uiPriority w:val="20"/>
    <w:qFormat/>
    <w:rsid w:val="00960245"/>
    <w:rPr>
      <w:i/>
      <w:iCs/>
    </w:rPr>
  </w:style>
  <w:style w:type="character" w:customStyle="1" w:styleId="apple-converted-space">
    <w:name w:val="apple-converted-space"/>
    <w:basedOn w:val="DefaultParagraphFont"/>
    <w:rsid w:val="00960245"/>
  </w:style>
  <w:style w:type="character" w:styleId="CommentReference">
    <w:name w:val="annotation reference"/>
    <w:basedOn w:val="DefaultParagraphFont"/>
    <w:uiPriority w:val="99"/>
    <w:semiHidden/>
    <w:rsid w:val="00770288"/>
    <w:rPr>
      <w:sz w:val="16"/>
      <w:szCs w:val="16"/>
    </w:rPr>
  </w:style>
  <w:style w:type="paragraph" w:styleId="CommentText">
    <w:name w:val="annotation text"/>
    <w:basedOn w:val="Normal"/>
    <w:link w:val="CommentTextChar"/>
    <w:uiPriority w:val="99"/>
    <w:semiHidden/>
    <w:rsid w:val="00770288"/>
    <w:pPr>
      <w:spacing w:line="240" w:lineRule="auto"/>
    </w:pPr>
    <w:rPr>
      <w:sz w:val="20"/>
      <w:szCs w:val="20"/>
    </w:rPr>
  </w:style>
  <w:style w:type="character" w:customStyle="1" w:styleId="CommentTextChar">
    <w:name w:val="Comment Text Char"/>
    <w:basedOn w:val="DefaultParagraphFont"/>
    <w:link w:val="CommentText"/>
    <w:uiPriority w:val="99"/>
    <w:semiHidden/>
    <w:rsid w:val="00770288"/>
    <w:rPr>
      <w:rFonts w:asciiTheme="minorHAnsi" w:hAnsiTheme="minorHAnsi"/>
      <w:lang w:eastAsia="en-US"/>
    </w:rPr>
  </w:style>
  <w:style w:type="paragraph" w:styleId="CommentSubject">
    <w:name w:val="annotation subject"/>
    <w:basedOn w:val="CommentText"/>
    <w:next w:val="CommentText"/>
    <w:link w:val="CommentSubjectChar"/>
    <w:uiPriority w:val="99"/>
    <w:semiHidden/>
    <w:rsid w:val="00770288"/>
    <w:rPr>
      <w:b/>
      <w:bCs/>
    </w:rPr>
  </w:style>
  <w:style w:type="character" w:customStyle="1" w:styleId="CommentSubjectChar">
    <w:name w:val="Comment Subject Char"/>
    <w:basedOn w:val="CommentTextChar"/>
    <w:link w:val="CommentSubject"/>
    <w:uiPriority w:val="99"/>
    <w:semiHidden/>
    <w:rsid w:val="00770288"/>
    <w:rPr>
      <w:b/>
      <w:bCs/>
    </w:rPr>
  </w:style>
  <w:style w:type="character" w:styleId="FollowedHyperlink">
    <w:name w:val="FollowedHyperlink"/>
    <w:basedOn w:val="DefaultParagraphFont"/>
    <w:uiPriority w:val="99"/>
    <w:semiHidden/>
    <w:rsid w:val="001E2B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1669072">
      <w:bodyDiv w:val="1"/>
      <w:marLeft w:val="0"/>
      <w:marRight w:val="0"/>
      <w:marTop w:val="0"/>
      <w:marBottom w:val="0"/>
      <w:divBdr>
        <w:top w:val="none" w:sz="0" w:space="0" w:color="auto"/>
        <w:left w:val="none" w:sz="0" w:space="0" w:color="auto"/>
        <w:bottom w:val="none" w:sz="0" w:space="0" w:color="auto"/>
        <w:right w:val="none" w:sz="0" w:space="0" w:color="auto"/>
      </w:divBdr>
    </w:div>
    <w:div w:id="754282425">
      <w:bodyDiv w:val="1"/>
      <w:marLeft w:val="0"/>
      <w:marRight w:val="0"/>
      <w:marTop w:val="0"/>
      <w:marBottom w:val="0"/>
      <w:divBdr>
        <w:top w:val="none" w:sz="0" w:space="0" w:color="auto"/>
        <w:left w:val="none" w:sz="0" w:space="0" w:color="auto"/>
        <w:bottom w:val="none" w:sz="0" w:space="0" w:color="auto"/>
        <w:right w:val="none" w:sz="0" w:space="0" w:color="auto"/>
      </w:divBdr>
    </w:div>
    <w:div w:id="844397920">
      <w:bodyDiv w:val="1"/>
      <w:marLeft w:val="0"/>
      <w:marRight w:val="0"/>
      <w:marTop w:val="0"/>
      <w:marBottom w:val="0"/>
      <w:divBdr>
        <w:top w:val="none" w:sz="0" w:space="0" w:color="auto"/>
        <w:left w:val="none" w:sz="0" w:space="0" w:color="auto"/>
        <w:bottom w:val="none" w:sz="0" w:space="0" w:color="auto"/>
        <w:right w:val="none" w:sz="0" w:space="0" w:color="auto"/>
      </w:divBdr>
      <w:divsChild>
        <w:div w:id="1951012323">
          <w:marLeft w:val="0"/>
          <w:marRight w:val="0"/>
          <w:marTop w:val="0"/>
          <w:marBottom w:val="0"/>
          <w:divBdr>
            <w:top w:val="none" w:sz="0" w:space="0" w:color="auto"/>
            <w:left w:val="none" w:sz="0" w:space="0" w:color="auto"/>
            <w:bottom w:val="none" w:sz="0" w:space="0" w:color="auto"/>
            <w:right w:val="none" w:sz="0" w:space="0" w:color="auto"/>
          </w:divBdr>
          <w:divsChild>
            <w:div w:id="1870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656">
      <w:bodyDiv w:val="1"/>
      <w:marLeft w:val="0"/>
      <w:marRight w:val="0"/>
      <w:marTop w:val="0"/>
      <w:marBottom w:val="0"/>
      <w:divBdr>
        <w:top w:val="none" w:sz="0" w:space="0" w:color="auto"/>
        <w:left w:val="none" w:sz="0" w:space="0" w:color="auto"/>
        <w:bottom w:val="none" w:sz="0" w:space="0" w:color="auto"/>
        <w:right w:val="none" w:sz="0" w:space="0" w:color="auto"/>
      </w:divBdr>
    </w:div>
    <w:div w:id="1616063162">
      <w:bodyDiv w:val="1"/>
      <w:marLeft w:val="0"/>
      <w:marRight w:val="0"/>
      <w:marTop w:val="0"/>
      <w:marBottom w:val="0"/>
      <w:divBdr>
        <w:top w:val="none" w:sz="0" w:space="0" w:color="auto"/>
        <w:left w:val="none" w:sz="0" w:space="0" w:color="auto"/>
        <w:bottom w:val="none" w:sz="0" w:space="0" w:color="auto"/>
        <w:right w:val="none" w:sz="0" w:space="0" w:color="auto"/>
      </w:divBdr>
    </w:div>
    <w:div w:id="1830633963">
      <w:bodyDiv w:val="1"/>
      <w:marLeft w:val="0"/>
      <w:marRight w:val="0"/>
      <w:marTop w:val="0"/>
      <w:marBottom w:val="0"/>
      <w:divBdr>
        <w:top w:val="none" w:sz="0" w:space="0" w:color="auto"/>
        <w:left w:val="none" w:sz="0" w:space="0" w:color="auto"/>
        <w:bottom w:val="none" w:sz="0" w:space="0" w:color="auto"/>
        <w:right w:val="none" w:sz="0" w:space="0" w:color="auto"/>
      </w:divBdr>
    </w:div>
    <w:div w:id="193770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ss.gov.au/our-responsibilities/settlement-and-multicultural-affairs/programs-policy/access-and-equity/multicultural-access-and-equity-policy-toolkit" TargetMode="External"/><Relationship Id="rId18" Type="http://schemas.openxmlformats.org/officeDocument/2006/relationships/hyperlink" Target="http://aciar.gov.au/accessibility/listentooursite" TargetMode="External"/><Relationship Id="rId26" Type="http://schemas.openxmlformats.org/officeDocument/2006/relationships/hyperlink" Target="https://www.dss.gov.au/our-responsibilities/settlement-and-multicultural-affairs/programs-policy/access-and-equity/multicultural-access-and-equity-policy-toolkit" TargetMode="External"/><Relationship Id="rId3" Type="http://schemas.openxmlformats.org/officeDocument/2006/relationships/styles" Target="styles.xml"/><Relationship Id="rId21" Type="http://schemas.openxmlformats.org/officeDocument/2006/relationships/hyperlink" Target="http://webguide.gov.au/accessibility-usability/usability-test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dss.gov.au/about-the-department/overview" TargetMode="External"/><Relationship Id="rId25" Type="http://schemas.openxmlformats.org/officeDocument/2006/relationships/hyperlink" Target="http://www.w3.org/TR/2008/REC-WCAG20-2008121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ustralia.gov.au/about/privacy-statement/full-privacy-statement" TargetMode="External"/><Relationship Id="rId20" Type="http://schemas.openxmlformats.org/officeDocument/2006/relationships/hyperlink" Target="http://www.w3.org/standards/webdesign/i18n" TargetMode="External"/><Relationship Id="rId29" Type="http://schemas.openxmlformats.org/officeDocument/2006/relationships/hyperlink" Target="http://www.dss.gov.au/our-responsibilities/settlement-and-multicultural-affairs/programs-policy/multicultural-access-and-equity/multicultural-language-services-guidelines-for-australian-government-agen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finance.gov.au/publications/wcag-2-implementation/"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australia.gov.au/about/privacy-statement" TargetMode="External"/><Relationship Id="rId23" Type="http://schemas.openxmlformats.org/officeDocument/2006/relationships/hyperlink" Target="http://webguide.gov.au/accessibility-usability/accessibility/" TargetMode="External"/><Relationship Id="rId28" Type="http://schemas.openxmlformats.org/officeDocument/2006/relationships/hyperlink" Target="http://www.dss.gov.au/our-responsibilities/settlement-and-multicultural-affairs/programs-policy/access-and-equity/multicultural-access-and-equity-policy-toolkit%20" TargetMode="External"/><Relationship Id="rId10" Type="http://schemas.openxmlformats.org/officeDocument/2006/relationships/footer" Target="footer1.xml"/><Relationship Id="rId19" Type="http://schemas.openxmlformats.org/officeDocument/2006/relationships/hyperlink" Target="http://webguide.gov.au/finding-content/page-elements/" TargetMode="External"/><Relationship Id="rId31" Type="http://schemas.openxmlformats.org/officeDocument/2006/relationships/hyperlink" Target="http://webguide.gov.a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stralia.gov.au/" TargetMode="External"/><Relationship Id="rId22" Type="http://schemas.openxmlformats.org/officeDocument/2006/relationships/hyperlink" Target="http://www.abs.gov.au/AUSSTATS/abs@.nsf/mf/1289.0" TargetMode="External"/><Relationship Id="rId27" Type="http://schemas.openxmlformats.org/officeDocument/2006/relationships/hyperlink" Target="https://www.dss.gov.au/our-responsibilities/settlement-and-multicultural-affairs/programs-policy/multicultural-access-and-equity" TargetMode="External"/><Relationship Id="rId30" Type="http://schemas.openxmlformats.org/officeDocument/2006/relationships/hyperlink" Target="http://www.w3.org/International/resources%2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OFD_Theme_blue">
  <a:themeElements>
    <a:clrScheme name="Finance Blue">
      <a:dk1>
        <a:sysClr val="windowText" lastClr="000000"/>
      </a:dk1>
      <a:lt1>
        <a:sysClr val="window" lastClr="FFFFFF"/>
      </a:lt1>
      <a:dk2>
        <a:srgbClr val="37424A"/>
      </a:dk2>
      <a:lt2>
        <a:srgbClr val="37424A"/>
      </a:lt2>
      <a:accent1>
        <a:srgbClr val="5BC6E8"/>
      </a:accent1>
      <a:accent2>
        <a:srgbClr val="72CE9B"/>
      </a:accent2>
      <a:accent3>
        <a:srgbClr val="F2D653"/>
      </a:accent3>
      <a:accent4>
        <a:srgbClr val="008542"/>
      </a:accent4>
      <a:accent5>
        <a:srgbClr val="006643"/>
      </a:accent5>
      <a:accent6>
        <a:srgbClr val="A3DBE8"/>
      </a:accent6>
      <a:hlink>
        <a:srgbClr val="0000FF"/>
      </a:hlink>
      <a:folHlink>
        <a:srgbClr val="800080"/>
      </a:folHlink>
    </a:clrScheme>
    <a:fontScheme name="DOFD">
      <a:majorFont>
        <a:latin typeface="Arial"/>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0E5BA-3311-4D0E-B95F-0A5D1B52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11345</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Multicultural Access and Equity in Online Information and Service Delivery</vt:lpstr>
    </vt:vector>
  </TitlesOfParts>
  <Manager>Director, Web Policy</Manager>
  <Company>Dept Finance and Deregulation</Company>
  <LinksUpToDate>false</LinksUpToDate>
  <CharactersWithSpaces>12811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Multicultural Access and Equity in Online Information and Service Delivery</dc:title>
  <dc:subject>Web Guide</dc:subject>
  <dc:creator>Australian Government Information Management Office (AGIMO)</dc:creator>
  <cp:keywords>multicultural access equity website CALD LOTE NESB</cp:keywords>
  <cp:lastModifiedBy>susan baird</cp:lastModifiedBy>
  <cp:revision>2</cp:revision>
  <cp:lastPrinted>2012-04-12T00:48:00Z</cp:lastPrinted>
  <dcterms:created xsi:type="dcterms:W3CDTF">2014-10-29T06:16:00Z</dcterms:created>
  <dcterms:modified xsi:type="dcterms:W3CDTF">2014-10-29T06:16:00Z</dcterms:modified>
  <cp:category>Templates</cp:category>
</cp:coreProperties>
</file>