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F8C7C" w14:textId="77777777" w:rsidR="002F0A01" w:rsidRDefault="003409EF" w:rsidP="002F0A01">
      <w:r>
        <w:rPr>
          <w:noProof/>
          <w:lang w:eastAsia="en-AU"/>
        </w:rPr>
        <w:drawing>
          <wp:inline distT="0" distB="0" distL="0" distR="0" wp14:anchorId="795D7B7B" wp14:editId="1257095C">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p>
    <w:p w14:paraId="478D4DE2" w14:textId="77777777" w:rsidR="004E058F" w:rsidRDefault="00215226" w:rsidP="004E058F">
      <w:pPr>
        <w:pStyle w:val="Title"/>
      </w:pPr>
      <w:r>
        <w:t xml:space="preserve">Gatekeeper </w:t>
      </w:r>
      <w:r w:rsidRPr="00215226">
        <w:t>Public</w:t>
      </w:r>
      <w:r>
        <w:t> </w:t>
      </w:r>
      <w:r w:rsidRPr="00215226">
        <w:t>Key Infrastructure Framework</w:t>
      </w:r>
      <w:r w:rsidR="00D1227A">
        <w:t xml:space="preserve"> </w:t>
      </w:r>
    </w:p>
    <w:p w14:paraId="12F1B2F7" w14:textId="7FBD6443" w:rsidR="00FF7248" w:rsidRDefault="00FF7248" w:rsidP="00FF7248">
      <w:pPr>
        <w:pStyle w:val="SubtitleDate"/>
      </w:pPr>
      <w:r w:rsidRPr="00215226">
        <w:t xml:space="preserve">V 3.1 </w:t>
      </w:r>
      <w:r>
        <w:rPr>
          <w:rFonts w:cstheme="minorHAnsi"/>
        </w:rPr>
        <w:t>–</w:t>
      </w:r>
      <w:r w:rsidRPr="00215226">
        <w:t xml:space="preserve"> </w:t>
      </w:r>
      <w:r w:rsidR="00EF6246">
        <w:t>December</w:t>
      </w:r>
      <w:r w:rsidR="009D1A1C">
        <w:t xml:space="preserve"> </w:t>
      </w:r>
      <w:r w:rsidRPr="00215226">
        <w:t>2015</w:t>
      </w:r>
      <w:r>
        <w:t xml:space="preserve"> </w:t>
      </w:r>
    </w:p>
    <w:p w14:paraId="5D6B7BBB" w14:textId="77777777" w:rsidR="00D3101B" w:rsidRDefault="00D3101B" w:rsidP="00D3101B">
      <w:pPr>
        <w:sectPr w:rsidR="00D3101B" w:rsidSect="002F0A01">
          <w:headerReference w:type="default" r:id="rId9"/>
          <w:type w:val="continuous"/>
          <w:pgSz w:w="11906" w:h="16838" w:code="9"/>
          <w:pgMar w:top="2268" w:right="1418" w:bottom="1134" w:left="2268" w:header="567" w:footer="567" w:gutter="0"/>
          <w:cols w:space="708"/>
          <w:docGrid w:linePitch="360"/>
        </w:sectPr>
      </w:pPr>
    </w:p>
    <w:p w14:paraId="7F769224" w14:textId="77777777" w:rsidR="00215226" w:rsidRPr="00215226" w:rsidRDefault="00215226" w:rsidP="00215226">
      <w:pPr>
        <w:rPr>
          <w:rStyle w:val="Strong"/>
        </w:rPr>
      </w:pPr>
      <w:r w:rsidRPr="00215226">
        <w:rPr>
          <w:rStyle w:val="Strong"/>
        </w:rPr>
        <w:lastRenderedPageBreak/>
        <w:t>Digital Transformation Office</w:t>
      </w:r>
    </w:p>
    <w:p w14:paraId="02D16DC9" w14:textId="77777777" w:rsidR="00215226" w:rsidRDefault="00215226" w:rsidP="00215226">
      <w:r w:rsidRPr="00D24B04">
        <w:t>© Commonwealth of Australia</w:t>
      </w:r>
      <w:r>
        <w:t> 201</w:t>
      </w:r>
      <w:r w:rsidRPr="00D24B04">
        <w:t>5</w:t>
      </w:r>
    </w:p>
    <w:p w14:paraId="376D717E" w14:textId="77777777" w:rsidR="00215226" w:rsidRDefault="00215226" w:rsidP="00215226">
      <w:r w:rsidRPr="00D24B04">
        <w:t>This work is copyright.</w:t>
      </w:r>
      <w:r>
        <w:t xml:space="preserve"> </w:t>
      </w:r>
      <w:r w:rsidRPr="00D24B04">
        <w:t xml:space="preserve">Apart from any use as permitted under the </w:t>
      </w:r>
      <w:r w:rsidRPr="00E64190">
        <w:rPr>
          <w:rStyle w:val="Emphasis"/>
        </w:rPr>
        <w:t>Copyright Act 1968</w:t>
      </w:r>
      <w:r w:rsidRPr="00D24B04">
        <w:t xml:space="preserve"> and the rights explicitly granted below, all rights are reserved.</w:t>
      </w:r>
    </w:p>
    <w:p w14:paraId="7CA7AE76" w14:textId="77777777" w:rsidR="00215226" w:rsidRPr="00215226" w:rsidRDefault="00215226" w:rsidP="00215226">
      <w:pPr>
        <w:rPr>
          <w:rStyle w:val="Strong"/>
        </w:rPr>
      </w:pPr>
      <w:r w:rsidRPr="00215226">
        <w:rPr>
          <w:rStyle w:val="Strong"/>
        </w:rPr>
        <w:t>Licence</w:t>
      </w:r>
    </w:p>
    <w:p w14:paraId="47DCE4D8" w14:textId="77B238CF" w:rsidR="00215226" w:rsidRPr="005D7671" w:rsidRDefault="00215226" w:rsidP="00215226">
      <w:r w:rsidRPr="005D7671">
        <w:t xml:space="preserve">With the exception of the Commonwealth Coat of Arms and where otherwise noted, all material presented in this document is provided under a Creative Commons Attribution Non-Commercial 3.0 Australia licence. To view a copy of this licence, visit: </w:t>
      </w:r>
      <w:hyperlink r:id="rId10" w:tooltip="Creative Commons Attribution Non-Commercial 3.0 Australia licence website" w:history="1">
        <w:r w:rsidRPr="005D7671">
          <w:rPr>
            <w:rStyle w:val="Hyperlink"/>
          </w:rPr>
          <w:t>http://creativecommons.org/licenses/by-nc/3.0/au/</w:t>
        </w:r>
      </w:hyperlink>
    </w:p>
    <w:p w14:paraId="0044159A" w14:textId="77777777" w:rsidR="00215226" w:rsidRDefault="00215226" w:rsidP="00215226">
      <w:r w:rsidRPr="00D24B04">
        <w:rPr>
          <w:noProof/>
          <w:lang w:eastAsia="en-AU"/>
        </w:rPr>
        <w:drawing>
          <wp:inline distT="0" distB="0" distL="0" distR="0" wp14:anchorId="300EC2A6" wp14:editId="4884A482">
            <wp:extent cx="1122236" cy="409575"/>
            <wp:effectExtent l="0" t="0" r="1905" b="0"/>
            <wp:docPr id="6" name="Picture 1" descr="Creative Commons Attribution Non-Commercial 3.0 Australia licence logo" title="Creative Commons Attribution Non-Commercial 3.0 Australia licen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jpg"/>
                    <pic:cNvPicPr/>
                  </pic:nvPicPr>
                  <pic:blipFill>
                    <a:blip r:embed="rId11"/>
                    <a:stretch>
                      <a:fillRect/>
                    </a:stretch>
                  </pic:blipFill>
                  <pic:spPr>
                    <a:xfrm>
                      <a:off x="0" y="0"/>
                      <a:ext cx="1122236" cy="409575"/>
                    </a:xfrm>
                    <a:prstGeom prst="rect">
                      <a:avLst/>
                    </a:prstGeom>
                  </pic:spPr>
                </pic:pic>
              </a:graphicData>
            </a:graphic>
          </wp:inline>
        </w:drawing>
      </w:r>
    </w:p>
    <w:p w14:paraId="4EFD7456" w14:textId="77777777" w:rsidR="00215226" w:rsidRPr="00D24B04" w:rsidRDefault="00215226" w:rsidP="00215226">
      <w:r w:rsidRPr="00D24B04">
        <w:t>You are free to copy, communicate and adapt the work for non-commercial purposes, as long as you attribute the authors.</w:t>
      </w:r>
      <w:r>
        <w:t xml:space="preserve"> </w:t>
      </w:r>
      <w:r w:rsidRPr="00D24B04">
        <w:t>Except where otherwise noted, any reference to, reuse or distribution of all or part of this work must include the following attribution:</w:t>
      </w:r>
    </w:p>
    <w:p w14:paraId="6C64D458" w14:textId="77777777" w:rsidR="00215226" w:rsidRPr="00FF7248" w:rsidRDefault="00215226" w:rsidP="00FF7248">
      <w:r w:rsidRPr="00215226">
        <w:rPr>
          <w:rStyle w:val="Emphasis"/>
        </w:rPr>
        <w:t>Gatekeeper PKI Framework:</w:t>
      </w:r>
      <w:r w:rsidRPr="00FF7248">
        <w:t xml:space="preserve"> ©</w:t>
      </w:r>
      <w:r w:rsidR="00FF7248">
        <w:t xml:space="preserve"> </w:t>
      </w:r>
      <w:r w:rsidRPr="00FF7248">
        <w:t>Commonwealth of Australia 2015.</w:t>
      </w:r>
    </w:p>
    <w:p w14:paraId="733318AB" w14:textId="77777777" w:rsidR="00215226" w:rsidRPr="00215226" w:rsidRDefault="00215226" w:rsidP="00215226">
      <w:pPr>
        <w:rPr>
          <w:rStyle w:val="Strong"/>
        </w:rPr>
      </w:pPr>
      <w:r w:rsidRPr="00215226">
        <w:rPr>
          <w:rStyle w:val="Strong"/>
        </w:rPr>
        <w:t>Use of the Coat of Arms</w:t>
      </w:r>
    </w:p>
    <w:p w14:paraId="0A465D1F" w14:textId="7068A60A" w:rsidR="00215226" w:rsidRPr="005D7671" w:rsidRDefault="00215226" w:rsidP="00215226">
      <w:r w:rsidRPr="005D7671">
        <w:t xml:space="preserve">The terms under which the Coat of Arms can be used are detailed on the </w:t>
      </w:r>
      <w:r w:rsidRPr="005D7671">
        <w:rPr>
          <w:rStyle w:val="Emphasis"/>
        </w:rPr>
        <w:t>It’s an Honour</w:t>
      </w:r>
      <w:r w:rsidRPr="005D7671">
        <w:t xml:space="preserve"> website (</w:t>
      </w:r>
      <w:hyperlink r:id="rId12" w:tooltip="It’s an Honour website " w:history="1">
        <w:r w:rsidRPr="005D7671">
          <w:rPr>
            <w:rStyle w:val="Hyperlink"/>
          </w:rPr>
          <w:t>http://www.itsanhonour.gov.au</w:t>
        </w:r>
      </w:hyperlink>
      <w:r w:rsidRPr="005D7671">
        <w:t>)</w:t>
      </w:r>
    </w:p>
    <w:p w14:paraId="486F319F" w14:textId="77777777" w:rsidR="00215226" w:rsidRPr="00215226" w:rsidRDefault="00215226" w:rsidP="00215226">
      <w:pPr>
        <w:rPr>
          <w:rStyle w:val="Strong"/>
        </w:rPr>
      </w:pPr>
      <w:r w:rsidRPr="00215226">
        <w:rPr>
          <w:rStyle w:val="Strong"/>
        </w:rPr>
        <w:t>Contact us</w:t>
      </w:r>
    </w:p>
    <w:p w14:paraId="6CCF85EA" w14:textId="77777777" w:rsidR="00215226" w:rsidRPr="00D24B04" w:rsidRDefault="00215226" w:rsidP="00215226">
      <w:r w:rsidRPr="00D24B04">
        <w:t>Enquiries or comments regarding this document are welcome at:</w:t>
      </w:r>
    </w:p>
    <w:p w14:paraId="70514416" w14:textId="7838D7FB" w:rsidR="00215226" w:rsidRPr="005D7671" w:rsidRDefault="00215226" w:rsidP="00215226">
      <w:r w:rsidRPr="005D7671">
        <w:t>Gatekeeper Competent Authority</w:t>
      </w:r>
      <w:r w:rsidRPr="005D7671">
        <w:br/>
        <w:t>C/O Director, Trusted Digital Identity Team</w:t>
      </w:r>
      <w:r w:rsidRPr="005D7671">
        <w:br/>
        <w:t>Digital Transformation Office</w:t>
      </w:r>
      <w:r w:rsidRPr="005D7671">
        <w:br/>
        <w:t xml:space="preserve">Email: </w:t>
      </w:r>
      <w:hyperlink r:id="rId13" w:tooltip="Email the Digital Transformation Office" w:history="1">
        <w:r w:rsidRPr="005D7671">
          <w:rPr>
            <w:rStyle w:val="Hyperlink"/>
          </w:rPr>
          <w:t>authentication@dto.gov.au</w:t>
        </w:r>
      </w:hyperlink>
    </w:p>
    <w:p w14:paraId="51495E8A" w14:textId="77777777" w:rsidR="00215226" w:rsidRPr="00E21751" w:rsidRDefault="00215226" w:rsidP="009A65CF">
      <w:bookmarkStart w:id="0" w:name="_GoBack"/>
      <w:bookmarkEnd w:id="0"/>
    </w:p>
    <w:p w14:paraId="44F71F2C" w14:textId="77777777" w:rsidR="00215226" w:rsidRPr="00F00731" w:rsidRDefault="00215226" w:rsidP="00215226">
      <w:pPr>
        <w:pStyle w:val="Heading1"/>
      </w:pPr>
      <w:bookmarkStart w:id="1" w:name="_Toc426639922"/>
      <w:bookmarkStart w:id="2" w:name="_Toc430268890"/>
      <w:r w:rsidRPr="00F00731">
        <w:lastRenderedPageBreak/>
        <w:t>Executive summary</w:t>
      </w:r>
      <w:bookmarkEnd w:id="1"/>
      <w:bookmarkEnd w:id="2"/>
    </w:p>
    <w:p w14:paraId="5773AEFA" w14:textId="77777777" w:rsidR="00215226" w:rsidRPr="00DB230F" w:rsidRDefault="00215226" w:rsidP="00215226">
      <w:r w:rsidRPr="00DB230F">
        <w:t>Information and Communication Technologies (ICT) are transforming the way we work and are driving change in many industries.</w:t>
      </w:r>
      <w:r>
        <w:t xml:space="preserve"> </w:t>
      </w:r>
      <w:r w:rsidRPr="00DB230F">
        <w:t>Governments around the world understand their decisions can assist or impede businesses to adjust to an increasingly digital economy and society. The Commonwealth Government, as a key user of ICT has an important role to play in developing and supporting the infrastructures required to support this digital transformation.</w:t>
      </w:r>
    </w:p>
    <w:p w14:paraId="0C0C9E6A" w14:textId="77777777" w:rsidR="00215226" w:rsidRDefault="00215226" w:rsidP="00215226">
      <w:r w:rsidRPr="00DB230F">
        <w:t xml:space="preserve">Trust is an essential element in the provision of government </w:t>
      </w:r>
      <w:r>
        <w:t>digital</w:t>
      </w:r>
      <w:r w:rsidRPr="00DB230F">
        <w:t xml:space="preserve"> services.</w:t>
      </w:r>
      <w:r>
        <w:t xml:space="preserve"> </w:t>
      </w:r>
      <w:r w:rsidRPr="00DB230F">
        <w:t>Agencies and their customers alike need to establish a degree of trust or confidence about the identity of parties to digital services.</w:t>
      </w:r>
      <w:r>
        <w:t xml:space="preserve"> </w:t>
      </w:r>
      <w:r w:rsidRPr="00DB230F">
        <w:t>Where an agency may be providing online access to services and benefits it will need to ensure that these are being delivered to the correct customer. As such, authentication policies, standards and technologies are essential</w:t>
      </w:r>
      <w:r>
        <w:t xml:space="preserve"> to ensure trust can be established and maintained between agencies and their customers</w:t>
      </w:r>
      <w:r w:rsidRPr="00DB230F">
        <w:t>.</w:t>
      </w:r>
    </w:p>
    <w:p w14:paraId="5B260A12" w14:textId="77777777" w:rsidR="00215226" w:rsidRDefault="00215226" w:rsidP="00215226">
      <w:r w:rsidRPr="00DB230F">
        <w:t xml:space="preserve">Since 1999, the </w:t>
      </w:r>
      <w:r>
        <w:t>Commonwealth Government</w:t>
      </w:r>
      <w:r w:rsidRPr="00DB230F">
        <w:t xml:space="preserve"> has developed and maintained the Gatekeeper Public Key Infrastructure (PKI) Framework.</w:t>
      </w:r>
      <w:r>
        <w:t xml:space="preserve"> </w:t>
      </w:r>
      <w:r w:rsidRPr="00DB230F">
        <w:t xml:space="preserve">The Framework </w:t>
      </w:r>
      <w:r>
        <w:t xml:space="preserve">is an accreditation program which </w:t>
      </w:r>
      <w:r w:rsidRPr="00DB230F">
        <w:t>ensures a whol</w:t>
      </w:r>
      <w:r w:rsidR="00897FA3">
        <w:t>e</w:t>
      </w:r>
      <w:r w:rsidR="00897FA3">
        <w:noBreakHyphen/>
      </w:r>
      <w:r w:rsidRPr="00DB230F">
        <w:t xml:space="preserve">of-government </w:t>
      </w:r>
      <w:r>
        <w:t>outcome</w:t>
      </w:r>
      <w:r w:rsidRPr="00DB230F">
        <w:t xml:space="preserve"> that delivers integrity, interoperability, authenticity and trust between agencies and their </w:t>
      </w:r>
      <w:r>
        <w:t>customers</w:t>
      </w:r>
      <w:r w:rsidRPr="00DB230F">
        <w:t>.</w:t>
      </w:r>
    </w:p>
    <w:p w14:paraId="5D5D2BE7" w14:textId="77777777" w:rsidR="00215226" w:rsidRPr="00DB230F" w:rsidRDefault="00215226" w:rsidP="00215226">
      <w:r w:rsidRPr="00DB230F">
        <w:t xml:space="preserve">The Gatekeeper PKI Framework includes a suite of policies, standards and procedures that govern the use of digital certificates in Government for the authentication of agencies and their </w:t>
      </w:r>
      <w:r>
        <w:t>customers</w:t>
      </w:r>
      <w:r w:rsidRPr="00DB230F">
        <w:t xml:space="preserve">. This document is the third </w:t>
      </w:r>
      <w:r>
        <w:t>edition</w:t>
      </w:r>
      <w:r w:rsidRPr="00DB230F">
        <w:t xml:space="preserve"> of the Framework and outlines the requirements Service Providers need to obtain and maintain </w:t>
      </w:r>
      <w:r>
        <w:t xml:space="preserve">for Gatekeeper </w:t>
      </w:r>
      <w:r w:rsidRPr="00DB230F">
        <w:t>accreditation and recognition.</w:t>
      </w:r>
    </w:p>
    <w:p w14:paraId="5A6A352D" w14:textId="77777777" w:rsidR="00215226" w:rsidRDefault="00215226" w:rsidP="00215226">
      <w:r w:rsidRPr="00DB230F">
        <w:t xml:space="preserve">I recommend the Gatekeeper </w:t>
      </w:r>
      <w:r>
        <w:t xml:space="preserve">PKI </w:t>
      </w:r>
      <w:r w:rsidRPr="00DB230F">
        <w:t xml:space="preserve">Framework to anyone interested in </w:t>
      </w:r>
      <w:r>
        <w:t>providing digital services to</w:t>
      </w:r>
      <w:r w:rsidR="00897FA3">
        <w:t> </w:t>
      </w:r>
      <w:r w:rsidRPr="00DB230F">
        <w:t>Government.</w:t>
      </w:r>
    </w:p>
    <w:p w14:paraId="03BD30C0" w14:textId="77777777" w:rsidR="0064070C" w:rsidRDefault="0064070C" w:rsidP="00215226"/>
    <w:p w14:paraId="3786EDA5" w14:textId="7A760D34" w:rsidR="00215226" w:rsidRDefault="00215226" w:rsidP="00215226">
      <w:r w:rsidRPr="00B84BCB">
        <w:t>Gatekeeper Competent Authority</w:t>
      </w:r>
    </w:p>
    <w:p w14:paraId="4E5794CE" w14:textId="06A82CE1" w:rsidR="00215226" w:rsidRPr="00DB230F" w:rsidRDefault="009D1A1C" w:rsidP="00215226">
      <w:r>
        <w:t>November  </w:t>
      </w:r>
      <w:r w:rsidR="00215226">
        <w:t>2015</w:t>
      </w:r>
    </w:p>
    <w:p w14:paraId="10F46FB7" w14:textId="77777777" w:rsidR="00215226" w:rsidRDefault="00215226" w:rsidP="00215226">
      <w:pPr>
        <w:pStyle w:val="Heading1notinTOC"/>
      </w:pPr>
      <w:bookmarkStart w:id="3" w:name="_Toc426639923"/>
      <w:r w:rsidRPr="00F00731">
        <w:lastRenderedPageBreak/>
        <w:t>Contents</w:t>
      </w:r>
      <w:bookmarkEnd w:id="3"/>
    </w:p>
    <w:p w14:paraId="0C6E80E5" w14:textId="67D0D1EF" w:rsidR="006F301E" w:rsidRDefault="006F301E">
      <w:pPr>
        <w:pStyle w:val="TOC1"/>
        <w:tabs>
          <w:tab w:val="right" w:leader="dot" w:pos="9060"/>
        </w:tabs>
        <w:rPr>
          <w:rFonts w:eastAsiaTheme="minorEastAsia"/>
          <w:b w:val="0"/>
          <w:noProof/>
          <w:sz w:val="22"/>
          <w:lang w:eastAsia="en-AU"/>
        </w:rPr>
      </w:pPr>
      <w:r>
        <w:rPr>
          <w:b w:val="0"/>
        </w:rPr>
        <w:fldChar w:fldCharType="begin"/>
      </w:r>
      <w:r>
        <w:rPr>
          <w:b w:val="0"/>
        </w:rPr>
        <w:instrText xml:space="preserve"> TOC \o "2-2" \h \z \t "Heading 1,1,Heading 1 Numbered,1" </w:instrText>
      </w:r>
      <w:r>
        <w:rPr>
          <w:b w:val="0"/>
        </w:rPr>
        <w:fldChar w:fldCharType="separate"/>
      </w:r>
      <w:hyperlink w:anchor="_Toc430268890" w:history="1">
        <w:r w:rsidRPr="00461AEC">
          <w:rPr>
            <w:rStyle w:val="Hyperlink"/>
            <w:noProof/>
          </w:rPr>
          <w:t>Executive summary</w:t>
        </w:r>
        <w:r>
          <w:rPr>
            <w:noProof/>
            <w:webHidden/>
          </w:rPr>
          <w:tab/>
        </w:r>
        <w:r>
          <w:rPr>
            <w:noProof/>
            <w:webHidden/>
          </w:rPr>
          <w:fldChar w:fldCharType="begin"/>
        </w:r>
        <w:r>
          <w:rPr>
            <w:noProof/>
            <w:webHidden/>
          </w:rPr>
          <w:instrText xml:space="preserve"> PAGEREF _Toc430268890 \h </w:instrText>
        </w:r>
        <w:r>
          <w:rPr>
            <w:noProof/>
            <w:webHidden/>
          </w:rPr>
        </w:r>
        <w:r>
          <w:rPr>
            <w:noProof/>
            <w:webHidden/>
          </w:rPr>
          <w:fldChar w:fldCharType="separate"/>
        </w:r>
        <w:r w:rsidR="005E404C">
          <w:rPr>
            <w:noProof/>
            <w:webHidden/>
          </w:rPr>
          <w:t>3</w:t>
        </w:r>
        <w:r>
          <w:rPr>
            <w:noProof/>
            <w:webHidden/>
          </w:rPr>
          <w:fldChar w:fldCharType="end"/>
        </w:r>
      </w:hyperlink>
    </w:p>
    <w:p w14:paraId="06539AA0" w14:textId="06D0AC44" w:rsidR="006F301E" w:rsidRDefault="00BA3063">
      <w:pPr>
        <w:pStyle w:val="TOC1"/>
        <w:tabs>
          <w:tab w:val="left" w:pos="400"/>
          <w:tab w:val="right" w:leader="dot" w:pos="9060"/>
        </w:tabs>
        <w:rPr>
          <w:rFonts w:eastAsiaTheme="minorEastAsia"/>
          <w:b w:val="0"/>
          <w:noProof/>
          <w:sz w:val="22"/>
          <w:lang w:eastAsia="en-AU"/>
        </w:rPr>
      </w:pPr>
      <w:hyperlink w:anchor="_Toc430268891" w:history="1">
        <w:r w:rsidR="006F301E" w:rsidRPr="00461AEC">
          <w:rPr>
            <w:rStyle w:val="Hyperlink"/>
            <w:noProof/>
          </w:rPr>
          <w:t>1.</w:t>
        </w:r>
        <w:r w:rsidR="006F301E">
          <w:rPr>
            <w:rFonts w:eastAsiaTheme="minorEastAsia"/>
            <w:b w:val="0"/>
            <w:noProof/>
            <w:sz w:val="22"/>
            <w:lang w:eastAsia="en-AU"/>
          </w:rPr>
          <w:tab/>
        </w:r>
        <w:r w:rsidR="006F301E" w:rsidRPr="00461AEC">
          <w:rPr>
            <w:rStyle w:val="Hyperlink"/>
            <w:noProof/>
          </w:rPr>
          <w:t>Framework Management</w:t>
        </w:r>
        <w:r w:rsidR="006F301E">
          <w:rPr>
            <w:noProof/>
            <w:webHidden/>
          </w:rPr>
          <w:tab/>
        </w:r>
        <w:r w:rsidR="006F301E">
          <w:rPr>
            <w:noProof/>
            <w:webHidden/>
          </w:rPr>
          <w:fldChar w:fldCharType="begin"/>
        </w:r>
        <w:r w:rsidR="006F301E">
          <w:rPr>
            <w:noProof/>
            <w:webHidden/>
          </w:rPr>
          <w:instrText xml:space="preserve"> PAGEREF _Toc430268891 \h </w:instrText>
        </w:r>
        <w:r w:rsidR="006F301E">
          <w:rPr>
            <w:noProof/>
            <w:webHidden/>
          </w:rPr>
        </w:r>
        <w:r w:rsidR="006F301E">
          <w:rPr>
            <w:noProof/>
            <w:webHidden/>
          </w:rPr>
          <w:fldChar w:fldCharType="separate"/>
        </w:r>
        <w:r w:rsidR="005E404C">
          <w:rPr>
            <w:noProof/>
            <w:webHidden/>
          </w:rPr>
          <w:t>7</w:t>
        </w:r>
        <w:r w:rsidR="006F301E">
          <w:rPr>
            <w:noProof/>
            <w:webHidden/>
          </w:rPr>
          <w:fldChar w:fldCharType="end"/>
        </w:r>
      </w:hyperlink>
    </w:p>
    <w:p w14:paraId="505F9FE6" w14:textId="1285F39D" w:rsidR="006F301E" w:rsidRDefault="00BA3063">
      <w:pPr>
        <w:pStyle w:val="TOC2"/>
        <w:rPr>
          <w:rFonts w:eastAsiaTheme="minorEastAsia"/>
          <w:noProof/>
          <w:sz w:val="22"/>
          <w:lang w:eastAsia="en-AU"/>
        </w:rPr>
      </w:pPr>
      <w:hyperlink w:anchor="_Toc430268892" w:history="1">
        <w:r w:rsidR="006F301E" w:rsidRPr="00461AEC">
          <w:rPr>
            <w:rStyle w:val="Hyperlink"/>
            <w:noProof/>
          </w:rPr>
          <w:t>1.1</w:t>
        </w:r>
        <w:r w:rsidR="006F301E">
          <w:rPr>
            <w:rFonts w:eastAsiaTheme="minorEastAsia"/>
            <w:noProof/>
            <w:sz w:val="22"/>
            <w:lang w:eastAsia="en-AU"/>
          </w:rPr>
          <w:tab/>
        </w:r>
        <w:r w:rsidR="006F301E" w:rsidRPr="00461AEC">
          <w:rPr>
            <w:rStyle w:val="Hyperlink"/>
            <w:noProof/>
          </w:rPr>
          <w:t>Change Log</w:t>
        </w:r>
        <w:r w:rsidR="006F301E">
          <w:rPr>
            <w:noProof/>
            <w:webHidden/>
          </w:rPr>
          <w:tab/>
        </w:r>
        <w:r w:rsidR="006F301E">
          <w:rPr>
            <w:noProof/>
            <w:webHidden/>
          </w:rPr>
          <w:fldChar w:fldCharType="begin"/>
        </w:r>
        <w:r w:rsidR="006F301E">
          <w:rPr>
            <w:noProof/>
            <w:webHidden/>
          </w:rPr>
          <w:instrText xml:space="preserve"> PAGEREF _Toc430268892 \h </w:instrText>
        </w:r>
        <w:r w:rsidR="006F301E">
          <w:rPr>
            <w:noProof/>
            <w:webHidden/>
          </w:rPr>
        </w:r>
        <w:r w:rsidR="006F301E">
          <w:rPr>
            <w:noProof/>
            <w:webHidden/>
          </w:rPr>
          <w:fldChar w:fldCharType="separate"/>
        </w:r>
        <w:r w:rsidR="005E404C">
          <w:rPr>
            <w:noProof/>
            <w:webHidden/>
          </w:rPr>
          <w:t>7</w:t>
        </w:r>
        <w:r w:rsidR="006F301E">
          <w:rPr>
            <w:noProof/>
            <w:webHidden/>
          </w:rPr>
          <w:fldChar w:fldCharType="end"/>
        </w:r>
      </w:hyperlink>
    </w:p>
    <w:p w14:paraId="7F862819" w14:textId="15FF3EAD" w:rsidR="006F301E" w:rsidRDefault="00BA3063">
      <w:pPr>
        <w:pStyle w:val="TOC2"/>
        <w:rPr>
          <w:rFonts w:eastAsiaTheme="minorEastAsia"/>
          <w:noProof/>
          <w:sz w:val="22"/>
          <w:lang w:eastAsia="en-AU"/>
        </w:rPr>
      </w:pPr>
      <w:hyperlink w:anchor="_Toc430268893" w:history="1">
        <w:r w:rsidR="006F301E" w:rsidRPr="00461AEC">
          <w:rPr>
            <w:rStyle w:val="Hyperlink"/>
            <w:noProof/>
          </w:rPr>
          <w:t>1.2</w:t>
        </w:r>
        <w:r w:rsidR="006F301E">
          <w:rPr>
            <w:rFonts w:eastAsiaTheme="minorEastAsia"/>
            <w:noProof/>
            <w:sz w:val="22"/>
            <w:lang w:eastAsia="en-AU"/>
          </w:rPr>
          <w:tab/>
        </w:r>
        <w:r w:rsidR="006F301E" w:rsidRPr="00461AEC">
          <w:rPr>
            <w:rStyle w:val="Hyperlink"/>
            <w:noProof/>
          </w:rPr>
          <w:t>Review Date</w:t>
        </w:r>
        <w:r w:rsidR="006F301E">
          <w:rPr>
            <w:noProof/>
            <w:webHidden/>
          </w:rPr>
          <w:tab/>
        </w:r>
        <w:r w:rsidR="006F301E">
          <w:rPr>
            <w:noProof/>
            <w:webHidden/>
          </w:rPr>
          <w:fldChar w:fldCharType="begin"/>
        </w:r>
        <w:r w:rsidR="006F301E">
          <w:rPr>
            <w:noProof/>
            <w:webHidden/>
          </w:rPr>
          <w:instrText xml:space="preserve"> PAGEREF _Toc430268893 \h </w:instrText>
        </w:r>
        <w:r w:rsidR="006F301E">
          <w:rPr>
            <w:noProof/>
            <w:webHidden/>
          </w:rPr>
        </w:r>
        <w:r w:rsidR="006F301E">
          <w:rPr>
            <w:noProof/>
            <w:webHidden/>
          </w:rPr>
          <w:fldChar w:fldCharType="separate"/>
        </w:r>
        <w:r w:rsidR="005E404C">
          <w:rPr>
            <w:noProof/>
            <w:webHidden/>
          </w:rPr>
          <w:t>7</w:t>
        </w:r>
        <w:r w:rsidR="006F301E">
          <w:rPr>
            <w:noProof/>
            <w:webHidden/>
          </w:rPr>
          <w:fldChar w:fldCharType="end"/>
        </w:r>
      </w:hyperlink>
    </w:p>
    <w:p w14:paraId="58BD3659" w14:textId="2E3CB6BD" w:rsidR="006F301E" w:rsidRDefault="00BA3063">
      <w:pPr>
        <w:pStyle w:val="TOC2"/>
        <w:rPr>
          <w:rFonts w:eastAsiaTheme="minorEastAsia"/>
          <w:noProof/>
          <w:sz w:val="22"/>
          <w:lang w:eastAsia="en-AU"/>
        </w:rPr>
      </w:pPr>
      <w:hyperlink w:anchor="_Toc430268894" w:history="1">
        <w:r w:rsidR="006F301E" w:rsidRPr="00461AEC">
          <w:rPr>
            <w:rStyle w:val="Hyperlink"/>
            <w:noProof/>
          </w:rPr>
          <w:t>1.3</w:t>
        </w:r>
        <w:r w:rsidR="006F301E">
          <w:rPr>
            <w:rFonts w:eastAsiaTheme="minorEastAsia"/>
            <w:noProof/>
            <w:sz w:val="22"/>
            <w:lang w:eastAsia="en-AU"/>
          </w:rPr>
          <w:tab/>
        </w:r>
        <w:r w:rsidR="006F301E" w:rsidRPr="00461AEC">
          <w:rPr>
            <w:rStyle w:val="Hyperlink"/>
            <w:noProof/>
          </w:rPr>
          <w:t>Conventions</w:t>
        </w:r>
        <w:r w:rsidR="006F301E">
          <w:rPr>
            <w:noProof/>
            <w:webHidden/>
          </w:rPr>
          <w:tab/>
        </w:r>
        <w:r w:rsidR="006F301E">
          <w:rPr>
            <w:noProof/>
            <w:webHidden/>
          </w:rPr>
          <w:fldChar w:fldCharType="begin"/>
        </w:r>
        <w:r w:rsidR="006F301E">
          <w:rPr>
            <w:noProof/>
            <w:webHidden/>
          </w:rPr>
          <w:instrText xml:space="preserve"> PAGEREF _Toc430268894 \h </w:instrText>
        </w:r>
        <w:r w:rsidR="006F301E">
          <w:rPr>
            <w:noProof/>
            <w:webHidden/>
          </w:rPr>
        </w:r>
        <w:r w:rsidR="006F301E">
          <w:rPr>
            <w:noProof/>
            <w:webHidden/>
          </w:rPr>
          <w:fldChar w:fldCharType="separate"/>
        </w:r>
        <w:r w:rsidR="005E404C">
          <w:rPr>
            <w:noProof/>
            <w:webHidden/>
          </w:rPr>
          <w:t>7</w:t>
        </w:r>
        <w:r w:rsidR="006F301E">
          <w:rPr>
            <w:noProof/>
            <w:webHidden/>
          </w:rPr>
          <w:fldChar w:fldCharType="end"/>
        </w:r>
      </w:hyperlink>
    </w:p>
    <w:p w14:paraId="6DDAEA7E" w14:textId="7AC09A8E" w:rsidR="006F301E" w:rsidRDefault="00BA3063">
      <w:pPr>
        <w:pStyle w:val="TOC2"/>
        <w:rPr>
          <w:rFonts w:eastAsiaTheme="minorEastAsia"/>
          <w:noProof/>
          <w:sz w:val="22"/>
          <w:lang w:eastAsia="en-AU"/>
        </w:rPr>
      </w:pPr>
      <w:hyperlink w:anchor="_Toc430268895" w:history="1">
        <w:r w:rsidR="006F301E" w:rsidRPr="00461AEC">
          <w:rPr>
            <w:rStyle w:val="Hyperlink"/>
            <w:noProof/>
          </w:rPr>
          <w:t>1.4</w:t>
        </w:r>
        <w:r w:rsidR="006F301E">
          <w:rPr>
            <w:rFonts w:eastAsiaTheme="minorEastAsia"/>
            <w:noProof/>
            <w:sz w:val="22"/>
            <w:lang w:eastAsia="en-AU"/>
          </w:rPr>
          <w:tab/>
        </w:r>
        <w:r w:rsidR="006F301E" w:rsidRPr="00461AEC">
          <w:rPr>
            <w:rStyle w:val="Hyperlink"/>
            <w:noProof/>
          </w:rPr>
          <w:t>Terms and Definitions</w:t>
        </w:r>
        <w:r w:rsidR="006F301E">
          <w:rPr>
            <w:noProof/>
            <w:webHidden/>
          </w:rPr>
          <w:tab/>
        </w:r>
        <w:r w:rsidR="006F301E">
          <w:rPr>
            <w:noProof/>
            <w:webHidden/>
          </w:rPr>
          <w:fldChar w:fldCharType="begin"/>
        </w:r>
        <w:r w:rsidR="006F301E">
          <w:rPr>
            <w:noProof/>
            <w:webHidden/>
          </w:rPr>
          <w:instrText xml:space="preserve"> PAGEREF _Toc430268895 \h </w:instrText>
        </w:r>
        <w:r w:rsidR="006F301E">
          <w:rPr>
            <w:noProof/>
            <w:webHidden/>
          </w:rPr>
        </w:r>
        <w:r w:rsidR="006F301E">
          <w:rPr>
            <w:noProof/>
            <w:webHidden/>
          </w:rPr>
          <w:fldChar w:fldCharType="separate"/>
        </w:r>
        <w:r w:rsidR="005E404C">
          <w:rPr>
            <w:noProof/>
            <w:webHidden/>
          </w:rPr>
          <w:t>8</w:t>
        </w:r>
        <w:r w:rsidR="006F301E">
          <w:rPr>
            <w:noProof/>
            <w:webHidden/>
          </w:rPr>
          <w:fldChar w:fldCharType="end"/>
        </w:r>
      </w:hyperlink>
    </w:p>
    <w:p w14:paraId="0262CEC6" w14:textId="051117C6" w:rsidR="006F301E" w:rsidRDefault="00BA3063">
      <w:pPr>
        <w:pStyle w:val="TOC2"/>
        <w:rPr>
          <w:rFonts w:eastAsiaTheme="minorEastAsia"/>
          <w:noProof/>
          <w:sz w:val="22"/>
          <w:lang w:eastAsia="en-AU"/>
        </w:rPr>
      </w:pPr>
      <w:hyperlink w:anchor="_Toc430268896" w:history="1">
        <w:r w:rsidR="006F301E" w:rsidRPr="00461AEC">
          <w:rPr>
            <w:rStyle w:val="Hyperlink"/>
            <w:noProof/>
          </w:rPr>
          <w:t>1.5</w:t>
        </w:r>
        <w:r w:rsidR="006F301E">
          <w:rPr>
            <w:rFonts w:eastAsiaTheme="minorEastAsia"/>
            <w:noProof/>
            <w:sz w:val="22"/>
            <w:lang w:eastAsia="en-AU"/>
          </w:rPr>
          <w:tab/>
        </w:r>
        <w:r w:rsidR="006F301E" w:rsidRPr="00461AEC">
          <w:rPr>
            <w:rStyle w:val="Hyperlink"/>
            <w:noProof/>
          </w:rPr>
          <w:t>Transition Arrangements</w:t>
        </w:r>
        <w:r w:rsidR="006F301E">
          <w:rPr>
            <w:noProof/>
            <w:webHidden/>
          </w:rPr>
          <w:tab/>
        </w:r>
        <w:r w:rsidR="006F301E">
          <w:rPr>
            <w:noProof/>
            <w:webHidden/>
          </w:rPr>
          <w:fldChar w:fldCharType="begin"/>
        </w:r>
        <w:r w:rsidR="006F301E">
          <w:rPr>
            <w:noProof/>
            <w:webHidden/>
          </w:rPr>
          <w:instrText xml:space="preserve"> PAGEREF _Toc430268896 \h </w:instrText>
        </w:r>
        <w:r w:rsidR="006F301E">
          <w:rPr>
            <w:noProof/>
            <w:webHidden/>
          </w:rPr>
        </w:r>
        <w:r w:rsidR="006F301E">
          <w:rPr>
            <w:noProof/>
            <w:webHidden/>
          </w:rPr>
          <w:fldChar w:fldCharType="separate"/>
        </w:r>
        <w:r w:rsidR="005E404C">
          <w:rPr>
            <w:noProof/>
            <w:webHidden/>
          </w:rPr>
          <w:t>8</w:t>
        </w:r>
        <w:r w:rsidR="006F301E">
          <w:rPr>
            <w:noProof/>
            <w:webHidden/>
          </w:rPr>
          <w:fldChar w:fldCharType="end"/>
        </w:r>
      </w:hyperlink>
    </w:p>
    <w:p w14:paraId="23A34418" w14:textId="04126431" w:rsidR="006F301E" w:rsidRDefault="00BA3063">
      <w:pPr>
        <w:pStyle w:val="TOC2"/>
        <w:rPr>
          <w:rFonts w:eastAsiaTheme="minorEastAsia"/>
          <w:noProof/>
          <w:sz w:val="22"/>
          <w:lang w:eastAsia="en-AU"/>
        </w:rPr>
      </w:pPr>
      <w:hyperlink w:anchor="_Toc430268897" w:history="1">
        <w:r w:rsidR="006F301E" w:rsidRPr="00461AEC">
          <w:rPr>
            <w:rStyle w:val="Hyperlink"/>
            <w:noProof/>
          </w:rPr>
          <w:t>1.6</w:t>
        </w:r>
        <w:r w:rsidR="006F301E">
          <w:rPr>
            <w:rFonts w:eastAsiaTheme="minorEastAsia"/>
            <w:noProof/>
            <w:sz w:val="22"/>
            <w:lang w:eastAsia="en-AU"/>
          </w:rPr>
          <w:tab/>
        </w:r>
        <w:r w:rsidR="006F301E" w:rsidRPr="00461AEC">
          <w:rPr>
            <w:rStyle w:val="Hyperlink"/>
            <w:noProof/>
          </w:rPr>
          <w:t>Advice on this Framework</w:t>
        </w:r>
        <w:r w:rsidR="006F301E">
          <w:rPr>
            <w:noProof/>
            <w:webHidden/>
          </w:rPr>
          <w:tab/>
        </w:r>
        <w:r w:rsidR="006F301E">
          <w:rPr>
            <w:noProof/>
            <w:webHidden/>
          </w:rPr>
          <w:fldChar w:fldCharType="begin"/>
        </w:r>
        <w:r w:rsidR="006F301E">
          <w:rPr>
            <w:noProof/>
            <w:webHidden/>
          </w:rPr>
          <w:instrText xml:space="preserve"> PAGEREF _Toc430268897 \h </w:instrText>
        </w:r>
        <w:r w:rsidR="006F301E">
          <w:rPr>
            <w:noProof/>
            <w:webHidden/>
          </w:rPr>
        </w:r>
        <w:r w:rsidR="006F301E">
          <w:rPr>
            <w:noProof/>
            <w:webHidden/>
          </w:rPr>
          <w:fldChar w:fldCharType="separate"/>
        </w:r>
        <w:r w:rsidR="005E404C">
          <w:rPr>
            <w:noProof/>
            <w:webHidden/>
          </w:rPr>
          <w:t>8</w:t>
        </w:r>
        <w:r w:rsidR="006F301E">
          <w:rPr>
            <w:noProof/>
            <w:webHidden/>
          </w:rPr>
          <w:fldChar w:fldCharType="end"/>
        </w:r>
      </w:hyperlink>
    </w:p>
    <w:p w14:paraId="49780F1B" w14:textId="4CBBFEAC" w:rsidR="006F301E" w:rsidRDefault="00BA3063">
      <w:pPr>
        <w:pStyle w:val="TOC2"/>
        <w:rPr>
          <w:rFonts w:eastAsiaTheme="minorEastAsia"/>
          <w:noProof/>
          <w:sz w:val="22"/>
          <w:lang w:eastAsia="en-AU"/>
        </w:rPr>
      </w:pPr>
      <w:hyperlink w:anchor="_Toc430268898" w:history="1">
        <w:r w:rsidR="006F301E" w:rsidRPr="00461AEC">
          <w:rPr>
            <w:rStyle w:val="Hyperlink"/>
            <w:noProof/>
          </w:rPr>
          <w:t>1.7</w:t>
        </w:r>
        <w:r w:rsidR="006F301E">
          <w:rPr>
            <w:rFonts w:eastAsiaTheme="minorEastAsia"/>
            <w:noProof/>
            <w:sz w:val="22"/>
            <w:lang w:eastAsia="en-AU"/>
          </w:rPr>
          <w:tab/>
        </w:r>
        <w:r w:rsidR="006F301E" w:rsidRPr="00461AEC">
          <w:rPr>
            <w:rStyle w:val="Hyperlink"/>
            <w:noProof/>
          </w:rPr>
          <w:t>Document Structure</w:t>
        </w:r>
        <w:r w:rsidR="006F301E">
          <w:rPr>
            <w:noProof/>
            <w:webHidden/>
          </w:rPr>
          <w:tab/>
        </w:r>
        <w:r w:rsidR="006F301E">
          <w:rPr>
            <w:noProof/>
            <w:webHidden/>
          </w:rPr>
          <w:fldChar w:fldCharType="begin"/>
        </w:r>
        <w:r w:rsidR="006F301E">
          <w:rPr>
            <w:noProof/>
            <w:webHidden/>
          </w:rPr>
          <w:instrText xml:space="preserve"> PAGEREF _Toc430268898 \h </w:instrText>
        </w:r>
        <w:r w:rsidR="006F301E">
          <w:rPr>
            <w:noProof/>
            <w:webHidden/>
          </w:rPr>
        </w:r>
        <w:r w:rsidR="006F301E">
          <w:rPr>
            <w:noProof/>
            <w:webHidden/>
          </w:rPr>
          <w:fldChar w:fldCharType="separate"/>
        </w:r>
        <w:r w:rsidR="005E404C">
          <w:rPr>
            <w:noProof/>
            <w:webHidden/>
          </w:rPr>
          <w:t>8</w:t>
        </w:r>
        <w:r w:rsidR="006F301E">
          <w:rPr>
            <w:noProof/>
            <w:webHidden/>
          </w:rPr>
          <w:fldChar w:fldCharType="end"/>
        </w:r>
      </w:hyperlink>
    </w:p>
    <w:p w14:paraId="1DE86D1B" w14:textId="40D68641" w:rsidR="006F301E" w:rsidRDefault="00BA3063">
      <w:pPr>
        <w:pStyle w:val="TOC1"/>
        <w:tabs>
          <w:tab w:val="left" w:pos="400"/>
          <w:tab w:val="right" w:leader="dot" w:pos="9060"/>
        </w:tabs>
        <w:rPr>
          <w:rFonts w:eastAsiaTheme="minorEastAsia"/>
          <w:b w:val="0"/>
          <w:noProof/>
          <w:sz w:val="22"/>
          <w:lang w:eastAsia="en-AU"/>
        </w:rPr>
      </w:pPr>
      <w:hyperlink w:anchor="_Toc430268899" w:history="1">
        <w:r w:rsidR="006F301E" w:rsidRPr="00461AEC">
          <w:rPr>
            <w:rStyle w:val="Hyperlink"/>
            <w:noProof/>
          </w:rPr>
          <w:t>2.</w:t>
        </w:r>
        <w:r w:rsidR="006F301E">
          <w:rPr>
            <w:rFonts w:eastAsiaTheme="minorEastAsia"/>
            <w:b w:val="0"/>
            <w:noProof/>
            <w:sz w:val="22"/>
            <w:lang w:eastAsia="en-AU"/>
          </w:rPr>
          <w:tab/>
        </w:r>
        <w:r w:rsidR="006F301E" w:rsidRPr="00461AEC">
          <w:rPr>
            <w:rStyle w:val="Hyperlink"/>
            <w:noProof/>
          </w:rPr>
          <w:t>Aims and Purpose</w:t>
        </w:r>
        <w:r w:rsidR="006F301E">
          <w:rPr>
            <w:noProof/>
            <w:webHidden/>
          </w:rPr>
          <w:tab/>
        </w:r>
        <w:r w:rsidR="006F301E">
          <w:rPr>
            <w:noProof/>
            <w:webHidden/>
          </w:rPr>
          <w:fldChar w:fldCharType="begin"/>
        </w:r>
        <w:r w:rsidR="006F301E">
          <w:rPr>
            <w:noProof/>
            <w:webHidden/>
          </w:rPr>
          <w:instrText xml:space="preserve"> PAGEREF _Toc430268899 \h </w:instrText>
        </w:r>
        <w:r w:rsidR="006F301E">
          <w:rPr>
            <w:noProof/>
            <w:webHidden/>
          </w:rPr>
        </w:r>
        <w:r w:rsidR="006F301E">
          <w:rPr>
            <w:noProof/>
            <w:webHidden/>
          </w:rPr>
          <w:fldChar w:fldCharType="separate"/>
        </w:r>
        <w:r w:rsidR="005E404C">
          <w:rPr>
            <w:noProof/>
            <w:webHidden/>
          </w:rPr>
          <w:t>10</w:t>
        </w:r>
        <w:r w:rsidR="006F301E">
          <w:rPr>
            <w:noProof/>
            <w:webHidden/>
          </w:rPr>
          <w:fldChar w:fldCharType="end"/>
        </w:r>
      </w:hyperlink>
    </w:p>
    <w:p w14:paraId="78AE66AB" w14:textId="1053C23B" w:rsidR="006F301E" w:rsidRDefault="00BA3063">
      <w:pPr>
        <w:pStyle w:val="TOC1"/>
        <w:tabs>
          <w:tab w:val="left" w:pos="400"/>
          <w:tab w:val="right" w:leader="dot" w:pos="9060"/>
        </w:tabs>
        <w:rPr>
          <w:rFonts w:eastAsiaTheme="minorEastAsia"/>
          <w:b w:val="0"/>
          <w:noProof/>
          <w:sz w:val="22"/>
          <w:lang w:eastAsia="en-AU"/>
        </w:rPr>
      </w:pPr>
      <w:hyperlink w:anchor="_Toc430268900" w:history="1">
        <w:r w:rsidR="006F301E" w:rsidRPr="00461AEC">
          <w:rPr>
            <w:rStyle w:val="Hyperlink"/>
            <w:noProof/>
          </w:rPr>
          <w:t>3.</w:t>
        </w:r>
        <w:r w:rsidR="006F301E">
          <w:rPr>
            <w:rFonts w:eastAsiaTheme="minorEastAsia"/>
            <w:b w:val="0"/>
            <w:noProof/>
            <w:sz w:val="22"/>
            <w:lang w:eastAsia="en-AU"/>
          </w:rPr>
          <w:tab/>
        </w:r>
        <w:r w:rsidR="006F301E" w:rsidRPr="00461AEC">
          <w:rPr>
            <w:rStyle w:val="Hyperlink"/>
            <w:noProof/>
          </w:rPr>
          <w:t>Electronic Authentication</w:t>
        </w:r>
        <w:r w:rsidR="006F301E">
          <w:rPr>
            <w:noProof/>
            <w:webHidden/>
          </w:rPr>
          <w:tab/>
        </w:r>
        <w:r w:rsidR="006F301E">
          <w:rPr>
            <w:noProof/>
            <w:webHidden/>
          </w:rPr>
          <w:fldChar w:fldCharType="begin"/>
        </w:r>
        <w:r w:rsidR="006F301E">
          <w:rPr>
            <w:noProof/>
            <w:webHidden/>
          </w:rPr>
          <w:instrText xml:space="preserve"> PAGEREF _Toc430268900 \h </w:instrText>
        </w:r>
        <w:r w:rsidR="006F301E">
          <w:rPr>
            <w:noProof/>
            <w:webHidden/>
          </w:rPr>
        </w:r>
        <w:r w:rsidR="006F301E">
          <w:rPr>
            <w:noProof/>
            <w:webHidden/>
          </w:rPr>
          <w:fldChar w:fldCharType="separate"/>
        </w:r>
        <w:r w:rsidR="005E404C">
          <w:rPr>
            <w:noProof/>
            <w:webHidden/>
          </w:rPr>
          <w:t>12</w:t>
        </w:r>
        <w:r w:rsidR="006F301E">
          <w:rPr>
            <w:noProof/>
            <w:webHidden/>
          </w:rPr>
          <w:fldChar w:fldCharType="end"/>
        </w:r>
      </w:hyperlink>
    </w:p>
    <w:p w14:paraId="55A5A15C" w14:textId="0990866D" w:rsidR="006F301E" w:rsidRDefault="00BA3063">
      <w:pPr>
        <w:pStyle w:val="TOC2"/>
        <w:rPr>
          <w:rFonts w:eastAsiaTheme="minorEastAsia"/>
          <w:noProof/>
          <w:sz w:val="22"/>
          <w:lang w:eastAsia="en-AU"/>
        </w:rPr>
      </w:pPr>
      <w:hyperlink w:anchor="_Toc430268901" w:history="1">
        <w:r w:rsidR="006F301E" w:rsidRPr="00461AEC">
          <w:rPr>
            <w:rStyle w:val="Hyperlink"/>
            <w:noProof/>
          </w:rPr>
          <w:t>3.1</w:t>
        </w:r>
        <w:r w:rsidR="006F301E">
          <w:rPr>
            <w:rFonts w:eastAsiaTheme="minorEastAsia"/>
            <w:noProof/>
            <w:sz w:val="22"/>
            <w:lang w:eastAsia="en-AU"/>
          </w:rPr>
          <w:tab/>
        </w:r>
        <w:r w:rsidR="006F301E" w:rsidRPr="00461AEC">
          <w:rPr>
            <w:rStyle w:val="Hyperlink"/>
            <w:noProof/>
          </w:rPr>
          <w:t>Electronic Authentication</w:t>
        </w:r>
        <w:r w:rsidR="006F301E">
          <w:rPr>
            <w:noProof/>
            <w:webHidden/>
          </w:rPr>
          <w:tab/>
        </w:r>
        <w:r w:rsidR="006F301E">
          <w:rPr>
            <w:noProof/>
            <w:webHidden/>
          </w:rPr>
          <w:fldChar w:fldCharType="begin"/>
        </w:r>
        <w:r w:rsidR="006F301E">
          <w:rPr>
            <w:noProof/>
            <w:webHidden/>
          </w:rPr>
          <w:instrText xml:space="preserve"> PAGEREF _Toc430268901 \h </w:instrText>
        </w:r>
        <w:r w:rsidR="006F301E">
          <w:rPr>
            <w:noProof/>
            <w:webHidden/>
          </w:rPr>
        </w:r>
        <w:r w:rsidR="006F301E">
          <w:rPr>
            <w:noProof/>
            <w:webHidden/>
          </w:rPr>
          <w:fldChar w:fldCharType="separate"/>
        </w:r>
        <w:r w:rsidR="005E404C">
          <w:rPr>
            <w:noProof/>
            <w:webHidden/>
          </w:rPr>
          <w:t>12</w:t>
        </w:r>
        <w:r w:rsidR="006F301E">
          <w:rPr>
            <w:noProof/>
            <w:webHidden/>
          </w:rPr>
          <w:fldChar w:fldCharType="end"/>
        </w:r>
      </w:hyperlink>
    </w:p>
    <w:p w14:paraId="4E2C2E59" w14:textId="746199AC" w:rsidR="006F301E" w:rsidRDefault="00BA3063">
      <w:pPr>
        <w:pStyle w:val="TOC2"/>
        <w:rPr>
          <w:rFonts w:eastAsiaTheme="minorEastAsia"/>
          <w:noProof/>
          <w:sz w:val="22"/>
          <w:lang w:eastAsia="en-AU"/>
        </w:rPr>
      </w:pPr>
      <w:hyperlink w:anchor="_Toc430268902" w:history="1">
        <w:r w:rsidR="006F301E" w:rsidRPr="00461AEC">
          <w:rPr>
            <w:rStyle w:val="Hyperlink"/>
            <w:noProof/>
          </w:rPr>
          <w:t>3.2</w:t>
        </w:r>
        <w:r w:rsidR="006F301E">
          <w:rPr>
            <w:rFonts w:eastAsiaTheme="minorEastAsia"/>
            <w:noProof/>
            <w:sz w:val="22"/>
            <w:lang w:eastAsia="en-AU"/>
          </w:rPr>
          <w:tab/>
        </w:r>
        <w:r w:rsidR="006F301E" w:rsidRPr="00461AEC">
          <w:rPr>
            <w:rStyle w:val="Hyperlink"/>
            <w:noProof/>
          </w:rPr>
          <w:t xml:space="preserve">The </w:t>
        </w:r>
        <w:r w:rsidR="00897FA3">
          <w:rPr>
            <w:rStyle w:val="Hyperlink"/>
            <w:noProof/>
          </w:rPr>
          <w:t>e</w:t>
        </w:r>
        <w:r w:rsidR="00897FA3">
          <w:rPr>
            <w:rStyle w:val="Hyperlink"/>
            <w:noProof/>
          </w:rPr>
          <w:noBreakHyphen/>
        </w:r>
        <w:r w:rsidR="006F301E" w:rsidRPr="00461AEC">
          <w:rPr>
            <w:rStyle w:val="Hyperlink"/>
            <w:noProof/>
          </w:rPr>
          <w:t>Authentication Process</w:t>
        </w:r>
        <w:r w:rsidR="006F301E">
          <w:rPr>
            <w:noProof/>
            <w:webHidden/>
          </w:rPr>
          <w:tab/>
        </w:r>
        <w:r w:rsidR="006F301E">
          <w:rPr>
            <w:noProof/>
            <w:webHidden/>
          </w:rPr>
          <w:fldChar w:fldCharType="begin"/>
        </w:r>
        <w:r w:rsidR="006F301E">
          <w:rPr>
            <w:noProof/>
            <w:webHidden/>
          </w:rPr>
          <w:instrText xml:space="preserve"> PAGEREF _Toc430268902 \h </w:instrText>
        </w:r>
        <w:r w:rsidR="006F301E">
          <w:rPr>
            <w:noProof/>
            <w:webHidden/>
          </w:rPr>
        </w:r>
        <w:r w:rsidR="006F301E">
          <w:rPr>
            <w:noProof/>
            <w:webHidden/>
          </w:rPr>
          <w:fldChar w:fldCharType="separate"/>
        </w:r>
        <w:r w:rsidR="005E404C">
          <w:rPr>
            <w:noProof/>
            <w:webHidden/>
          </w:rPr>
          <w:t>12</w:t>
        </w:r>
        <w:r w:rsidR="006F301E">
          <w:rPr>
            <w:noProof/>
            <w:webHidden/>
          </w:rPr>
          <w:fldChar w:fldCharType="end"/>
        </w:r>
      </w:hyperlink>
    </w:p>
    <w:p w14:paraId="0FFAE3B4" w14:textId="4FD279B3" w:rsidR="006F301E" w:rsidRDefault="00BA3063">
      <w:pPr>
        <w:pStyle w:val="TOC2"/>
        <w:rPr>
          <w:rFonts w:eastAsiaTheme="minorEastAsia"/>
          <w:noProof/>
          <w:sz w:val="22"/>
          <w:lang w:eastAsia="en-AU"/>
        </w:rPr>
      </w:pPr>
      <w:hyperlink w:anchor="_Toc430268903" w:history="1">
        <w:r w:rsidR="006F301E" w:rsidRPr="00461AEC">
          <w:rPr>
            <w:rStyle w:val="Hyperlink"/>
            <w:noProof/>
          </w:rPr>
          <w:t>3.3</w:t>
        </w:r>
        <w:r w:rsidR="006F301E">
          <w:rPr>
            <w:rFonts w:eastAsiaTheme="minorEastAsia"/>
            <w:noProof/>
            <w:sz w:val="22"/>
            <w:lang w:eastAsia="en-AU"/>
          </w:rPr>
          <w:tab/>
        </w:r>
        <w:r w:rsidR="006F301E" w:rsidRPr="00461AEC">
          <w:rPr>
            <w:rStyle w:val="Hyperlink"/>
            <w:noProof/>
          </w:rPr>
          <w:t>Levels of Assurance</w:t>
        </w:r>
        <w:r w:rsidR="006F301E">
          <w:rPr>
            <w:noProof/>
            <w:webHidden/>
          </w:rPr>
          <w:tab/>
        </w:r>
        <w:r w:rsidR="006F301E">
          <w:rPr>
            <w:noProof/>
            <w:webHidden/>
          </w:rPr>
          <w:fldChar w:fldCharType="begin"/>
        </w:r>
        <w:r w:rsidR="006F301E">
          <w:rPr>
            <w:noProof/>
            <w:webHidden/>
          </w:rPr>
          <w:instrText xml:space="preserve"> PAGEREF _Toc430268903 \h </w:instrText>
        </w:r>
        <w:r w:rsidR="006F301E">
          <w:rPr>
            <w:noProof/>
            <w:webHidden/>
          </w:rPr>
        </w:r>
        <w:r w:rsidR="006F301E">
          <w:rPr>
            <w:noProof/>
            <w:webHidden/>
          </w:rPr>
          <w:fldChar w:fldCharType="separate"/>
        </w:r>
        <w:r w:rsidR="005E404C">
          <w:rPr>
            <w:noProof/>
            <w:webHidden/>
          </w:rPr>
          <w:t>13</w:t>
        </w:r>
        <w:r w:rsidR="006F301E">
          <w:rPr>
            <w:noProof/>
            <w:webHidden/>
          </w:rPr>
          <w:fldChar w:fldCharType="end"/>
        </w:r>
      </w:hyperlink>
    </w:p>
    <w:p w14:paraId="26FE1BED" w14:textId="34D4DAE1" w:rsidR="006F301E" w:rsidRDefault="00BA3063">
      <w:pPr>
        <w:pStyle w:val="TOC1"/>
        <w:tabs>
          <w:tab w:val="left" w:pos="400"/>
          <w:tab w:val="right" w:leader="dot" w:pos="9060"/>
        </w:tabs>
        <w:rPr>
          <w:rFonts w:eastAsiaTheme="minorEastAsia"/>
          <w:b w:val="0"/>
          <w:noProof/>
          <w:sz w:val="22"/>
          <w:lang w:eastAsia="en-AU"/>
        </w:rPr>
      </w:pPr>
      <w:hyperlink w:anchor="_Toc430268904" w:history="1">
        <w:r w:rsidR="006F301E" w:rsidRPr="00461AEC">
          <w:rPr>
            <w:rStyle w:val="Hyperlink"/>
            <w:noProof/>
          </w:rPr>
          <w:t>4.</w:t>
        </w:r>
        <w:r w:rsidR="006F301E">
          <w:rPr>
            <w:rFonts w:eastAsiaTheme="minorEastAsia"/>
            <w:b w:val="0"/>
            <w:noProof/>
            <w:sz w:val="22"/>
            <w:lang w:eastAsia="en-AU"/>
          </w:rPr>
          <w:tab/>
        </w:r>
        <w:r w:rsidR="006F301E" w:rsidRPr="00461AEC">
          <w:rPr>
            <w:rStyle w:val="Hyperlink"/>
            <w:noProof/>
          </w:rPr>
          <w:t>Public Key Infrastructure</w:t>
        </w:r>
        <w:r w:rsidR="006F301E">
          <w:rPr>
            <w:noProof/>
            <w:webHidden/>
          </w:rPr>
          <w:tab/>
        </w:r>
        <w:r w:rsidR="006F301E">
          <w:rPr>
            <w:noProof/>
            <w:webHidden/>
          </w:rPr>
          <w:fldChar w:fldCharType="begin"/>
        </w:r>
        <w:r w:rsidR="006F301E">
          <w:rPr>
            <w:noProof/>
            <w:webHidden/>
          </w:rPr>
          <w:instrText xml:space="preserve"> PAGEREF _Toc430268904 \h </w:instrText>
        </w:r>
        <w:r w:rsidR="006F301E">
          <w:rPr>
            <w:noProof/>
            <w:webHidden/>
          </w:rPr>
        </w:r>
        <w:r w:rsidR="006F301E">
          <w:rPr>
            <w:noProof/>
            <w:webHidden/>
          </w:rPr>
          <w:fldChar w:fldCharType="separate"/>
        </w:r>
        <w:r w:rsidR="005E404C">
          <w:rPr>
            <w:noProof/>
            <w:webHidden/>
          </w:rPr>
          <w:t>14</w:t>
        </w:r>
        <w:r w:rsidR="006F301E">
          <w:rPr>
            <w:noProof/>
            <w:webHidden/>
          </w:rPr>
          <w:fldChar w:fldCharType="end"/>
        </w:r>
      </w:hyperlink>
    </w:p>
    <w:p w14:paraId="7D821B06" w14:textId="28D60B43" w:rsidR="006F301E" w:rsidRDefault="00BA3063">
      <w:pPr>
        <w:pStyle w:val="TOC2"/>
        <w:rPr>
          <w:rFonts w:eastAsiaTheme="minorEastAsia"/>
          <w:noProof/>
          <w:sz w:val="22"/>
          <w:lang w:eastAsia="en-AU"/>
        </w:rPr>
      </w:pPr>
      <w:hyperlink w:anchor="_Toc430268905" w:history="1">
        <w:r w:rsidR="006F301E" w:rsidRPr="00461AEC">
          <w:rPr>
            <w:rStyle w:val="Hyperlink"/>
            <w:noProof/>
          </w:rPr>
          <w:t>4.1</w:t>
        </w:r>
        <w:r w:rsidR="006F301E">
          <w:rPr>
            <w:rFonts w:eastAsiaTheme="minorEastAsia"/>
            <w:noProof/>
            <w:sz w:val="22"/>
            <w:lang w:eastAsia="en-AU"/>
          </w:rPr>
          <w:tab/>
        </w:r>
        <w:r w:rsidR="006F301E" w:rsidRPr="00461AEC">
          <w:rPr>
            <w:rStyle w:val="Hyperlink"/>
            <w:noProof/>
          </w:rPr>
          <w:t>Public Key Infrastructure</w:t>
        </w:r>
        <w:r w:rsidR="006F301E">
          <w:rPr>
            <w:noProof/>
            <w:webHidden/>
          </w:rPr>
          <w:tab/>
        </w:r>
        <w:r w:rsidR="006F301E">
          <w:rPr>
            <w:noProof/>
            <w:webHidden/>
          </w:rPr>
          <w:fldChar w:fldCharType="begin"/>
        </w:r>
        <w:r w:rsidR="006F301E">
          <w:rPr>
            <w:noProof/>
            <w:webHidden/>
          </w:rPr>
          <w:instrText xml:space="preserve"> PAGEREF _Toc430268905 \h </w:instrText>
        </w:r>
        <w:r w:rsidR="006F301E">
          <w:rPr>
            <w:noProof/>
            <w:webHidden/>
          </w:rPr>
        </w:r>
        <w:r w:rsidR="006F301E">
          <w:rPr>
            <w:noProof/>
            <w:webHidden/>
          </w:rPr>
          <w:fldChar w:fldCharType="separate"/>
        </w:r>
        <w:r w:rsidR="005E404C">
          <w:rPr>
            <w:noProof/>
            <w:webHidden/>
          </w:rPr>
          <w:t>14</w:t>
        </w:r>
        <w:r w:rsidR="006F301E">
          <w:rPr>
            <w:noProof/>
            <w:webHidden/>
          </w:rPr>
          <w:fldChar w:fldCharType="end"/>
        </w:r>
      </w:hyperlink>
    </w:p>
    <w:p w14:paraId="0353C3C6" w14:textId="1F4B3CD9" w:rsidR="006F301E" w:rsidRDefault="00BA3063">
      <w:pPr>
        <w:pStyle w:val="TOC2"/>
        <w:rPr>
          <w:rFonts w:eastAsiaTheme="minorEastAsia"/>
          <w:noProof/>
          <w:sz w:val="22"/>
          <w:lang w:eastAsia="en-AU"/>
        </w:rPr>
      </w:pPr>
      <w:hyperlink w:anchor="_Toc430268906" w:history="1">
        <w:r w:rsidR="006F301E" w:rsidRPr="00461AEC">
          <w:rPr>
            <w:rStyle w:val="Hyperlink"/>
            <w:noProof/>
          </w:rPr>
          <w:t>4.2</w:t>
        </w:r>
        <w:r w:rsidR="006F301E">
          <w:rPr>
            <w:rFonts w:eastAsiaTheme="minorEastAsia"/>
            <w:noProof/>
            <w:sz w:val="22"/>
            <w:lang w:eastAsia="en-AU"/>
          </w:rPr>
          <w:tab/>
        </w:r>
        <w:r w:rsidR="006F301E" w:rsidRPr="00461AEC">
          <w:rPr>
            <w:rStyle w:val="Hyperlink"/>
            <w:noProof/>
          </w:rPr>
          <w:t>Security Services provided by a PKI</w:t>
        </w:r>
        <w:r w:rsidR="006F301E">
          <w:rPr>
            <w:noProof/>
            <w:webHidden/>
          </w:rPr>
          <w:tab/>
        </w:r>
        <w:r w:rsidR="006F301E">
          <w:rPr>
            <w:noProof/>
            <w:webHidden/>
          </w:rPr>
          <w:fldChar w:fldCharType="begin"/>
        </w:r>
        <w:r w:rsidR="006F301E">
          <w:rPr>
            <w:noProof/>
            <w:webHidden/>
          </w:rPr>
          <w:instrText xml:space="preserve"> PAGEREF _Toc430268906 \h </w:instrText>
        </w:r>
        <w:r w:rsidR="006F301E">
          <w:rPr>
            <w:noProof/>
            <w:webHidden/>
          </w:rPr>
        </w:r>
        <w:r w:rsidR="006F301E">
          <w:rPr>
            <w:noProof/>
            <w:webHidden/>
          </w:rPr>
          <w:fldChar w:fldCharType="separate"/>
        </w:r>
        <w:r w:rsidR="005E404C">
          <w:rPr>
            <w:noProof/>
            <w:webHidden/>
          </w:rPr>
          <w:t>14</w:t>
        </w:r>
        <w:r w:rsidR="006F301E">
          <w:rPr>
            <w:noProof/>
            <w:webHidden/>
          </w:rPr>
          <w:fldChar w:fldCharType="end"/>
        </w:r>
      </w:hyperlink>
    </w:p>
    <w:p w14:paraId="3F8A2985" w14:textId="1492A116" w:rsidR="006F301E" w:rsidRDefault="00BA3063">
      <w:pPr>
        <w:pStyle w:val="TOC2"/>
        <w:rPr>
          <w:rFonts w:eastAsiaTheme="minorEastAsia"/>
          <w:noProof/>
          <w:sz w:val="22"/>
          <w:lang w:eastAsia="en-AU"/>
        </w:rPr>
      </w:pPr>
      <w:hyperlink w:anchor="_Toc430268907" w:history="1">
        <w:r w:rsidR="006F301E" w:rsidRPr="00461AEC">
          <w:rPr>
            <w:rStyle w:val="Hyperlink"/>
            <w:noProof/>
          </w:rPr>
          <w:t>4.3</w:t>
        </w:r>
        <w:r w:rsidR="006F301E">
          <w:rPr>
            <w:rFonts w:eastAsiaTheme="minorEastAsia"/>
            <w:noProof/>
            <w:sz w:val="22"/>
            <w:lang w:eastAsia="en-AU"/>
          </w:rPr>
          <w:tab/>
        </w:r>
        <w:r w:rsidR="006F301E" w:rsidRPr="00461AEC">
          <w:rPr>
            <w:rStyle w:val="Hyperlink"/>
            <w:noProof/>
          </w:rPr>
          <w:t>Elements of Public Key Infrastructure</w:t>
        </w:r>
        <w:r w:rsidR="006F301E">
          <w:rPr>
            <w:noProof/>
            <w:webHidden/>
          </w:rPr>
          <w:tab/>
        </w:r>
        <w:r w:rsidR="006F301E">
          <w:rPr>
            <w:noProof/>
            <w:webHidden/>
          </w:rPr>
          <w:fldChar w:fldCharType="begin"/>
        </w:r>
        <w:r w:rsidR="006F301E">
          <w:rPr>
            <w:noProof/>
            <w:webHidden/>
          </w:rPr>
          <w:instrText xml:space="preserve"> PAGEREF _Toc430268907 \h </w:instrText>
        </w:r>
        <w:r w:rsidR="006F301E">
          <w:rPr>
            <w:noProof/>
            <w:webHidden/>
          </w:rPr>
        </w:r>
        <w:r w:rsidR="006F301E">
          <w:rPr>
            <w:noProof/>
            <w:webHidden/>
          </w:rPr>
          <w:fldChar w:fldCharType="separate"/>
        </w:r>
        <w:r w:rsidR="005E404C">
          <w:rPr>
            <w:noProof/>
            <w:webHidden/>
          </w:rPr>
          <w:t>15</w:t>
        </w:r>
        <w:r w:rsidR="006F301E">
          <w:rPr>
            <w:noProof/>
            <w:webHidden/>
          </w:rPr>
          <w:fldChar w:fldCharType="end"/>
        </w:r>
      </w:hyperlink>
    </w:p>
    <w:p w14:paraId="32679BB3" w14:textId="58A023ED" w:rsidR="006F301E" w:rsidRDefault="00BA3063">
      <w:pPr>
        <w:pStyle w:val="TOC1"/>
        <w:tabs>
          <w:tab w:val="left" w:pos="400"/>
          <w:tab w:val="right" w:leader="dot" w:pos="9060"/>
        </w:tabs>
        <w:rPr>
          <w:rFonts w:eastAsiaTheme="minorEastAsia"/>
          <w:b w:val="0"/>
          <w:noProof/>
          <w:sz w:val="22"/>
          <w:lang w:eastAsia="en-AU"/>
        </w:rPr>
      </w:pPr>
      <w:hyperlink w:anchor="_Toc430268908" w:history="1">
        <w:r w:rsidR="006F301E" w:rsidRPr="00461AEC">
          <w:rPr>
            <w:rStyle w:val="Hyperlink"/>
            <w:noProof/>
          </w:rPr>
          <w:t>5.</w:t>
        </w:r>
        <w:r w:rsidR="006F301E">
          <w:rPr>
            <w:rFonts w:eastAsiaTheme="minorEastAsia"/>
            <w:b w:val="0"/>
            <w:noProof/>
            <w:sz w:val="22"/>
            <w:lang w:eastAsia="en-AU"/>
          </w:rPr>
          <w:tab/>
        </w:r>
        <w:r w:rsidR="006F301E" w:rsidRPr="00461AEC">
          <w:rPr>
            <w:rStyle w:val="Hyperlink"/>
            <w:noProof/>
          </w:rPr>
          <w:t>Gatekeeper PKI Framework</w:t>
        </w:r>
        <w:r w:rsidR="006F301E">
          <w:rPr>
            <w:noProof/>
            <w:webHidden/>
          </w:rPr>
          <w:tab/>
        </w:r>
        <w:r w:rsidR="006F301E">
          <w:rPr>
            <w:noProof/>
            <w:webHidden/>
          </w:rPr>
          <w:fldChar w:fldCharType="begin"/>
        </w:r>
        <w:r w:rsidR="006F301E">
          <w:rPr>
            <w:noProof/>
            <w:webHidden/>
          </w:rPr>
          <w:instrText xml:space="preserve"> PAGEREF _Toc430268908 \h </w:instrText>
        </w:r>
        <w:r w:rsidR="006F301E">
          <w:rPr>
            <w:noProof/>
            <w:webHidden/>
          </w:rPr>
        </w:r>
        <w:r w:rsidR="006F301E">
          <w:rPr>
            <w:noProof/>
            <w:webHidden/>
          </w:rPr>
          <w:fldChar w:fldCharType="separate"/>
        </w:r>
        <w:r w:rsidR="005E404C">
          <w:rPr>
            <w:noProof/>
            <w:webHidden/>
          </w:rPr>
          <w:t>17</w:t>
        </w:r>
        <w:r w:rsidR="006F301E">
          <w:rPr>
            <w:noProof/>
            <w:webHidden/>
          </w:rPr>
          <w:fldChar w:fldCharType="end"/>
        </w:r>
      </w:hyperlink>
    </w:p>
    <w:p w14:paraId="4BCCFE57" w14:textId="17A71B67" w:rsidR="006F301E" w:rsidRDefault="00BA3063">
      <w:pPr>
        <w:pStyle w:val="TOC2"/>
        <w:rPr>
          <w:rFonts w:eastAsiaTheme="minorEastAsia"/>
          <w:noProof/>
          <w:sz w:val="22"/>
          <w:lang w:eastAsia="en-AU"/>
        </w:rPr>
      </w:pPr>
      <w:hyperlink w:anchor="_Toc430268909" w:history="1">
        <w:r w:rsidR="006F301E" w:rsidRPr="00461AEC">
          <w:rPr>
            <w:rStyle w:val="Hyperlink"/>
            <w:noProof/>
          </w:rPr>
          <w:t>5.1</w:t>
        </w:r>
        <w:r w:rsidR="006F301E">
          <w:rPr>
            <w:rFonts w:eastAsiaTheme="minorEastAsia"/>
            <w:noProof/>
            <w:sz w:val="22"/>
            <w:lang w:eastAsia="en-AU"/>
          </w:rPr>
          <w:tab/>
        </w:r>
        <w:r w:rsidR="006F301E" w:rsidRPr="00461AEC">
          <w:rPr>
            <w:rStyle w:val="Hyperlink"/>
            <w:noProof/>
          </w:rPr>
          <w:t>Purpose</w:t>
        </w:r>
        <w:r w:rsidR="006F301E">
          <w:rPr>
            <w:noProof/>
            <w:webHidden/>
          </w:rPr>
          <w:tab/>
        </w:r>
        <w:r w:rsidR="006F301E">
          <w:rPr>
            <w:noProof/>
            <w:webHidden/>
          </w:rPr>
          <w:fldChar w:fldCharType="begin"/>
        </w:r>
        <w:r w:rsidR="006F301E">
          <w:rPr>
            <w:noProof/>
            <w:webHidden/>
          </w:rPr>
          <w:instrText xml:space="preserve"> PAGEREF _Toc430268909 \h </w:instrText>
        </w:r>
        <w:r w:rsidR="006F301E">
          <w:rPr>
            <w:noProof/>
            <w:webHidden/>
          </w:rPr>
        </w:r>
        <w:r w:rsidR="006F301E">
          <w:rPr>
            <w:noProof/>
            <w:webHidden/>
          </w:rPr>
          <w:fldChar w:fldCharType="separate"/>
        </w:r>
        <w:r w:rsidR="005E404C">
          <w:rPr>
            <w:noProof/>
            <w:webHidden/>
          </w:rPr>
          <w:t>17</w:t>
        </w:r>
        <w:r w:rsidR="006F301E">
          <w:rPr>
            <w:noProof/>
            <w:webHidden/>
          </w:rPr>
          <w:fldChar w:fldCharType="end"/>
        </w:r>
      </w:hyperlink>
    </w:p>
    <w:p w14:paraId="1246210E" w14:textId="3A626FA9" w:rsidR="006F301E" w:rsidRDefault="00BA3063">
      <w:pPr>
        <w:pStyle w:val="TOC2"/>
        <w:rPr>
          <w:rFonts w:eastAsiaTheme="minorEastAsia"/>
          <w:noProof/>
          <w:sz w:val="22"/>
          <w:lang w:eastAsia="en-AU"/>
        </w:rPr>
      </w:pPr>
      <w:hyperlink w:anchor="_Toc430268910" w:history="1">
        <w:r w:rsidR="006F301E" w:rsidRPr="00461AEC">
          <w:rPr>
            <w:rStyle w:val="Hyperlink"/>
            <w:noProof/>
          </w:rPr>
          <w:t>5.2</w:t>
        </w:r>
        <w:r w:rsidR="006F301E">
          <w:rPr>
            <w:rFonts w:eastAsiaTheme="minorEastAsia"/>
            <w:noProof/>
            <w:sz w:val="22"/>
            <w:lang w:eastAsia="en-AU"/>
          </w:rPr>
          <w:tab/>
        </w:r>
        <w:r w:rsidR="006F301E" w:rsidRPr="00461AEC">
          <w:rPr>
            <w:rStyle w:val="Hyperlink"/>
            <w:noProof/>
          </w:rPr>
          <w:t>Framework Structure</w:t>
        </w:r>
        <w:r w:rsidR="006F301E">
          <w:rPr>
            <w:noProof/>
            <w:webHidden/>
          </w:rPr>
          <w:tab/>
        </w:r>
        <w:r w:rsidR="006F301E">
          <w:rPr>
            <w:noProof/>
            <w:webHidden/>
          </w:rPr>
          <w:fldChar w:fldCharType="begin"/>
        </w:r>
        <w:r w:rsidR="006F301E">
          <w:rPr>
            <w:noProof/>
            <w:webHidden/>
          </w:rPr>
          <w:instrText xml:space="preserve"> PAGEREF _Toc430268910 \h </w:instrText>
        </w:r>
        <w:r w:rsidR="006F301E">
          <w:rPr>
            <w:noProof/>
            <w:webHidden/>
          </w:rPr>
        </w:r>
        <w:r w:rsidR="006F301E">
          <w:rPr>
            <w:noProof/>
            <w:webHidden/>
          </w:rPr>
          <w:fldChar w:fldCharType="separate"/>
        </w:r>
        <w:r w:rsidR="005E404C">
          <w:rPr>
            <w:noProof/>
            <w:webHidden/>
          </w:rPr>
          <w:t>18</w:t>
        </w:r>
        <w:r w:rsidR="006F301E">
          <w:rPr>
            <w:noProof/>
            <w:webHidden/>
          </w:rPr>
          <w:fldChar w:fldCharType="end"/>
        </w:r>
      </w:hyperlink>
    </w:p>
    <w:p w14:paraId="276EDA92" w14:textId="783FEB06" w:rsidR="006F301E" w:rsidRDefault="00BA3063">
      <w:pPr>
        <w:pStyle w:val="TOC2"/>
        <w:rPr>
          <w:rFonts w:eastAsiaTheme="minorEastAsia"/>
          <w:noProof/>
          <w:sz w:val="22"/>
          <w:lang w:eastAsia="en-AU"/>
        </w:rPr>
      </w:pPr>
      <w:hyperlink w:anchor="_Toc430268911" w:history="1">
        <w:r w:rsidR="006F301E" w:rsidRPr="00461AEC">
          <w:rPr>
            <w:rStyle w:val="Hyperlink"/>
            <w:noProof/>
          </w:rPr>
          <w:t>5.3</w:t>
        </w:r>
        <w:r w:rsidR="006F301E">
          <w:rPr>
            <w:rFonts w:eastAsiaTheme="minorEastAsia"/>
            <w:noProof/>
            <w:sz w:val="22"/>
            <w:lang w:eastAsia="en-AU"/>
          </w:rPr>
          <w:tab/>
        </w:r>
        <w:r w:rsidR="006F301E" w:rsidRPr="00461AEC">
          <w:rPr>
            <w:rStyle w:val="Hyperlink"/>
            <w:noProof/>
          </w:rPr>
          <w:t>Levels of Assurance</w:t>
        </w:r>
        <w:r w:rsidR="006F301E">
          <w:rPr>
            <w:noProof/>
            <w:webHidden/>
          </w:rPr>
          <w:tab/>
        </w:r>
        <w:r w:rsidR="006F301E">
          <w:rPr>
            <w:noProof/>
            <w:webHidden/>
          </w:rPr>
          <w:fldChar w:fldCharType="begin"/>
        </w:r>
        <w:r w:rsidR="006F301E">
          <w:rPr>
            <w:noProof/>
            <w:webHidden/>
          </w:rPr>
          <w:instrText xml:space="preserve"> PAGEREF _Toc430268911 \h </w:instrText>
        </w:r>
        <w:r w:rsidR="006F301E">
          <w:rPr>
            <w:noProof/>
            <w:webHidden/>
          </w:rPr>
        </w:r>
        <w:r w:rsidR="006F301E">
          <w:rPr>
            <w:noProof/>
            <w:webHidden/>
          </w:rPr>
          <w:fldChar w:fldCharType="separate"/>
        </w:r>
        <w:r w:rsidR="005E404C">
          <w:rPr>
            <w:noProof/>
            <w:webHidden/>
          </w:rPr>
          <w:t>19</w:t>
        </w:r>
        <w:r w:rsidR="006F301E">
          <w:rPr>
            <w:noProof/>
            <w:webHidden/>
          </w:rPr>
          <w:fldChar w:fldCharType="end"/>
        </w:r>
      </w:hyperlink>
    </w:p>
    <w:p w14:paraId="62C3EDA0" w14:textId="6C822ECC" w:rsidR="006F301E" w:rsidRDefault="00BA3063">
      <w:pPr>
        <w:pStyle w:val="TOC2"/>
        <w:rPr>
          <w:rFonts w:eastAsiaTheme="minorEastAsia"/>
          <w:noProof/>
          <w:sz w:val="22"/>
          <w:lang w:eastAsia="en-AU"/>
        </w:rPr>
      </w:pPr>
      <w:hyperlink w:anchor="_Toc430268912" w:history="1">
        <w:r w:rsidR="006F301E" w:rsidRPr="00461AEC">
          <w:rPr>
            <w:rStyle w:val="Hyperlink"/>
            <w:noProof/>
          </w:rPr>
          <w:t>5.4</w:t>
        </w:r>
        <w:r w:rsidR="006F301E">
          <w:rPr>
            <w:rFonts w:eastAsiaTheme="minorEastAsia"/>
            <w:noProof/>
            <w:sz w:val="22"/>
            <w:lang w:eastAsia="en-AU"/>
          </w:rPr>
          <w:tab/>
        </w:r>
        <w:r w:rsidR="006F301E" w:rsidRPr="00461AEC">
          <w:rPr>
            <w:rStyle w:val="Hyperlink"/>
            <w:noProof/>
          </w:rPr>
          <w:t>Commonwealth Government Requirements</w:t>
        </w:r>
        <w:r w:rsidR="006F301E">
          <w:rPr>
            <w:noProof/>
            <w:webHidden/>
          </w:rPr>
          <w:tab/>
        </w:r>
        <w:r w:rsidR="006F301E">
          <w:rPr>
            <w:noProof/>
            <w:webHidden/>
          </w:rPr>
          <w:fldChar w:fldCharType="begin"/>
        </w:r>
        <w:r w:rsidR="006F301E">
          <w:rPr>
            <w:noProof/>
            <w:webHidden/>
          </w:rPr>
          <w:instrText xml:space="preserve"> PAGEREF _Toc430268912 \h </w:instrText>
        </w:r>
        <w:r w:rsidR="006F301E">
          <w:rPr>
            <w:noProof/>
            <w:webHidden/>
          </w:rPr>
        </w:r>
        <w:r w:rsidR="006F301E">
          <w:rPr>
            <w:noProof/>
            <w:webHidden/>
          </w:rPr>
          <w:fldChar w:fldCharType="separate"/>
        </w:r>
        <w:r w:rsidR="005E404C">
          <w:rPr>
            <w:noProof/>
            <w:webHidden/>
          </w:rPr>
          <w:t>19</w:t>
        </w:r>
        <w:r w:rsidR="006F301E">
          <w:rPr>
            <w:noProof/>
            <w:webHidden/>
          </w:rPr>
          <w:fldChar w:fldCharType="end"/>
        </w:r>
      </w:hyperlink>
    </w:p>
    <w:p w14:paraId="1180041F" w14:textId="10A2A3F3" w:rsidR="006F301E" w:rsidRDefault="00BA3063">
      <w:pPr>
        <w:pStyle w:val="TOC2"/>
        <w:rPr>
          <w:rFonts w:eastAsiaTheme="minorEastAsia"/>
          <w:noProof/>
          <w:sz w:val="22"/>
          <w:lang w:eastAsia="en-AU"/>
        </w:rPr>
      </w:pPr>
      <w:hyperlink w:anchor="_Toc430268913" w:history="1">
        <w:r w:rsidR="006F301E" w:rsidRPr="00461AEC">
          <w:rPr>
            <w:rStyle w:val="Hyperlink"/>
            <w:noProof/>
          </w:rPr>
          <w:t>5.5</w:t>
        </w:r>
        <w:r w:rsidR="006F301E">
          <w:rPr>
            <w:rFonts w:eastAsiaTheme="minorEastAsia"/>
            <w:noProof/>
            <w:sz w:val="22"/>
            <w:lang w:eastAsia="en-AU"/>
          </w:rPr>
          <w:tab/>
        </w:r>
        <w:r w:rsidR="006F301E" w:rsidRPr="00461AEC">
          <w:rPr>
            <w:rStyle w:val="Hyperlink"/>
            <w:noProof/>
          </w:rPr>
          <w:t>Risk Management</w:t>
        </w:r>
        <w:r w:rsidR="006F301E">
          <w:rPr>
            <w:noProof/>
            <w:webHidden/>
          </w:rPr>
          <w:tab/>
        </w:r>
        <w:r w:rsidR="006F301E">
          <w:rPr>
            <w:noProof/>
            <w:webHidden/>
          </w:rPr>
          <w:fldChar w:fldCharType="begin"/>
        </w:r>
        <w:r w:rsidR="006F301E">
          <w:rPr>
            <w:noProof/>
            <w:webHidden/>
          </w:rPr>
          <w:instrText xml:space="preserve"> PAGEREF _Toc430268913 \h </w:instrText>
        </w:r>
        <w:r w:rsidR="006F301E">
          <w:rPr>
            <w:noProof/>
            <w:webHidden/>
          </w:rPr>
        </w:r>
        <w:r w:rsidR="006F301E">
          <w:rPr>
            <w:noProof/>
            <w:webHidden/>
          </w:rPr>
          <w:fldChar w:fldCharType="separate"/>
        </w:r>
        <w:r w:rsidR="005E404C">
          <w:rPr>
            <w:noProof/>
            <w:webHidden/>
          </w:rPr>
          <w:t>19</w:t>
        </w:r>
        <w:r w:rsidR="006F301E">
          <w:rPr>
            <w:noProof/>
            <w:webHidden/>
          </w:rPr>
          <w:fldChar w:fldCharType="end"/>
        </w:r>
      </w:hyperlink>
    </w:p>
    <w:p w14:paraId="772AC970" w14:textId="06805478" w:rsidR="006F301E" w:rsidRDefault="00BA3063">
      <w:pPr>
        <w:pStyle w:val="TOC2"/>
        <w:rPr>
          <w:rFonts w:eastAsiaTheme="minorEastAsia"/>
          <w:noProof/>
          <w:sz w:val="22"/>
          <w:lang w:eastAsia="en-AU"/>
        </w:rPr>
      </w:pPr>
      <w:hyperlink w:anchor="_Toc430268914" w:history="1">
        <w:r w:rsidR="006F301E" w:rsidRPr="00461AEC">
          <w:rPr>
            <w:rStyle w:val="Hyperlink"/>
            <w:noProof/>
          </w:rPr>
          <w:t>5.6</w:t>
        </w:r>
        <w:r w:rsidR="006F301E">
          <w:rPr>
            <w:rFonts w:eastAsiaTheme="minorEastAsia"/>
            <w:noProof/>
            <w:sz w:val="22"/>
            <w:lang w:eastAsia="en-AU"/>
          </w:rPr>
          <w:tab/>
        </w:r>
        <w:r w:rsidR="006F301E" w:rsidRPr="00461AEC">
          <w:rPr>
            <w:rStyle w:val="Hyperlink"/>
            <w:noProof/>
          </w:rPr>
          <w:t>Accreditation Process</w:t>
        </w:r>
        <w:r w:rsidR="006F301E">
          <w:rPr>
            <w:noProof/>
            <w:webHidden/>
          </w:rPr>
          <w:tab/>
        </w:r>
        <w:r w:rsidR="006F301E">
          <w:rPr>
            <w:noProof/>
            <w:webHidden/>
          </w:rPr>
          <w:fldChar w:fldCharType="begin"/>
        </w:r>
        <w:r w:rsidR="006F301E">
          <w:rPr>
            <w:noProof/>
            <w:webHidden/>
          </w:rPr>
          <w:instrText xml:space="preserve"> PAGEREF _Toc430268914 \h </w:instrText>
        </w:r>
        <w:r w:rsidR="006F301E">
          <w:rPr>
            <w:noProof/>
            <w:webHidden/>
          </w:rPr>
        </w:r>
        <w:r w:rsidR="006F301E">
          <w:rPr>
            <w:noProof/>
            <w:webHidden/>
          </w:rPr>
          <w:fldChar w:fldCharType="separate"/>
        </w:r>
        <w:r w:rsidR="005E404C">
          <w:rPr>
            <w:noProof/>
            <w:webHidden/>
          </w:rPr>
          <w:t>20</w:t>
        </w:r>
        <w:r w:rsidR="006F301E">
          <w:rPr>
            <w:noProof/>
            <w:webHidden/>
          </w:rPr>
          <w:fldChar w:fldCharType="end"/>
        </w:r>
      </w:hyperlink>
    </w:p>
    <w:p w14:paraId="3F7EC606" w14:textId="0784F042" w:rsidR="006F301E" w:rsidRDefault="00BA3063">
      <w:pPr>
        <w:pStyle w:val="TOC2"/>
        <w:rPr>
          <w:rFonts w:eastAsiaTheme="minorEastAsia"/>
          <w:noProof/>
          <w:sz w:val="22"/>
          <w:lang w:eastAsia="en-AU"/>
        </w:rPr>
      </w:pPr>
      <w:hyperlink w:anchor="_Toc430268915" w:history="1">
        <w:r w:rsidR="006F301E" w:rsidRPr="00461AEC">
          <w:rPr>
            <w:rStyle w:val="Hyperlink"/>
            <w:noProof/>
          </w:rPr>
          <w:t>5.7</w:t>
        </w:r>
        <w:r w:rsidR="006F301E">
          <w:rPr>
            <w:rFonts w:eastAsiaTheme="minorEastAsia"/>
            <w:noProof/>
            <w:sz w:val="22"/>
            <w:lang w:eastAsia="en-AU"/>
          </w:rPr>
          <w:tab/>
        </w:r>
        <w:r w:rsidR="006F301E" w:rsidRPr="00461AEC">
          <w:rPr>
            <w:rStyle w:val="Hyperlink"/>
            <w:noProof/>
          </w:rPr>
          <w:t>Accreditation Requirements</w:t>
        </w:r>
        <w:r w:rsidR="006F301E">
          <w:rPr>
            <w:noProof/>
            <w:webHidden/>
          </w:rPr>
          <w:tab/>
        </w:r>
        <w:r w:rsidR="006F301E">
          <w:rPr>
            <w:noProof/>
            <w:webHidden/>
          </w:rPr>
          <w:fldChar w:fldCharType="begin"/>
        </w:r>
        <w:r w:rsidR="006F301E">
          <w:rPr>
            <w:noProof/>
            <w:webHidden/>
          </w:rPr>
          <w:instrText xml:space="preserve"> PAGEREF _Toc430268915 \h </w:instrText>
        </w:r>
        <w:r w:rsidR="006F301E">
          <w:rPr>
            <w:noProof/>
            <w:webHidden/>
          </w:rPr>
        </w:r>
        <w:r w:rsidR="006F301E">
          <w:rPr>
            <w:noProof/>
            <w:webHidden/>
          </w:rPr>
          <w:fldChar w:fldCharType="separate"/>
        </w:r>
        <w:r w:rsidR="005E404C">
          <w:rPr>
            <w:noProof/>
            <w:webHidden/>
          </w:rPr>
          <w:t>23</w:t>
        </w:r>
        <w:r w:rsidR="006F301E">
          <w:rPr>
            <w:noProof/>
            <w:webHidden/>
          </w:rPr>
          <w:fldChar w:fldCharType="end"/>
        </w:r>
      </w:hyperlink>
    </w:p>
    <w:p w14:paraId="7D7FA33A" w14:textId="6A53130B" w:rsidR="006F301E" w:rsidRDefault="00BA3063">
      <w:pPr>
        <w:pStyle w:val="TOC2"/>
        <w:rPr>
          <w:rFonts w:eastAsiaTheme="minorEastAsia"/>
          <w:noProof/>
          <w:sz w:val="22"/>
          <w:lang w:eastAsia="en-AU"/>
        </w:rPr>
      </w:pPr>
      <w:hyperlink w:anchor="_Toc430268916" w:history="1">
        <w:r w:rsidR="006F301E" w:rsidRPr="00461AEC">
          <w:rPr>
            <w:rStyle w:val="Hyperlink"/>
            <w:noProof/>
          </w:rPr>
          <w:t>5.8</w:t>
        </w:r>
        <w:r w:rsidR="006F301E">
          <w:rPr>
            <w:rFonts w:eastAsiaTheme="minorEastAsia"/>
            <w:noProof/>
            <w:sz w:val="22"/>
            <w:lang w:eastAsia="en-AU"/>
          </w:rPr>
          <w:tab/>
        </w:r>
        <w:r w:rsidR="006F301E" w:rsidRPr="00461AEC">
          <w:rPr>
            <w:rStyle w:val="Hyperlink"/>
            <w:noProof/>
          </w:rPr>
          <w:t>Mandatory Requirements</w:t>
        </w:r>
        <w:r w:rsidR="006F301E">
          <w:rPr>
            <w:noProof/>
            <w:webHidden/>
          </w:rPr>
          <w:tab/>
        </w:r>
        <w:r w:rsidR="006F301E">
          <w:rPr>
            <w:noProof/>
            <w:webHidden/>
          </w:rPr>
          <w:fldChar w:fldCharType="begin"/>
        </w:r>
        <w:r w:rsidR="006F301E">
          <w:rPr>
            <w:noProof/>
            <w:webHidden/>
          </w:rPr>
          <w:instrText xml:space="preserve"> PAGEREF _Toc430268916 \h </w:instrText>
        </w:r>
        <w:r w:rsidR="006F301E">
          <w:rPr>
            <w:noProof/>
            <w:webHidden/>
          </w:rPr>
        </w:r>
        <w:r w:rsidR="006F301E">
          <w:rPr>
            <w:noProof/>
            <w:webHidden/>
          </w:rPr>
          <w:fldChar w:fldCharType="separate"/>
        </w:r>
        <w:r w:rsidR="005E404C">
          <w:rPr>
            <w:noProof/>
            <w:webHidden/>
          </w:rPr>
          <w:t>24</w:t>
        </w:r>
        <w:r w:rsidR="006F301E">
          <w:rPr>
            <w:noProof/>
            <w:webHidden/>
          </w:rPr>
          <w:fldChar w:fldCharType="end"/>
        </w:r>
      </w:hyperlink>
    </w:p>
    <w:p w14:paraId="24A5DA1D" w14:textId="14C54352" w:rsidR="006F301E" w:rsidRDefault="00BA3063">
      <w:pPr>
        <w:pStyle w:val="TOC2"/>
        <w:rPr>
          <w:rFonts w:eastAsiaTheme="minorEastAsia"/>
          <w:noProof/>
          <w:sz w:val="22"/>
          <w:lang w:eastAsia="en-AU"/>
        </w:rPr>
      </w:pPr>
      <w:hyperlink w:anchor="_Toc430268917" w:history="1">
        <w:r w:rsidR="006F301E" w:rsidRPr="00461AEC">
          <w:rPr>
            <w:rStyle w:val="Hyperlink"/>
            <w:noProof/>
          </w:rPr>
          <w:t>5.9</w:t>
        </w:r>
        <w:r w:rsidR="006F301E">
          <w:rPr>
            <w:rFonts w:eastAsiaTheme="minorEastAsia"/>
            <w:noProof/>
            <w:sz w:val="22"/>
            <w:lang w:eastAsia="en-AU"/>
          </w:rPr>
          <w:tab/>
        </w:r>
        <w:r w:rsidR="006F301E" w:rsidRPr="00461AEC">
          <w:rPr>
            <w:rStyle w:val="Hyperlink"/>
            <w:noProof/>
          </w:rPr>
          <w:t>Recommended Standards and Guides</w:t>
        </w:r>
        <w:r w:rsidR="006F301E">
          <w:rPr>
            <w:noProof/>
            <w:webHidden/>
          </w:rPr>
          <w:tab/>
        </w:r>
        <w:r w:rsidR="006F301E">
          <w:rPr>
            <w:noProof/>
            <w:webHidden/>
          </w:rPr>
          <w:fldChar w:fldCharType="begin"/>
        </w:r>
        <w:r w:rsidR="006F301E">
          <w:rPr>
            <w:noProof/>
            <w:webHidden/>
          </w:rPr>
          <w:instrText xml:space="preserve"> PAGEREF _Toc430268917 \h </w:instrText>
        </w:r>
        <w:r w:rsidR="006F301E">
          <w:rPr>
            <w:noProof/>
            <w:webHidden/>
          </w:rPr>
        </w:r>
        <w:r w:rsidR="006F301E">
          <w:rPr>
            <w:noProof/>
            <w:webHidden/>
          </w:rPr>
          <w:fldChar w:fldCharType="separate"/>
        </w:r>
        <w:r w:rsidR="005E404C">
          <w:rPr>
            <w:noProof/>
            <w:webHidden/>
          </w:rPr>
          <w:t>25</w:t>
        </w:r>
        <w:r w:rsidR="006F301E">
          <w:rPr>
            <w:noProof/>
            <w:webHidden/>
          </w:rPr>
          <w:fldChar w:fldCharType="end"/>
        </w:r>
      </w:hyperlink>
    </w:p>
    <w:p w14:paraId="09AD4FB3" w14:textId="18AC93E2" w:rsidR="006F301E" w:rsidRDefault="00BA3063">
      <w:pPr>
        <w:pStyle w:val="TOC1"/>
        <w:tabs>
          <w:tab w:val="left" w:pos="400"/>
          <w:tab w:val="right" w:leader="dot" w:pos="9060"/>
        </w:tabs>
        <w:rPr>
          <w:rFonts w:eastAsiaTheme="minorEastAsia"/>
          <w:b w:val="0"/>
          <w:noProof/>
          <w:sz w:val="22"/>
          <w:lang w:eastAsia="en-AU"/>
        </w:rPr>
      </w:pPr>
      <w:hyperlink w:anchor="_Toc430268918" w:history="1">
        <w:r w:rsidR="006F301E" w:rsidRPr="00461AEC">
          <w:rPr>
            <w:rStyle w:val="Hyperlink"/>
            <w:noProof/>
          </w:rPr>
          <w:t>6.</w:t>
        </w:r>
        <w:r w:rsidR="006F301E">
          <w:rPr>
            <w:rFonts w:eastAsiaTheme="minorEastAsia"/>
            <w:b w:val="0"/>
            <w:noProof/>
            <w:sz w:val="22"/>
            <w:lang w:eastAsia="en-AU"/>
          </w:rPr>
          <w:tab/>
        </w:r>
        <w:r w:rsidR="006F301E" w:rsidRPr="00461AEC">
          <w:rPr>
            <w:rStyle w:val="Hyperlink"/>
            <w:noProof/>
          </w:rPr>
          <w:t>Core Obligations</w:t>
        </w:r>
        <w:r w:rsidR="006F301E">
          <w:rPr>
            <w:noProof/>
            <w:webHidden/>
          </w:rPr>
          <w:tab/>
        </w:r>
        <w:r w:rsidR="006F301E">
          <w:rPr>
            <w:noProof/>
            <w:webHidden/>
          </w:rPr>
          <w:fldChar w:fldCharType="begin"/>
        </w:r>
        <w:r w:rsidR="006F301E">
          <w:rPr>
            <w:noProof/>
            <w:webHidden/>
          </w:rPr>
          <w:instrText xml:space="preserve"> PAGEREF _Toc430268918 \h </w:instrText>
        </w:r>
        <w:r w:rsidR="006F301E">
          <w:rPr>
            <w:noProof/>
            <w:webHidden/>
          </w:rPr>
        </w:r>
        <w:r w:rsidR="006F301E">
          <w:rPr>
            <w:noProof/>
            <w:webHidden/>
          </w:rPr>
          <w:fldChar w:fldCharType="separate"/>
        </w:r>
        <w:r w:rsidR="005E404C">
          <w:rPr>
            <w:noProof/>
            <w:webHidden/>
          </w:rPr>
          <w:t>26</w:t>
        </w:r>
        <w:r w:rsidR="006F301E">
          <w:rPr>
            <w:noProof/>
            <w:webHidden/>
          </w:rPr>
          <w:fldChar w:fldCharType="end"/>
        </w:r>
      </w:hyperlink>
    </w:p>
    <w:p w14:paraId="58D72C3D" w14:textId="5D37ADCB" w:rsidR="006F301E" w:rsidRDefault="00BA3063">
      <w:pPr>
        <w:pStyle w:val="TOC2"/>
        <w:rPr>
          <w:rFonts w:eastAsiaTheme="minorEastAsia"/>
          <w:noProof/>
          <w:sz w:val="22"/>
          <w:lang w:eastAsia="en-AU"/>
        </w:rPr>
      </w:pPr>
      <w:hyperlink w:anchor="_Toc430268919" w:history="1">
        <w:r w:rsidR="006F301E" w:rsidRPr="00461AEC">
          <w:rPr>
            <w:rStyle w:val="Hyperlink"/>
            <w:noProof/>
          </w:rPr>
          <w:t>6.1</w:t>
        </w:r>
        <w:r w:rsidR="006F301E">
          <w:rPr>
            <w:rFonts w:eastAsiaTheme="minorEastAsia"/>
            <w:noProof/>
            <w:sz w:val="22"/>
            <w:lang w:eastAsia="en-AU"/>
          </w:rPr>
          <w:tab/>
        </w:r>
        <w:r w:rsidR="006F301E" w:rsidRPr="00461AEC">
          <w:rPr>
            <w:rStyle w:val="Hyperlink"/>
            <w:noProof/>
          </w:rPr>
          <w:t>Core Obligations Policy</w:t>
        </w:r>
        <w:r w:rsidR="006F301E">
          <w:rPr>
            <w:noProof/>
            <w:webHidden/>
          </w:rPr>
          <w:tab/>
        </w:r>
        <w:r w:rsidR="006F301E">
          <w:rPr>
            <w:noProof/>
            <w:webHidden/>
          </w:rPr>
          <w:fldChar w:fldCharType="begin"/>
        </w:r>
        <w:r w:rsidR="006F301E">
          <w:rPr>
            <w:noProof/>
            <w:webHidden/>
          </w:rPr>
          <w:instrText xml:space="preserve"> PAGEREF _Toc430268919 \h </w:instrText>
        </w:r>
        <w:r w:rsidR="006F301E">
          <w:rPr>
            <w:noProof/>
            <w:webHidden/>
          </w:rPr>
        </w:r>
        <w:r w:rsidR="006F301E">
          <w:rPr>
            <w:noProof/>
            <w:webHidden/>
          </w:rPr>
          <w:fldChar w:fldCharType="separate"/>
        </w:r>
        <w:r w:rsidR="005E404C">
          <w:rPr>
            <w:noProof/>
            <w:webHidden/>
          </w:rPr>
          <w:t>26</w:t>
        </w:r>
        <w:r w:rsidR="006F301E">
          <w:rPr>
            <w:noProof/>
            <w:webHidden/>
          </w:rPr>
          <w:fldChar w:fldCharType="end"/>
        </w:r>
      </w:hyperlink>
    </w:p>
    <w:p w14:paraId="51C9126D" w14:textId="46D397C8" w:rsidR="006F301E" w:rsidRDefault="00BA3063">
      <w:pPr>
        <w:pStyle w:val="TOC2"/>
        <w:rPr>
          <w:rFonts w:eastAsiaTheme="minorEastAsia"/>
          <w:noProof/>
          <w:sz w:val="22"/>
          <w:lang w:eastAsia="en-AU"/>
        </w:rPr>
      </w:pPr>
      <w:hyperlink w:anchor="_Toc430268920" w:history="1">
        <w:r w:rsidR="006F301E" w:rsidRPr="00461AEC">
          <w:rPr>
            <w:rStyle w:val="Hyperlink"/>
            <w:noProof/>
          </w:rPr>
          <w:t>6.2</w:t>
        </w:r>
        <w:r w:rsidR="006F301E">
          <w:rPr>
            <w:rFonts w:eastAsiaTheme="minorEastAsia"/>
            <w:noProof/>
            <w:sz w:val="22"/>
            <w:lang w:eastAsia="en-AU"/>
          </w:rPr>
          <w:tab/>
        </w:r>
        <w:r w:rsidR="006F301E" w:rsidRPr="00461AEC">
          <w:rPr>
            <w:rStyle w:val="Hyperlink"/>
            <w:noProof/>
          </w:rPr>
          <w:t>Liability</w:t>
        </w:r>
        <w:r w:rsidR="006F301E">
          <w:rPr>
            <w:noProof/>
            <w:webHidden/>
          </w:rPr>
          <w:tab/>
        </w:r>
        <w:r w:rsidR="006F301E">
          <w:rPr>
            <w:noProof/>
            <w:webHidden/>
          </w:rPr>
          <w:fldChar w:fldCharType="begin"/>
        </w:r>
        <w:r w:rsidR="006F301E">
          <w:rPr>
            <w:noProof/>
            <w:webHidden/>
          </w:rPr>
          <w:instrText xml:space="preserve"> PAGEREF _Toc430268920 \h </w:instrText>
        </w:r>
        <w:r w:rsidR="006F301E">
          <w:rPr>
            <w:noProof/>
            <w:webHidden/>
          </w:rPr>
        </w:r>
        <w:r w:rsidR="006F301E">
          <w:rPr>
            <w:noProof/>
            <w:webHidden/>
          </w:rPr>
          <w:fldChar w:fldCharType="separate"/>
        </w:r>
        <w:r w:rsidR="005E404C">
          <w:rPr>
            <w:noProof/>
            <w:webHidden/>
          </w:rPr>
          <w:t>26</w:t>
        </w:r>
        <w:r w:rsidR="006F301E">
          <w:rPr>
            <w:noProof/>
            <w:webHidden/>
          </w:rPr>
          <w:fldChar w:fldCharType="end"/>
        </w:r>
      </w:hyperlink>
    </w:p>
    <w:p w14:paraId="29D4B983" w14:textId="50E3EDE5" w:rsidR="006F301E" w:rsidRDefault="00BA3063">
      <w:pPr>
        <w:pStyle w:val="TOC2"/>
        <w:rPr>
          <w:rFonts w:eastAsiaTheme="minorEastAsia"/>
          <w:noProof/>
          <w:sz w:val="22"/>
          <w:lang w:eastAsia="en-AU"/>
        </w:rPr>
      </w:pPr>
      <w:hyperlink w:anchor="_Toc430268921" w:history="1">
        <w:r w:rsidR="006F301E" w:rsidRPr="00461AEC">
          <w:rPr>
            <w:rStyle w:val="Hyperlink"/>
            <w:noProof/>
          </w:rPr>
          <w:t>6.3</w:t>
        </w:r>
        <w:r w:rsidR="006F301E">
          <w:rPr>
            <w:rFonts w:eastAsiaTheme="minorEastAsia"/>
            <w:noProof/>
            <w:sz w:val="22"/>
            <w:lang w:eastAsia="en-AU"/>
          </w:rPr>
          <w:tab/>
        </w:r>
        <w:r w:rsidR="006F301E" w:rsidRPr="00461AEC">
          <w:rPr>
            <w:rStyle w:val="Hyperlink"/>
            <w:noProof/>
          </w:rPr>
          <w:t>Service Providers</w:t>
        </w:r>
        <w:r w:rsidR="006F301E">
          <w:rPr>
            <w:noProof/>
            <w:webHidden/>
          </w:rPr>
          <w:tab/>
        </w:r>
        <w:r w:rsidR="006F301E">
          <w:rPr>
            <w:noProof/>
            <w:webHidden/>
          </w:rPr>
          <w:fldChar w:fldCharType="begin"/>
        </w:r>
        <w:r w:rsidR="006F301E">
          <w:rPr>
            <w:noProof/>
            <w:webHidden/>
          </w:rPr>
          <w:instrText xml:space="preserve"> PAGEREF _Toc430268921 \h </w:instrText>
        </w:r>
        <w:r w:rsidR="006F301E">
          <w:rPr>
            <w:noProof/>
            <w:webHidden/>
          </w:rPr>
        </w:r>
        <w:r w:rsidR="006F301E">
          <w:rPr>
            <w:noProof/>
            <w:webHidden/>
          </w:rPr>
          <w:fldChar w:fldCharType="separate"/>
        </w:r>
        <w:r w:rsidR="005E404C">
          <w:rPr>
            <w:noProof/>
            <w:webHidden/>
          </w:rPr>
          <w:t>26</w:t>
        </w:r>
        <w:r w:rsidR="006F301E">
          <w:rPr>
            <w:noProof/>
            <w:webHidden/>
          </w:rPr>
          <w:fldChar w:fldCharType="end"/>
        </w:r>
      </w:hyperlink>
    </w:p>
    <w:p w14:paraId="60DDAF3A" w14:textId="16F6BECA" w:rsidR="006F301E" w:rsidRDefault="00BA3063">
      <w:pPr>
        <w:pStyle w:val="TOC2"/>
        <w:rPr>
          <w:rFonts w:eastAsiaTheme="minorEastAsia"/>
          <w:noProof/>
          <w:sz w:val="22"/>
          <w:lang w:eastAsia="en-AU"/>
        </w:rPr>
      </w:pPr>
      <w:hyperlink w:anchor="_Toc430268922" w:history="1">
        <w:r w:rsidR="006F301E" w:rsidRPr="00461AEC">
          <w:rPr>
            <w:rStyle w:val="Hyperlink"/>
            <w:noProof/>
          </w:rPr>
          <w:t>6.4</w:t>
        </w:r>
        <w:r w:rsidR="006F301E">
          <w:rPr>
            <w:rFonts w:eastAsiaTheme="minorEastAsia"/>
            <w:noProof/>
            <w:sz w:val="22"/>
            <w:lang w:eastAsia="en-AU"/>
          </w:rPr>
          <w:tab/>
        </w:r>
        <w:r w:rsidR="006F301E" w:rsidRPr="00461AEC">
          <w:rPr>
            <w:rStyle w:val="Hyperlink"/>
            <w:noProof/>
          </w:rPr>
          <w:t>Certification Authority</w:t>
        </w:r>
        <w:r w:rsidR="006F301E">
          <w:rPr>
            <w:noProof/>
            <w:webHidden/>
          </w:rPr>
          <w:tab/>
        </w:r>
        <w:r w:rsidR="006F301E">
          <w:rPr>
            <w:noProof/>
            <w:webHidden/>
          </w:rPr>
          <w:fldChar w:fldCharType="begin"/>
        </w:r>
        <w:r w:rsidR="006F301E">
          <w:rPr>
            <w:noProof/>
            <w:webHidden/>
          </w:rPr>
          <w:instrText xml:space="preserve"> PAGEREF _Toc430268922 \h </w:instrText>
        </w:r>
        <w:r w:rsidR="006F301E">
          <w:rPr>
            <w:noProof/>
            <w:webHidden/>
          </w:rPr>
        </w:r>
        <w:r w:rsidR="006F301E">
          <w:rPr>
            <w:noProof/>
            <w:webHidden/>
          </w:rPr>
          <w:fldChar w:fldCharType="separate"/>
        </w:r>
        <w:r w:rsidR="005E404C">
          <w:rPr>
            <w:noProof/>
            <w:webHidden/>
          </w:rPr>
          <w:t>27</w:t>
        </w:r>
        <w:r w:rsidR="006F301E">
          <w:rPr>
            <w:noProof/>
            <w:webHidden/>
          </w:rPr>
          <w:fldChar w:fldCharType="end"/>
        </w:r>
      </w:hyperlink>
    </w:p>
    <w:p w14:paraId="33983FB4" w14:textId="4F6FC606" w:rsidR="006F301E" w:rsidRDefault="00BA3063">
      <w:pPr>
        <w:pStyle w:val="TOC2"/>
        <w:rPr>
          <w:rFonts w:eastAsiaTheme="minorEastAsia"/>
          <w:noProof/>
          <w:sz w:val="22"/>
          <w:lang w:eastAsia="en-AU"/>
        </w:rPr>
      </w:pPr>
      <w:hyperlink w:anchor="_Toc430268923" w:history="1">
        <w:r w:rsidR="006F301E" w:rsidRPr="00461AEC">
          <w:rPr>
            <w:rStyle w:val="Hyperlink"/>
            <w:noProof/>
          </w:rPr>
          <w:t>6.5</w:t>
        </w:r>
        <w:r w:rsidR="006F301E">
          <w:rPr>
            <w:rFonts w:eastAsiaTheme="minorEastAsia"/>
            <w:noProof/>
            <w:sz w:val="22"/>
            <w:lang w:eastAsia="en-AU"/>
          </w:rPr>
          <w:tab/>
        </w:r>
        <w:r w:rsidR="006F301E" w:rsidRPr="00461AEC">
          <w:rPr>
            <w:rStyle w:val="Hyperlink"/>
            <w:noProof/>
          </w:rPr>
          <w:t>Registration Authority</w:t>
        </w:r>
        <w:r w:rsidR="006F301E">
          <w:rPr>
            <w:noProof/>
            <w:webHidden/>
          </w:rPr>
          <w:tab/>
        </w:r>
        <w:r w:rsidR="006F301E">
          <w:rPr>
            <w:noProof/>
            <w:webHidden/>
          </w:rPr>
          <w:fldChar w:fldCharType="begin"/>
        </w:r>
        <w:r w:rsidR="006F301E">
          <w:rPr>
            <w:noProof/>
            <w:webHidden/>
          </w:rPr>
          <w:instrText xml:space="preserve"> PAGEREF _Toc430268923 \h </w:instrText>
        </w:r>
        <w:r w:rsidR="006F301E">
          <w:rPr>
            <w:noProof/>
            <w:webHidden/>
          </w:rPr>
        </w:r>
        <w:r w:rsidR="006F301E">
          <w:rPr>
            <w:noProof/>
            <w:webHidden/>
          </w:rPr>
          <w:fldChar w:fldCharType="separate"/>
        </w:r>
        <w:r w:rsidR="005E404C">
          <w:rPr>
            <w:noProof/>
            <w:webHidden/>
          </w:rPr>
          <w:t>31</w:t>
        </w:r>
        <w:r w:rsidR="006F301E">
          <w:rPr>
            <w:noProof/>
            <w:webHidden/>
          </w:rPr>
          <w:fldChar w:fldCharType="end"/>
        </w:r>
      </w:hyperlink>
    </w:p>
    <w:p w14:paraId="72D0AAFD" w14:textId="17B644E8" w:rsidR="006F301E" w:rsidRDefault="00BA3063">
      <w:pPr>
        <w:pStyle w:val="TOC2"/>
        <w:rPr>
          <w:rFonts w:eastAsiaTheme="minorEastAsia"/>
          <w:noProof/>
          <w:sz w:val="22"/>
          <w:lang w:eastAsia="en-AU"/>
        </w:rPr>
      </w:pPr>
      <w:hyperlink w:anchor="_Toc430268924" w:history="1">
        <w:r w:rsidR="006F301E" w:rsidRPr="00461AEC">
          <w:rPr>
            <w:rStyle w:val="Hyperlink"/>
            <w:noProof/>
          </w:rPr>
          <w:t>6.6</w:t>
        </w:r>
        <w:r w:rsidR="006F301E">
          <w:rPr>
            <w:rFonts w:eastAsiaTheme="minorEastAsia"/>
            <w:noProof/>
            <w:sz w:val="22"/>
            <w:lang w:eastAsia="en-AU"/>
          </w:rPr>
          <w:tab/>
        </w:r>
        <w:r w:rsidR="006F301E" w:rsidRPr="00461AEC">
          <w:rPr>
            <w:rStyle w:val="Hyperlink"/>
            <w:noProof/>
          </w:rPr>
          <w:t>Validation Authority</w:t>
        </w:r>
        <w:r w:rsidR="006F301E">
          <w:rPr>
            <w:noProof/>
            <w:webHidden/>
          </w:rPr>
          <w:tab/>
        </w:r>
        <w:r w:rsidR="006F301E">
          <w:rPr>
            <w:noProof/>
            <w:webHidden/>
          </w:rPr>
          <w:fldChar w:fldCharType="begin"/>
        </w:r>
        <w:r w:rsidR="006F301E">
          <w:rPr>
            <w:noProof/>
            <w:webHidden/>
          </w:rPr>
          <w:instrText xml:space="preserve"> PAGEREF _Toc430268924 \h </w:instrText>
        </w:r>
        <w:r w:rsidR="006F301E">
          <w:rPr>
            <w:noProof/>
            <w:webHidden/>
          </w:rPr>
        </w:r>
        <w:r w:rsidR="006F301E">
          <w:rPr>
            <w:noProof/>
            <w:webHidden/>
          </w:rPr>
          <w:fldChar w:fldCharType="separate"/>
        </w:r>
        <w:r w:rsidR="005E404C">
          <w:rPr>
            <w:noProof/>
            <w:webHidden/>
          </w:rPr>
          <w:t>31</w:t>
        </w:r>
        <w:r w:rsidR="006F301E">
          <w:rPr>
            <w:noProof/>
            <w:webHidden/>
          </w:rPr>
          <w:fldChar w:fldCharType="end"/>
        </w:r>
      </w:hyperlink>
    </w:p>
    <w:p w14:paraId="4A3C9A81" w14:textId="7075CDC0" w:rsidR="006F301E" w:rsidRDefault="00BA3063">
      <w:pPr>
        <w:pStyle w:val="TOC2"/>
        <w:rPr>
          <w:rFonts w:eastAsiaTheme="minorEastAsia"/>
          <w:noProof/>
          <w:sz w:val="22"/>
          <w:lang w:eastAsia="en-AU"/>
        </w:rPr>
      </w:pPr>
      <w:hyperlink w:anchor="_Toc430268925" w:history="1">
        <w:r w:rsidR="006F301E" w:rsidRPr="00461AEC">
          <w:rPr>
            <w:rStyle w:val="Hyperlink"/>
            <w:noProof/>
          </w:rPr>
          <w:t>6.7</w:t>
        </w:r>
        <w:r w:rsidR="006F301E">
          <w:rPr>
            <w:rFonts w:eastAsiaTheme="minorEastAsia"/>
            <w:noProof/>
            <w:sz w:val="22"/>
            <w:lang w:eastAsia="en-AU"/>
          </w:rPr>
          <w:tab/>
        </w:r>
        <w:r w:rsidR="006F301E" w:rsidRPr="00461AEC">
          <w:rPr>
            <w:rStyle w:val="Hyperlink"/>
            <w:noProof/>
          </w:rPr>
          <w:t>Subscriber</w:t>
        </w:r>
        <w:r w:rsidR="006F301E">
          <w:rPr>
            <w:noProof/>
            <w:webHidden/>
          </w:rPr>
          <w:tab/>
        </w:r>
        <w:r w:rsidR="006F301E">
          <w:rPr>
            <w:noProof/>
            <w:webHidden/>
          </w:rPr>
          <w:fldChar w:fldCharType="begin"/>
        </w:r>
        <w:r w:rsidR="006F301E">
          <w:rPr>
            <w:noProof/>
            <w:webHidden/>
          </w:rPr>
          <w:instrText xml:space="preserve"> PAGEREF _Toc430268925 \h </w:instrText>
        </w:r>
        <w:r w:rsidR="006F301E">
          <w:rPr>
            <w:noProof/>
            <w:webHidden/>
          </w:rPr>
        </w:r>
        <w:r w:rsidR="006F301E">
          <w:rPr>
            <w:noProof/>
            <w:webHidden/>
          </w:rPr>
          <w:fldChar w:fldCharType="separate"/>
        </w:r>
        <w:r w:rsidR="005E404C">
          <w:rPr>
            <w:noProof/>
            <w:webHidden/>
          </w:rPr>
          <w:t>32</w:t>
        </w:r>
        <w:r w:rsidR="006F301E">
          <w:rPr>
            <w:noProof/>
            <w:webHidden/>
          </w:rPr>
          <w:fldChar w:fldCharType="end"/>
        </w:r>
      </w:hyperlink>
    </w:p>
    <w:p w14:paraId="1200249A" w14:textId="6347F5D6" w:rsidR="006F301E" w:rsidRDefault="00BA3063">
      <w:pPr>
        <w:pStyle w:val="TOC2"/>
        <w:rPr>
          <w:rFonts w:eastAsiaTheme="minorEastAsia"/>
          <w:noProof/>
          <w:sz w:val="22"/>
          <w:lang w:eastAsia="en-AU"/>
        </w:rPr>
      </w:pPr>
      <w:hyperlink w:anchor="_Toc430268926" w:history="1">
        <w:r w:rsidR="006F301E" w:rsidRPr="00461AEC">
          <w:rPr>
            <w:rStyle w:val="Hyperlink"/>
            <w:noProof/>
          </w:rPr>
          <w:t>6.8</w:t>
        </w:r>
        <w:r w:rsidR="006F301E">
          <w:rPr>
            <w:rFonts w:eastAsiaTheme="minorEastAsia"/>
            <w:noProof/>
            <w:sz w:val="22"/>
            <w:lang w:eastAsia="en-AU"/>
          </w:rPr>
          <w:tab/>
        </w:r>
        <w:r w:rsidR="006F301E" w:rsidRPr="00461AEC">
          <w:rPr>
            <w:rStyle w:val="Hyperlink"/>
            <w:noProof/>
          </w:rPr>
          <w:t>Relying Party</w:t>
        </w:r>
        <w:r w:rsidR="006F301E">
          <w:rPr>
            <w:noProof/>
            <w:webHidden/>
          </w:rPr>
          <w:tab/>
        </w:r>
        <w:r w:rsidR="006F301E">
          <w:rPr>
            <w:noProof/>
            <w:webHidden/>
          </w:rPr>
          <w:fldChar w:fldCharType="begin"/>
        </w:r>
        <w:r w:rsidR="006F301E">
          <w:rPr>
            <w:noProof/>
            <w:webHidden/>
          </w:rPr>
          <w:instrText xml:space="preserve"> PAGEREF _Toc430268926 \h </w:instrText>
        </w:r>
        <w:r w:rsidR="006F301E">
          <w:rPr>
            <w:noProof/>
            <w:webHidden/>
          </w:rPr>
        </w:r>
        <w:r w:rsidR="006F301E">
          <w:rPr>
            <w:noProof/>
            <w:webHidden/>
          </w:rPr>
          <w:fldChar w:fldCharType="separate"/>
        </w:r>
        <w:r w:rsidR="005E404C">
          <w:rPr>
            <w:noProof/>
            <w:webHidden/>
          </w:rPr>
          <w:t>33</w:t>
        </w:r>
        <w:r w:rsidR="006F301E">
          <w:rPr>
            <w:noProof/>
            <w:webHidden/>
          </w:rPr>
          <w:fldChar w:fldCharType="end"/>
        </w:r>
      </w:hyperlink>
    </w:p>
    <w:p w14:paraId="2A88E457" w14:textId="05B0CB0B" w:rsidR="006F301E" w:rsidRDefault="00BA3063">
      <w:pPr>
        <w:pStyle w:val="TOC1"/>
        <w:tabs>
          <w:tab w:val="left" w:pos="400"/>
          <w:tab w:val="right" w:leader="dot" w:pos="9060"/>
        </w:tabs>
        <w:rPr>
          <w:rFonts w:eastAsiaTheme="minorEastAsia"/>
          <w:b w:val="0"/>
          <w:noProof/>
          <w:sz w:val="22"/>
          <w:lang w:eastAsia="en-AU"/>
        </w:rPr>
      </w:pPr>
      <w:hyperlink w:anchor="_Toc430268927" w:history="1">
        <w:r w:rsidR="006F301E" w:rsidRPr="00461AEC">
          <w:rPr>
            <w:rStyle w:val="Hyperlink"/>
            <w:noProof/>
          </w:rPr>
          <w:t>7.</w:t>
        </w:r>
        <w:r w:rsidR="006F301E">
          <w:rPr>
            <w:rFonts w:eastAsiaTheme="minorEastAsia"/>
            <w:b w:val="0"/>
            <w:noProof/>
            <w:sz w:val="22"/>
            <w:lang w:eastAsia="en-AU"/>
          </w:rPr>
          <w:tab/>
        </w:r>
        <w:r w:rsidR="006F301E" w:rsidRPr="00461AEC">
          <w:rPr>
            <w:rStyle w:val="Hyperlink"/>
            <w:noProof/>
          </w:rPr>
          <w:t>Gatekeeper Mandatory Security Requirements</w:t>
        </w:r>
        <w:r w:rsidR="006F301E">
          <w:rPr>
            <w:noProof/>
            <w:webHidden/>
          </w:rPr>
          <w:tab/>
        </w:r>
        <w:r w:rsidR="006F301E">
          <w:rPr>
            <w:noProof/>
            <w:webHidden/>
          </w:rPr>
          <w:fldChar w:fldCharType="begin"/>
        </w:r>
        <w:r w:rsidR="006F301E">
          <w:rPr>
            <w:noProof/>
            <w:webHidden/>
          </w:rPr>
          <w:instrText xml:space="preserve"> PAGEREF _Toc430268927 \h </w:instrText>
        </w:r>
        <w:r w:rsidR="006F301E">
          <w:rPr>
            <w:noProof/>
            <w:webHidden/>
          </w:rPr>
        </w:r>
        <w:r w:rsidR="006F301E">
          <w:rPr>
            <w:noProof/>
            <w:webHidden/>
          </w:rPr>
          <w:fldChar w:fldCharType="separate"/>
        </w:r>
        <w:r w:rsidR="005E404C">
          <w:rPr>
            <w:noProof/>
            <w:webHidden/>
          </w:rPr>
          <w:t>34</w:t>
        </w:r>
        <w:r w:rsidR="006F301E">
          <w:rPr>
            <w:noProof/>
            <w:webHidden/>
          </w:rPr>
          <w:fldChar w:fldCharType="end"/>
        </w:r>
      </w:hyperlink>
    </w:p>
    <w:p w14:paraId="60ACA084" w14:textId="03B26634" w:rsidR="006F301E" w:rsidRDefault="00BA3063">
      <w:pPr>
        <w:pStyle w:val="TOC1"/>
        <w:tabs>
          <w:tab w:val="left" w:pos="400"/>
          <w:tab w:val="right" w:leader="dot" w:pos="9060"/>
        </w:tabs>
        <w:rPr>
          <w:rFonts w:eastAsiaTheme="minorEastAsia"/>
          <w:b w:val="0"/>
          <w:noProof/>
          <w:sz w:val="22"/>
          <w:lang w:eastAsia="en-AU"/>
        </w:rPr>
      </w:pPr>
      <w:hyperlink w:anchor="_Toc430268928" w:history="1">
        <w:r w:rsidR="006F301E" w:rsidRPr="00461AEC">
          <w:rPr>
            <w:rStyle w:val="Hyperlink"/>
            <w:noProof/>
          </w:rPr>
          <w:t>8.</w:t>
        </w:r>
        <w:r w:rsidR="006F301E">
          <w:rPr>
            <w:rFonts w:eastAsiaTheme="minorEastAsia"/>
            <w:b w:val="0"/>
            <w:noProof/>
            <w:sz w:val="22"/>
            <w:lang w:eastAsia="en-AU"/>
          </w:rPr>
          <w:tab/>
        </w:r>
        <w:r w:rsidR="006F301E" w:rsidRPr="00461AEC">
          <w:rPr>
            <w:rStyle w:val="Hyperlink"/>
            <w:noProof/>
          </w:rPr>
          <w:t>Operational Evaluations</w:t>
        </w:r>
        <w:r w:rsidR="006F301E">
          <w:rPr>
            <w:noProof/>
            <w:webHidden/>
          </w:rPr>
          <w:tab/>
        </w:r>
        <w:r w:rsidR="006F301E">
          <w:rPr>
            <w:noProof/>
            <w:webHidden/>
          </w:rPr>
          <w:fldChar w:fldCharType="begin"/>
        </w:r>
        <w:r w:rsidR="006F301E">
          <w:rPr>
            <w:noProof/>
            <w:webHidden/>
          </w:rPr>
          <w:instrText xml:space="preserve"> PAGEREF _Toc430268928 \h </w:instrText>
        </w:r>
        <w:r w:rsidR="006F301E">
          <w:rPr>
            <w:noProof/>
            <w:webHidden/>
          </w:rPr>
        </w:r>
        <w:r w:rsidR="006F301E">
          <w:rPr>
            <w:noProof/>
            <w:webHidden/>
          </w:rPr>
          <w:fldChar w:fldCharType="separate"/>
        </w:r>
        <w:r w:rsidR="005E404C">
          <w:rPr>
            <w:noProof/>
            <w:webHidden/>
          </w:rPr>
          <w:t>39</w:t>
        </w:r>
        <w:r w:rsidR="006F301E">
          <w:rPr>
            <w:noProof/>
            <w:webHidden/>
          </w:rPr>
          <w:fldChar w:fldCharType="end"/>
        </w:r>
      </w:hyperlink>
    </w:p>
    <w:p w14:paraId="5996C9A9" w14:textId="2F9E667B" w:rsidR="006F301E" w:rsidRDefault="00BA3063">
      <w:pPr>
        <w:pStyle w:val="TOC2"/>
        <w:rPr>
          <w:rFonts w:eastAsiaTheme="minorEastAsia"/>
          <w:noProof/>
          <w:sz w:val="22"/>
          <w:lang w:eastAsia="en-AU"/>
        </w:rPr>
      </w:pPr>
      <w:hyperlink w:anchor="_Toc430268929" w:history="1">
        <w:r w:rsidR="006F301E" w:rsidRPr="00461AEC">
          <w:rPr>
            <w:rStyle w:val="Hyperlink"/>
            <w:noProof/>
          </w:rPr>
          <w:t>8.1</w:t>
        </w:r>
        <w:r w:rsidR="006F301E">
          <w:rPr>
            <w:rFonts w:eastAsiaTheme="minorEastAsia"/>
            <w:noProof/>
            <w:sz w:val="22"/>
            <w:lang w:eastAsia="en-AU"/>
          </w:rPr>
          <w:tab/>
        </w:r>
        <w:r w:rsidR="006F301E" w:rsidRPr="00461AEC">
          <w:rPr>
            <w:rStyle w:val="Hyperlink"/>
            <w:noProof/>
          </w:rPr>
          <w:t>Information Security Registered Assessors Program</w:t>
        </w:r>
        <w:r w:rsidR="006F301E">
          <w:rPr>
            <w:noProof/>
            <w:webHidden/>
          </w:rPr>
          <w:tab/>
        </w:r>
        <w:r w:rsidR="006F301E">
          <w:rPr>
            <w:noProof/>
            <w:webHidden/>
          </w:rPr>
          <w:fldChar w:fldCharType="begin"/>
        </w:r>
        <w:r w:rsidR="006F301E">
          <w:rPr>
            <w:noProof/>
            <w:webHidden/>
          </w:rPr>
          <w:instrText xml:space="preserve"> PAGEREF _Toc430268929 \h </w:instrText>
        </w:r>
        <w:r w:rsidR="006F301E">
          <w:rPr>
            <w:noProof/>
            <w:webHidden/>
          </w:rPr>
        </w:r>
        <w:r w:rsidR="006F301E">
          <w:rPr>
            <w:noProof/>
            <w:webHidden/>
          </w:rPr>
          <w:fldChar w:fldCharType="separate"/>
        </w:r>
        <w:r w:rsidR="005E404C">
          <w:rPr>
            <w:noProof/>
            <w:webHidden/>
          </w:rPr>
          <w:t>39</w:t>
        </w:r>
        <w:r w:rsidR="006F301E">
          <w:rPr>
            <w:noProof/>
            <w:webHidden/>
          </w:rPr>
          <w:fldChar w:fldCharType="end"/>
        </w:r>
      </w:hyperlink>
    </w:p>
    <w:p w14:paraId="08C32CD8" w14:textId="079832D7" w:rsidR="006F301E" w:rsidRDefault="00BA3063">
      <w:pPr>
        <w:pStyle w:val="TOC2"/>
        <w:rPr>
          <w:rFonts w:eastAsiaTheme="minorEastAsia"/>
          <w:noProof/>
          <w:sz w:val="22"/>
          <w:lang w:eastAsia="en-AU"/>
        </w:rPr>
      </w:pPr>
      <w:hyperlink w:anchor="_Toc430268930" w:history="1">
        <w:r w:rsidR="006F301E" w:rsidRPr="00461AEC">
          <w:rPr>
            <w:rStyle w:val="Hyperlink"/>
            <w:noProof/>
          </w:rPr>
          <w:t>8.2</w:t>
        </w:r>
        <w:r w:rsidR="006F301E">
          <w:rPr>
            <w:rFonts w:eastAsiaTheme="minorEastAsia"/>
            <w:noProof/>
            <w:sz w:val="22"/>
            <w:lang w:eastAsia="en-AU"/>
          </w:rPr>
          <w:tab/>
        </w:r>
        <w:r w:rsidR="006F301E" w:rsidRPr="00461AEC">
          <w:rPr>
            <w:rStyle w:val="Hyperlink"/>
            <w:noProof/>
          </w:rPr>
          <w:t>Privacy Impact Assessment</w:t>
        </w:r>
        <w:r w:rsidR="006F301E">
          <w:rPr>
            <w:noProof/>
            <w:webHidden/>
          </w:rPr>
          <w:tab/>
        </w:r>
        <w:r w:rsidR="006F301E">
          <w:rPr>
            <w:noProof/>
            <w:webHidden/>
          </w:rPr>
          <w:fldChar w:fldCharType="begin"/>
        </w:r>
        <w:r w:rsidR="006F301E">
          <w:rPr>
            <w:noProof/>
            <w:webHidden/>
          </w:rPr>
          <w:instrText xml:space="preserve"> PAGEREF _Toc430268930 \h </w:instrText>
        </w:r>
        <w:r w:rsidR="006F301E">
          <w:rPr>
            <w:noProof/>
            <w:webHidden/>
          </w:rPr>
        </w:r>
        <w:r w:rsidR="006F301E">
          <w:rPr>
            <w:noProof/>
            <w:webHidden/>
          </w:rPr>
          <w:fldChar w:fldCharType="separate"/>
        </w:r>
        <w:r w:rsidR="005E404C">
          <w:rPr>
            <w:noProof/>
            <w:webHidden/>
          </w:rPr>
          <w:t>39</w:t>
        </w:r>
        <w:r w:rsidR="006F301E">
          <w:rPr>
            <w:noProof/>
            <w:webHidden/>
          </w:rPr>
          <w:fldChar w:fldCharType="end"/>
        </w:r>
      </w:hyperlink>
    </w:p>
    <w:p w14:paraId="429C02C8" w14:textId="46E24540" w:rsidR="006F301E" w:rsidRDefault="00BA3063">
      <w:pPr>
        <w:pStyle w:val="TOC1"/>
        <w:tabs>
          <w:tab w:val="left" w:pos="400"/>
          <w:tab w:val="right" w:leader="dot" w:pos="9060"/>
        </w:tabs>
        <w:rPr>
          <w:rFonts w:eastAsiaTheme="minorEastAsia"/>
          <w:b w:val="0"/>
          <w:noProof/>
          <w:sz w:val="22"/>
          <w:lang w:eastAsia="en-AU"/>
        </w:rPr>
      </w:pPr>
      <w:hyperlink w:anchor="_Toc430268931" w:history="1">
        <w:r w:rsidR="006F301E" w:rsidRPr="00461AEC">
          <w:rPr>
            <w:rStyle w:val="Hyperlink"/>
            <w:noProof/>
          </w:rPr>
          <w:t>9.</w:t>
        </w:r>
        <w:r w:rsidR="006F301E">
          <w:rPr>
            <w:rFonts w:eastAsiaTheme="minorEastAsia"/>
            <w:b w:val="0"/>
            <w:noProof/>
            <w:sz w:val="22"/>
            <w:lang w:eastAsia="en-AU"/>
          </w:rPr>
          <w:tab/>
        </w:r>
        <w:r w:rsidR="006F301E" w:rsidRPr="00461AEC">
          <w:rPr>
            <w:rStyle w:val="Hyperlink"/>
            <w:noProof/>
          </w:rPr>
          <w:t>Gatekeeper Approved Documents</w:t>
        </w:r>
        <w:r w:rsidR="006F301E">
          <w:rPr>
            <w:noProof/>
            <w:webHidden/>
          </w:rPr>
          <w:tab/>
        </w:r>
        <w:r w:rsidR="006F301E">
          <w:rPr>
            <w:noProof/>
            <w:webHidden/>
          </w:rPr>
          <w:fldChar w:fldCharType="begin"/>
        </w:r>
        <w:r w:rsidR="006F301E">
          <w:rPr>
            <w:noProof/>
            <w:webHidden/>
          </w:rPr>
          <w:instrText xml:space="preserve"> PAGEREF _Toc430268931 \h </w:instrText>
        </w:r>
        <w:r w:rsidR="006F301E">
          <w:rPr>
            <w:noProof/>
            <w:webHidden/>
          </w:rPr>
        </w:r>
        <w:r w:rsidR="006F301E">
          <w:rPr>
            <w:noProof/>
            <w:webHidden/>
          </w:rPr>
          <w:fldChar w:fldCharType="separate"/>
        </w:r>
        <w:r w:rsidR="005E404C">
          <w:rPr>
            <w:noProof/>
            <w:webHidden/>
          </w:rPr>
          <w:t>41</w:t>
        </w:r>
        <w:r w:rsidR="006F301E">
          <w:rPr>
            <w:noProof/>
            <w:webHidden/>
          </w:rPr>
          <w:fldChar w:fldCharType="end"/>
        </w:r>
      </w:hyperlink>
    </w:p>
    <w:p w14:paraId="762381DA" w14:textId="74E191AF" w:rsidR="006F301E" w:rsidRDefault="00BA3063">
      <w:pPr>
        <w:pStyle w:val="TOC2"/>
        <w:rPr>
          <w:rFonts w:eastAsiaTheme="minorEastAsia"/>
          <w:noProof/>
          <w:sz w:val="22"/>
          <w:lang w:eastAsia="en-AU"/>
        </w:rPr>
      </w:pPr>
      <w:hyperlink w:anchor="_Toc430268932" w:history="1">
        <w:r w:rsidR="006F301E" w:rsidRPr="00461AEC">
          <w:rPr>
            <w:rStyle w:val="Hyperlink"/>
            <w:noProof/>
          </w:rPr>
          <w:t>9.1</w:t>
        </w:r>
        <w:r w:rsidR="006F301E">
          <w:rPr>
            <w:rFonts w:eastAsiaTheme="minorEastAsia"/>
            <w:noProof/>
            <w:sz w:val="22"/>
            <w:lang w:eastAsia="en-AU"/>
          </w:rPr>
          <w:tab/>
        </w:r>
        <w:r w:rsidR="006F301E" w:rsidRPr="00461AEC">
          <w:rPr>
            <w:rStyle w:val="Hyperlink"/>
            <w:noProof/>
          </w:rPr>
          <w:t>Information Security Documentation</w:t>
        </w:r>
        <w:r w:rsidR="006F301E">
          <w:rPr>
            <w:noProof/>
            <w:webHidden/>
          </w:rPr>
          <w:tab/>
        </w:r>
        <w:r w:rsidR="006F301E">
          <w:rPr>
            <w:noProof/>
            <w:webHidden/>
          </w:rPr>
          <w:fldChar w:fldCharType="begin"/>
        </w:r>
        <w:r w:rsidR="006F301E">
          <w:rPr>
            <w:noProof/>
            <w:webHidden/>
          </w:rPr>
          <w:instrText xml:space="preserve"> PAGEREF _Toc430268932 \h </w:instrText>
        </w:r>
        <w:r w:rsidR="006F301E">
          <w:rPr>
            <w:noProof/>
            <w:webHidden/>
          </w:rPr>
        </w:r>
        <w:r w:rsidR="006F301E">
          <w:rPr>
            <w:noProof/>
            <w:webHidden/>
          </w:rPr>
          <w:fldChar w:fldCharType="separate"/>
        </w:r>
        <w:r w:rsidR="005E404C">
          <w:rPr>
            <w:noProof/>
            <w:webHidden/>
          </w:rPr>
          <w:t>41</w:t>
        </w:r>
        <w:r w:rsidR="006F301E">
          <w:rPr>
            <w:noProof/>
            <w:webHidden/>
          </w:rPr>
          <w:fldChar w:fldCharType="end"/>
        </w:r>
      </w:hyperlink>
    </w:p>
    <w:p w14:paraId="4B39882C" w14:textId="431FDF0C" w:rsidR="006F301E" w:rsidRDefault="00BA3063">
      <w:pPr>
        <w:pStyle w:val="TOC2"/>
        <w:rPr>
          <w:rFonts w:eastAsiaTheme="minorEastAsia"/>
          <w:noProof/>
          <w:sz w:val="22"/>
          <w:lang w:eastAsia="en-AU"/>
        </w:rPr>
      </w:pPr>
      <w:hyperlink w:anchor="_Toc430268933" w:history="1">
        <w:r w:rsidR="006F301E" w:rsidRPr="00461AEC">
          <w:rPr>
            <w:rStyle w:val="Hyperlink"/>
            <w:noProof/>
          </w:rPr>
          <w:t>9.2</w:t>
        </w:r>
        <w:r w:rsidR="006F301E">
          <w:rPr>
            <w:rFonts w:eastAsiaTheme="minorEastAsia"/>
            <w:noProof/>
            <w:sz w:val="22"/>
            <w:lang w:eastAsia="en-AU"/>
          </w:rPr>
          <w:tab/>
        </w:r>
        <w:r w:rsidR="006F301E" w:rsidRPr="00461AEC">
          <w:rPr>
            <w:rStyle w:val="Hyperlink"/>
            <w:noProof/>
          </w:rPr>
          <w:t>Information Security Policy</w:t>
        </w:r>
        <w:r w:rsidR="006F301E">
          <w:rPr>
            <w:noProof/>
            <w:webHidden/>
          </w:rPr>
          <w:tab/>
        </w:r>
        <w:r w:rsidR="006F301E">
          <w:rPr>
            <w:noProof/>
            <w:webHidden/>
          </w:rPr>
          <w:fldChar w:fldCharType="begin"/>
        </w:r>
        <w:r w:rsidR="006F301E">
          <w:rPr>
            <w:noProof/>
            <w:webHidden/>
          </w:rPr>
          <w:instrText xml:space="preserve"> PAGEREF _Toc430268933 \h </w:instrText>
        </w:r>
        <w:r w:rsidR="006F301E">
          <w:rPr>
            <w:noProof/>
            <w:webHidden/>
          </w:rPr>
        </w:r>
        <w:r w:rsidR="006F301E">
          <w:rPr>
            <w:noProof/>
            <w:webHidden/>
          </w:rPr>
          <w:fldChar w:fldCharType="separate"/>
        </w:r>
        <w:r w:rsidR="005E404C">
          <w:rPr>
            <w:noProof/>
            <w:webHidden/>
          </w:rPr>
          <w:t>42</w:t>
        </w:r>
        <w:r w:rsidR="006F301E">
          <w:rPr>
            <w:noProof/>
            <w:webHidden/>
          </w:rPr>
          <w:fldChar w:fldCharType="end"/>
        </w:r>
      </w:hyperlink>
    </w:p>
    <w:p w14:paraId="7929E31D" w14:textId="362198D1" w:rsidR="006F301E" w:rsidRDefault="00BA3063">
      <w:pPr>
        <w:pStyle w:val="TOC2"/>
        <w:rPr>
          <w:rFonts w:eastAsiaTheme="minorEastAsia"/>
          <w:noProof/>
          <w:sz w:val="22"/>
          <w:lang w:eastAsia="en-AU"/>
        </w:rPr>
      </w:pPr>
      <w:hyperlink w:anchor="_Toc430268934" w:history="1">
        <w:r w:rsidR="006F301E" w:rsidRPr="00461AEC">
          <w:rPr>
            <w:rStyle w:val="Hyperlink"/>
            <w:noProof/>
          </w:rPr>
          <w:t>9.3</w:t>
        </w:r>
        <w:r w:rsidR="006F301E">
          <w:rPr>
            <w:rFonts w:eastAsiaTheme="minorEastAsia"/>
            <w:noProof/>
            <w:sz w:val="22"/>
            <w:lang w:eastAsia="en-AU"/>
          </w:rPr>
          <w:tab/>
        </w:r>
        <w:r w:rsidR="006F301E" w:rsidRPr="00461AEC">
          <w:rPr>
            <w:rStyle w:val="Hyperlink"/>
            <w:noProof/>
          </w:rPr>
          <w:t>Protective Security Risk Review</w:t>
        </w:r>
        <w:r w:rsidR="006F301E">
          <w:rPr>
            <w:noProof/>
            <w:webHidden/>
          </w:rPr>
          <w:tab/>
        </w:r>
        <w:r w:rsidR="006F301E">
          <w:rPr>
            <w:noProof/>
            <w:webHidden/>
          </w:rPr>
          <w:fldChar w:fldCharType="begin"/>
        </w:r>
        <w:r w:rsidR="006F301E">
          <w:rPr>
            <w:noProof/>
            <w:webHidden/>
          </w:rPr>
          <w:instrText xml:space="preserve"> PAGEREF _Toc430268934 \h </w:instrText>
        </w:r>
        <w:r w:rsidR="006F301E">
          <w:rPr>
            <w:noProof/>
            <w:webHidden/>
          </w:rPr>
        </w:r>
        <w:r w:rsidR="006F301E">
          <w:rPr>
            <w:noProof/>
            <w:webHidden/>
          </w:rPr>
          <w:fldChar w:fldCharType="separate"/>
        </w:r>
        <w:r w:rsidR="005E404C">
          <w:rPr>
            <w:noProof/>
            <w:webHidden/>
          </w:rPr>
          <w:t>43</w:t>
        </w:r>
        <w:r w:rsidR="006F301E">
          <w:rPr>
            <w:noProof/>
            <w:webHidden/>
          </w:rPr>
          <w:fldChar w:fldCharType="end"/>
        </w:r>
      </w:hyperlink>
    </w:p>
    <w:p w14:paraId="56FAB549" w14:textId="3BD1A32A" w:rsidR="006F301E" w:rsidRDefault="00BA3063">
      <w:pPr>
        <w:pStyle w:val="TOC2"/>
        <w:rPr>
          <w:rFonts w:eastAsiaTheme="minorEastAsia"/>
          <w:noProof/>
          <w:sz w:val="22"/>
          <w:lang w:eastAsia="en-AU"/>
        </w:rPr>
      </w:pPr>
      <w:hyperlink w:anchor="_Toc430268935" w:history="1">
        <w:r w:rsidR="006F301E" w:rsidRPr="00461AEC">
          <w:rPr>
            <w:rStyle w:val="Hyperlink"/>
            <w:noProof/>
          </w:rPr>
          <w:t>9.4</w:t>
        </w:r>
        <w:r w:rsidR="006F301E">
          <w:rPr>
            <w:rFonts w:eastAsiaTheme="minorEastAsia"/>
            <w:noProof/>
            <w:sz w:val="22"/>
            <w:lang w:eastAsia="en-AU"/>
          </w:rPr>
          <w:tab/>
        </w:r>
        <w:r w:rsidR="006F301E" w:rsidRPr="00461AEC">
          <w:rPr>
            <w:rStyle w:val="Hyperlink"/>
            <w:noProof/>
          </w:rPr>
          <w:t>Security Risk Management Plan</w:t>
        </w:r>
        <w:r w:rsidR="006F301E">
          <w:rPr>
            <w:noProof/>
            <w:webHidden/>
          </w:rPr>
          <w:tab/>
        </w:r>
        <w:r w:rsidR="006F301E">
          <w:rPr>
            <w:noProof/>
            <w:webHidden/>
          </w:rPr>
          <w:fldChar w:fldCharType="begin"/>
        </w:r>
        <w:r w:rsidR="006F301E">
          <w:rPr>
            <w:noProof/>
            <w:webHidden/>
          </w:rPr>
          <w:instrText xml:space="preserve"> PAGEREF _Toc430268935 \h </w:instrText>
        </w:r>
        <w:r w:rsidR="006F301E">
          <w:rPr>
            <w:noProof/>
            <w:webHidden/>
          </w:rPr>
        </w:r>
        <w:r w:rsidR="006F301E">
          <w:rPr>
            <w:noProof/>
            <w:webHidden/>
          </w:rPr>
          <w:fldChar w:fldCharType="separate"/>
        </w:r>
        <w:r w:rsidR="005E404C">
          <w:rPr>
            <w:noProof/>
            <w:webHidden/>
          </w:rPr>
          <w:t>44</w:t>
        </w:r>
        <w:r w:rsidR="006F301E">
          <w:rPr>
            <w:noProof/>
            <w:webHidden/>
          </w:rPr>
          <w:fldChar w:fldCharType="end"/>
        </w:r>
      </w:hyperlink>
    </w:p>
    <w:p w14:paraId="6B09A522" w14:textId="207633A6" w:rsidR="006F301E" w:rsidRDefault="00BA3063">
      <w:pPr>
        <w:pStyle w:val="TOC2"/>
        <w:rPr>
          <w:rFonts w:eastAsiaTheme="minorEastAsia"/>
          <w:noProof/>
          <w:sz w:val="22"/>
          <w:lang w:eastAsia="en-AU"/>
        </w:rPr>
      </w:pPr>
      <w:hyperlink w:anchor="_Toc430268936" w:history="1">
        <w:r w:rsidR="006F301E" w:rsidRPr="00461AEC">
          <w:rPr>
            <w:rStyle w:val="Hyperlink"/>
            <w:noProof/>
          </w:rPr>
          <w:t>9.5</w:t>
        </w:r>
        <w:r w:rsidR="006F301E">
          <w:rPr>
            <w:rFonts w:eastAsiaTheme="minorEastAsia"/>
            <w:noProof/>
            <w:sz w:val="22"/>
            <w:lang w:eastAsia="en-AU"/>
          </w:rPr>
          <w:tab/>
        </w:r>
        <w:r w:rsidR="006F301E" w:rsidRPr="00461AEC">
          <w:rPr>
            <w:rStyle w:val="Hyperlink"/>
            <w:noProof/>
          </w:rPr>
          <w:t>System Security Plan</w:t>
        </w:r>
        <w:r w:rsidR="006F301E">
          <w:rPr>
            <w:noProof/>
            <w:webHidden/>
          </w:rPr>
          <w:tab/>
        </w:r>
        <w:r w:rsidR="006F301E">
          <w:rPr>
            <w:noProof/>
            <w:webHidden/>
          </w:rPr>
          <w:fldChar w:fldCharType="begin"/>
        </w:r>
        <w:r w:rsidR="006F301E">
          <w:rPr>
            <w:noProof/>
            <w:webHidden/>
          </w:rPr>
          <w:instrText xml:space="preserve"> PAGEREF _Toc430268936 \h </w:instrText>
        </w:r>
        <w:r w:rsidR="006F301E">
          <w:rPr>
            <w:noProof/>
            <w:webHidden/>
          </w:rPr>
        </w:r>
        <w:r w:rsidR="006F301E">
          <w:rPr>
            <w:noProof/>
            <w:webHidden/>
          </w:rPr>
          <w:fldChar w:fldCharType="separate"/>
        </w:r>
        <w:r w:rsidR="005E404C">
          <w:rPr>
            <w:noProof/>
            <w:webHidden/>
          </w:rPr>
          <w:t>46</w:t>
        </w:r>
        <w:r w:rsidR="006F301E">
          <w:rPr>
            <w:noProof/>
            <w:webHidden/>
          </w:rPr>
          <w:fldChar w:fldCharType="end"/>
        </w:r>
      </w:hyperlink>
    </w:p>
    <w:p w14:paraId="6C10ED9A" w14:textId="591DFC11" w:rsidR="006F301E" w:rsidRDefault="00BA3063">
      <w:pPr>
        <w:pStyle w:val="TOC2"/>
        <w:rPr>
          <w:rFonts w:eastAsiaTheme="minorEastAsia"/>
          <w:noProof/>
          <w:sz w:val="22"/>
          <w:lang w:eastAsia="en-AU"/>
        </w:rPr>
      </w:pPr>
      <w:hyperlink w:anchor="_Toc430268937" w:history="1">
        <w:r w:rsidR="006F301E" w:rsidRPr="00461AEC">
          <w:rPr>
            <w:rStyle w:val="Hyperlink"/>
            <w:noProof/>
          </w:rPr>
          <w:t>9.6</w:t>
        </w:r>
        <w:r w:rsidR="006F301E">
          <w:rPr>
            <w:rFonts w:eastAsiaTheme="minorEastAsia"/>
            <w:noProof/>
            <w:sz w:val="22"/>
            <w:lang w:eastAsia="en-AU"/>
          </w:rPr>
          <w:tab/>
        </w:r>
        <w:r w:rsidR="006F301E" w:rsidRPr="00461AEC">
          <w:rPr>
            <w:rStyle w:val="Hyperlink"/>
            <w:noProof/>
          </w:rPr>
          <w:t>Physical and Environmental Security Plan</w:t>
        </w:r>
        <w:r w:rsidR="006F301E">
          <w:rPr>
            <w:noProof/>
            <w:webHidden/>
          </w:rPr>
          <w:tab/>
        </w:r>
        <w:r w:rsidR="006F301E">
          <w:rPr>
            <w:noProof/>
            <w:webHidden/>
          </w:rPr>
          <w:fldChar w:fldCharType="begin"/>
        </w:r>
        <w:r w:rsidR="006F301E">
          <w:rPr>
            <w:noProof/>
            <w:webHidden/>
          </w:rPr>
          <w:instrText xml:space="preserve"> PAGEREF _Toc430268937 \h </w:instrText>
        </w:r>
        <w:r w:rsidR="006F301E">
          <w:rPr>
            <w:noProof/>
            <w:webHidden/>
          </w:rPr>
        </w:r>
        <w:r w:rsidR="006F301E">
          <w:rPr>
            <w:noProof/>
            <w:webHidden/>
          </w:rPr>
          <w:fldChar w:fldCharType="separate"/>
        </w:r>
        <w:r w:rsidR="005E404C">
          <w:rPr>
            <w:noProof/>
            <w:webHidden/>
          </w:rPr>
          <w:t>50</w:t>
        </w:r>
        <w:r w:rsidR="006F301E">
          <w:rPr>
            <w:noProof/>
            <w:webHidden/>
          </w:rPr>
          <w:fldChar w:fldCharType="end"/>
        </w:r>
      </w:hyperlink>
    </w:p>
    <w:p w14:paraId="60782EA5" w14:textId="5CD2A1E9" w:rsidR="006F301E" w:rsidRDefault="00BA3063">
      <w:pPr>
        <w:pStyle w:val="TOC2"/>
        <w:rPr>
          <w:rFonts w:eastAsiaTheme="minorEastAsia"/>
          <w:noProof/>
          <w:sz w:val="22"/>
          <w:lang w:eastAsia="en-AU"/>
        </w:rPr>
      </w:pPr>
      <w:hyperlink w:anchor="_Toc430268938" w:history="1">
        <w:r w:rsidR="006F301E" w:rsidRPr="00461AEC">
          <w:rPr>
            <w:rStyle w:val="Hyperlink"/>
            <w:noProof/>
          </w:rPr>
          <w:t>9.7</w:t>
        </w:r>
        <w:r w:rsidR="006F301E">
          <w:rPr>
            <w:rFonts w:eastAsiaTheme="minorEastAsia"/>
            <w:noProof/>
            <w:sz w:val="22"/>
            <w:lang w:eastAsia="en-AU"/>
          </w:rPr>
          <w:tab/>
        </w:r>
        <w:r w:rsidR="006F301E" w:rsidRPr="00461AEC">
          <w:rPr>
            <w:rStyle w:val="Hyperlink"/>
            <w:noProof/>
          </w:rPr>
          <w:t>Personnel Security Plan</w:t>
        </w:r>
        <w:r w:rsidR="006F301E">
          <w:rPr>
            <w:noProof/>
            <w:webHidden/>
          </w:rPr>
          <w:tab/>
        </w:r>
        <w:r w:rsidR="006F301E">
          <w:rPr>
            <w:noProof/>
            <w:webHidden/>
          </w:rPr>
          <w:fldChar w:fldCharType="begin"/>
        </w:r>
        <w:r w:rsidR="006F301E">
          <w:rPr>
            <w:noProof/>
            <w:webHidden/>
          </w:rPr>
          <w:instrText xml:space="preserve"> PAGEREF _Toc430268938 \h </w:instrText>
        </w:r>
        <w:r w:rsidR="006F301E">
          <w:rPr>
            <w:noProof/>
            <w:webHidden/>
          </w:rPr>
        </w:r>
        <w:r w:rsidR="006F301E">
          <w:rPr>
            <w:noProof/>
            <w:webHidden/>
          </w:rPr>
          <w:fldChar w:fldCharType="separate"/>
        </w:r>
        <w:r w:rsidR="005E404C">
          <w:rPr>
            <w:noProof/>
            <w:webHidden/>
          </w:rPr>
          <w:t>51</w:t>
        </w:r>
        <w:r w:rsidR="006F301E">
          <w:rPr>
            <w:noProof/>
            <w:webHidden/>
          </w:rPr>
          <w:fldChar w:fldCharType="end"/>
        </w:r>
      </w:hyperlink>
    </w:p>
    <w:p w14:paraId="7DA259F6" w14:textId="1669E5B8" w:rsidR="006F301E" w:rsidRDefault="00BA3063">
      <w:pPr>
        <w:pStyle w:val="TOC2"/>
        <w:rPr>
          <w:rFonts w:eastAsiaTheme="minorEastAsia"/>
          <w:noProof/>
          <w:sz w:val="22"/>
          <w:lang w:eastAsia="en-AU"/>
        </w:rPr>
      </w:pPr>
      <w:hyperlink w:anchor="_Toc430268939" w:history="1">
        <w:r w:rsidR="006F301E" w:rsidRPr="00461AEC">
          <w:rPr>
            <w:rStyle w:val="Hyperlink"/>
            <w:noProof/>
          </w:rPr>
          <w:t>9.8</w:t>
        </w:r>
        <w:r w:rsidR="006F301E">
          <w:rPr>
            <w:rFonts w:eastAsiaTheme="minorEastAsia"/>
            <w:noProof/>
            <w:sz w:val="22"/>
            <w:lang w:eastAsia="en-AU"/>
          </w:rPr>
          <w:tab/>
        </w:r>
        <w:r w:rsidR="006F301E" w:rsidRPr="00461AEC">
          <w:rPr>
            <w:rStyle w:val="Hyperlink"/>
            <w:noProof/>
          </w:rPr>
          <w:t>Incident Response Plan</w:t>
        </w:r>
        <w:r w:rsidR="006F301E">
          <w:rPr>
            <w:noProof/>
            <w:webHidden/>
          </w:rPr>
          <w:tab/>
        </w:r>
        <w:r w:rsidR="006F301E">
          <w:rPr>
            <w:noProof/>
            <w:webHidden/>
          </w:rPr>
          <w:fldChar w:fldCharType="begin"/>
        </w:r>
        <w:r w:rsidR="006F301E">
          <w:rPr>
            <w:noProof/>
            <w:webHidden/>
          </w:rPr>
          <w:instrText xml:space="preserve"> PAGEREF _Toc430268939 \h </w:instrText>
        </w:r>
        <w:r w:rsidR="006F301E">
          <w:rPr>
            <w:noProof/>
            <w:webHidden/>
          </w:rPr>
        </w:r>
        <w:r w:rsidR="006F301E">
          <w:rPr>
            <w:noProof/>
            <w:webHidden/>
          </w:rPr>
          <w:fldChar w:fldCharType="separate"/>
        </w:r>
        <w:r w:rsidR="005E404C">
          <w:rPr>
            <w:noProof/>
            <w:webHidden/>
          </w:rPr>
          <w:t>52</w:t>
        </w:r>
        <w:r w:rsidR="006F301E">
          <w:rPr>
            <w:noProof/>
            <w:webHidden/>
          </w:rPr>
          <w:fldChar w:fldCharType="end"/>
        </w:r>
      </w:hyperlink>
    </w:p>
    <w:p w14:paraId="58623364" w14:textId="15B61211" w:rsidR="006F301E" w:rsidRDefault="00BA3063">
      <w:pPr>
        <w:pStyle w:val="TOC2"/>
        <w:rPr>
          <w:rFonts w:eastAsiaTheme="minorEastAsia"/>
          <w:noProof/>
          <w:sz w:val="22"/>
          <w:lang w:eastAsia="en-AU"/>
        </w:rPr>
      </w:pPr>
      <w:hyperlink w:anchor="_Toc430268940" w:history="1">
        <w:r w:rsidR="006F301E" w:rsidRPr="00461AEC">
          <w:rPr>
            <w:rStyle w:val="Hyperlink"/>
            <w:noProof/>
          </w:rPr>
          <w:t>9.9</w:t>
        </w:r>
        <w:r w:rsidR="006F301E">
          <w:rPr>
            <w:rFonts w:eastAsiaTheme="minorEastAsia"/>
            <w:noProof/>
            <w:sz w:val="22"/>
            <w:lang w:eastAsia="en-AU"/>
          </w:rPr>
          <w:tab/>
        </w:r>
        <w:r w:rsidR="006F301E" w:rsidRPr="00461AEC">
          <w:rPr>
            <w:rStyle w:val="Hyperlink"/>
            <w:noProof/>
          </w:rPr>
          <w:t>Cryptographic Key Management Plan</w:t>
        </w:r>
        <w:r w:rsidR="006F301E">
          <w:rPr>
            <w:noProof/>
            <w:webHidden/>
          </w:rPr>
          <w:tab/>
        </w:r>
        <w:r w:rsidR="006F301E">
          <w:rPr>
            <w:noProof/>
            <w:webHidden/>
          </w:rPr>
          <w:fldChar w:fldCharType="begin"/>
        </w:r>
        <w:r w:rsidR="006F301E">
          <w:rPr>
            <w:noProof/>
            <w:webHidden/>
          </w:rPr>
          <w:instrText xml:space="preserve"> PAGEREF _Toc430268940 \h </w:instrText>
        </w:r>
        <w:r w:rsidR="006F301E">
          <w:rPr>
            <w:noProof/>
            <w:webHidden/>
          </w:rPr>
        </w:r>
        <w:r w:rsidR="006F301E">
          <w:rPr>
            <w:noProof/>
            <w:webHidden/>
          </w:rPr>
          <w:fldChar w:fldCharType="separate"/>
        </w:r>
        <w:r w:rsidR="005E404C">
          <w:rPr>
            <w:noProof/>
            <w:webHidden/>
          </w:rPr>
          <w:t>53</w:t>
        </w:r>
        <w:r w:rsidR="006F301E">
          <w:rPr>
            <w:noProof/>
            <w:webHidden/>
          </w:rPr>
          <w:fldChar w:fldCharType="end"/>
        </w:r>
      </w:hyperlink>
    </w:p>
    <w:p w14:paraId="4A5A7B70" w14:textId="1A364719" w:rsidR="006F301E" w:rsidRDefault="00BA3063">
      <w:pPr>
        <w:pStyle w:val="TOC2"/>
        <w:rPr>
          <w:rFonts w:eastAsiaTheme="minorEastAsia"/>
          <w:noProof/>
          <w:sz w:val="22"/>
          <w:lang w:eastAsia="en-AU"/>
        </w:rPr>
      </w:pPr>
      <w:hyperlink w:anchor="_Toc430268941" w:history="1">
        <w:r w:rsidR="006F301E" w:rsidRPr="00461AEC">
          <w:rPr>
            <w:rStyle w:val="Hyperlink"/>
            <w:noProof/>
          </w:rPr>
          <w:t>9.10</w:t>
        </w:r>
        <w:r w:rsidR="006F301E">
          <w:rPr>
            <w:rFonts w:eastAsiaTheme="minorEastAsia"/>
            <w:noProof/>
            <w:sz w:val="22"/>
            <w:lang w:eastAsia="en-AU"/>
          </w:rPr>
          <w:tab/>
        </w:r>
        <w:r w:rsidR="006F301E" w:rsidRPr="00461AEC">
          <w:rPr>
            <w:rStyle w:val="Hyperlink"/>
            <w:noProof/>
          </w:rPr>
          <w:t>Disaster Recovery and Business Continuity Plan</w:t>
        </w:r>
        <w:r w:rsidR="006F301E">
          <w:rPr>
            <w:noProof/>
            <w:webHidden/>
          </w:rPr>
          <w:tab/>
        </w:r>
        <w:r w:rsidR="006F301E">
          <w:rPr>
            <w:noProof/>
            <w:webHidden/>
          </w:rPr>
          <w:fldChar w:fldCharType="begin"/>
        </w:r>
        <w:r w:rsidR="006F301E">
          <w:rPr>
            <w:noProof/>
            <w:webHidden/>
          </w:rPr>
          <w:instrText xml:space="preserve"> PAGEREF _Toc430268941 \h </w:instrText>
        </w:r>
        <w:r w:rsidR="006F301E">
          <w:rPr>
            <w:noProof/>
            <w:webHidden/>
          </w:rPr>
        </w:r>
        <w:r w:rsidR="006F301E">
          <w:rPr>
            <w:noProof/>
            <w:webHidden/>
          </w:rPr>
          <w:fldChar w:fldCharType="separate"/>
        </w:r>
        <w:r w:rsidR="005E404C">
          <w:rPr>
            <w:noProof/>
            <w:webHidden/>
          </w:rPr>
          <w:t>56</w:t>
        </w:r>
        <w:r w:rsidR="006F301E">
          <w:rPr>
            <w:noProof/>
            <w:webHidden/>
          </w:rPr>
          <w:fldChar w:fldCharType="end"/>
        </w:r>
      </w:hyperlink>
    </w:p>
    <w:p w14:paraId="0C3E580C" w14:textId="040186BE" w:rsidR="006F301E" w:rsidRDefault="00BA3063">
      <w:pPr>
        <w:pStyle w:val="TOC1"/>
        <w:tabs>
          <w:tab w:val="left" w:pos="660"/>
          <w:tab w:val="right" w:leader="dot" w:pos="9060"/>
        </w:tabs>
        <w:rPr>
          <w:rFonts w:eastAsiaTheme="minorEastAsia"/>
          <w:b w:val="0"/>
          <w:noProof/>
          <w:sz w:val="22"/>
          <w:lang w:eastAsia="en-AU"/>
        </w:rPr>
      </w:pPr>
      <w:hyperlink w:anchor="_Toc430268942" w:history="1">
        <w:r w:rsidR="006F301E" w:rsidRPr="00461AEC">
          <w:rPr>
            <w:rStyle w:val="Hyperlink"/>
            <w:noProof/>
          </w:rPr>
          <w:t>10.</w:t>
        </w:r>
        <w:r w:rsidR="006F301E">
          <w:rPr>
            <w:rFonts w:eastAsiaTheme="minorEastAsia"/>
            <w:b w:val="0"/>
            <w:noProof/>
            <w:sz w:val="22"/>
            <w:lang w:eastAsia="en-AU"/>
          </w:rPr>
          <w:tab/>
        </w:r>
        <w:r w:rsidR="006F301E" w:rsidRPr="00461AEC">
          <w:rPr>
            <w:rStyle w:val="Hyperlink"/>
            <w:noProof/>
          </w:rPr>
          <w:t>Registration Authority</w:t>
        </w:r>
        <w:r w:rsidR="006F301E">
          <w:rPr>
            <w:noProof/>
            <w:webHidden/>
          </w:rPr>
          <w:tab/>
        </w:r>
        <w:r w:rsidR="006F301E">
          <w:rPr>
            <w:noProof/>
            <w:webHidden/>
          </w:rPr>
          <w:fldChar w:fldCharType="begin"/>
        </w:r>
        <w:r w:rsidR="006F301E">
          <w:rPr>
            <w:noProof/>
            <w:webHidden/>
          </w:rPr>
          <w:instrText xml:space="preserve"> PAGEREF _Toc430268942 \h </w:instrText>
        </w:r>
        <w:r w:rsidR="006F301E">
          <w:rPr>
            <w:noProof/>
            <w:webHidden/>
          </w:rPr>
        </w:r>
        <w:r w:rsidR="006F301E">
          <w:rPr>
            <w:noProof/>
            <w:webHidden/>
          </w:rPr>
          <w:fldChar w:fldCharType="separate"/>
        </w:r>
        <w:r w:rsidR="005E404C">
          <w:rPr>
            <w:noProof/>
            <w:webHidden/>
          </w:rPr>
          <w:t>57</w:t>
        </w:r>
        <w:r w:rsidR="006F301E">
          <w:rPr>
            <w:noProof/>
            <w:webHidden/>
          </w:rPr>
          <w:fldChar w:fldCharType="end"/>
        </w:r>
      </w:hyperlink>
    </w:p>
    <w:p w14:paraId="4EC48E76" w14:textId="53D73C84" w:rsidR="006F301E" w:rsidRDefault="00BA3063">
      <w:pPr>
        <w:pStyle w:val="TOC2"/>
        <w:rPr>
          <w:rFonts w:eastAsiaTheme="minorEastAsia"/>
          <w:noProof/>
          <w:sz w:val="22"/>
          <w:lang w:eastAsia="en-AU"/>
        </w:rPr>
      </w:pPr>
      <w:hyperlink w:anchor="_Toc430268943" w:history="1">
        <w:r w:rsidR="006F301E" w:rsidRPr="00461AEC">
          <w:rPr>
            <w:rStyle w:val="Hyperlink"/>
            <w:noProof/>
          </w:rPr>
          <w:t>10.1</w:t>
        </w:r>
        <w:r w:rsidR="006F301E">
          <w:rPr>
            <w:rFonts w:eastAsiaTheme="minorEastAsia"/>
            <w:noProof/>
            <w:sz w:val="22"/>
            <w:lang w:eastAsia="en-AU"/>
          </w:rPr>
          <w:tab/>
        </w:r>
        <w:r w:rsidR="006F301E" w:rsidRPr="00461AEC">
          <w:rPr>
            <w:rStyle w:val="Hyperlink"/>
            <w:noProof/>
          </w:rPr>
          <w:t>Registration Authority</w:t>
        </w:r>
        <w:r w:rsidR="006F301E">
          <w:rPr>
            <w:noProof/>
            <w:webHidden/>
          </w:rPr>
          <w:tab/>
        </w:r>
        <w:r w:rsidR="006F301E">
          <w:rPr>
            <w:noProof/>
            <w:webHidden/>
          </w:rPr>
          <w:fldChar w:fldCharType="begin"/>
        </w:r>
        <w:r w:rsidR="006F301E">
          <w:rPr>
            <w:noProof/>
            <w:webHidden/>
          </w:rPr>
          <w:instrText xml:space="preserve"> PAGEREF _Toc430268943 \h </w:instrText>
        </w:r>
        <w:r w:rsidR="006F301E">
          <w:rPr>
            <w:noProof/>
            <w:webHidden/>
          </w:rPr>
        </w:r>
        <w:r w:rsidR="006F301E">
          <w:rPr>
            <w:noProof/>
            <w:webHidden/>
          </w:rPr>
          <w:fldChar w:fldCharType="separate"/>
        </w:r>
        <w:r w:rsidR="005E404C">
          <w:rPr>
            <w:noProof/>
            <w:webHidden/>
          </w:rPr>
          <w:t>57</w:t>
        </w:r>
        <w:r w:rsidR="006F301E">
          <w:rPr>
            <w:noProof/>
            <w:webHidden/>
          </w:rPr>
          <w:fldChar w:fldCharType="end"/>
        </w:r>
      </w:hyperlink>
    </w:p>
    <w:p w14:paraId="659A375B" w14:textId="508E6FE1" w:rsidR="006F301E" w:rsidRDefault="00BA3063">
      <w:pPr>
        <w:pStyle w:val="TOC2"/>
        <w:rPr>
          <w:rFonts w:eastAsiaTheme="minorEastAsia"/>
          <w:noProof/>
          <w:sz w:val="22"/>
          <w:lang w:eastAsia="en-AU"/>
        </w:rPr>
      </w:pPr>
      <w:hyperlink w:anchor="_Toc430268944" w:history="1">
        <w:r w:rsidR="006F301E" w:rsidRPr="00461AEC">
          <w:rPr>
            <w:rStyle w:val="Hyperlink"/>
            <w:noProof/>
          </w:rPr>
          <w:t>10.2</w:t>
        </w:r>
        <w:r w:rsidR="006F301E">
          <w:rPr>
            <w:rFonts w:eastAsiaTheme="minorEastAsia"/>
            <w:noProof/>
            <w:sz w:val="22"/>
            <w:lang w:eastAsia="en-AU"/>
          </w:rPr>
          <w:tab/>
        </w:r>
        <w:r w:rsidR="006F301E" w:rsidRPr="00461AEC">
          <w:rPr>
            <w:rStyle w:val="Hyperlink"/>
            <w:noProof/>
          </w:rPr>
          <w:t>Evidence of Identity Rigour and Storage</w:t>
        </w:r>
        <w:r w:rsidR="006F301E">
          <w:rPr>
            <w:noProof/>
            <w:webHidden/>
          </w:rPr>
          <w:tab/>
        </w:r>
        <w:r w:rsidR="006F301E">
          <w:rPr>
            <w:noProof/>
            <w:webHidden/>
          </w:rPr>
          <w:fldChar w:fldCharType="begin"/>
        </w:r>
        <w:r w:rsidR="006F301E">
          <w:rPr>
            <w:noProof/>
            <w:webHidden/>
          </w:rPr>
          <w:instrText xml:space="preserve"> PAGEREF _Toc430268944 \h </w:instrText>
        </w:r>
        <w:r w:rsidR="006F301E">
          <w:rPr>
            <w:noProof/>
            <w:webHidden/>
          </w:rPr>
        </w:r>
        <w:r w:rsidR="006F301E">
          <w:rPr>
            <w:noProof/>
            <w:webHidden/>
          </w:rPr>
          <w:fldChar w:fldCharType="separate"/>
        </w:r>
        <w:r w:rsidR="005E404C">
          <w:rPr>
            <w:noProof/>
            <w:webHidden/>
          </w:rPr>
          <w:t>58</w:t>
        </w:r>
        <w:r w:rsidR="006F301E">
          <w:rPr>
            <w:noProof/>
            <w:webHidden/>
          </w:rPr>
          <w:fldChar w:fldCharType="end"/>
        </w:r>
      </w:hyperlink>
    </w:p>
    <w:p w14:paraId="684A8CE0" w14:textId="1D396BFF" w:rsidR="006F301E" w:rsidRDefault="00BA3063">
      <w:pPr>
        <w:pStyle w:val="TOC2"/>
        <w:rPr>
          <w:rFonts w:eastAsiaTheme="minorEastAsia"/>
          <w:noProof/>
          <w:sz w:val="22"/>
          <w:lang w:eastAsia="en-AU"/>
        </w:rPr>
      </w:pPr>
      <w:hyperlink w:anchor="_Toc430268945" w:history="1">
        <w:r w:rsidR="006F301E" w:rsidRPr="00461AEC">
          <w:rPr>
            <w:rStyle w:val="Hyperlink"/>
            <w:noProof/>
          </w:rPr>
          <w:t>10.3</w:t>
        </w:r>
        <w:r w:rsidR="006F301E">
          <w:rPr>
            <w:rFonts w:eastAsiaTheme="minorEastAsia"/>
            <w:noProof/>
            <w:sz w:val="22"/>
            <w:lang w:eastAsia="en-AU"/>
          </w:rPr>
          <w:tab/>
        </w:r>
        <w:r w:rsidR="006F301E" w:rsidRPr="00461AEC">
          <w:rPr>
            <w:rStyle w:val="Hyperlink"/>
            <w:noProof/>
          </w:rPr>
          <w:t>RA Operations Manual</w:t>
        </w:r>
        <w:r w:rsidR="006F301E">
          <w:rPr>
            <w:noProof/>
            <w:webHidden/>
          </w:rPr>
          <w:tab/>
        </w:r>
        <w:r w:rsidR="006F301E">
          <w:rPr>
            <w:noProof/>
            <w:webHidden/>
          </w:rPr>
          <w:fldChar w:fldCharType="begin"/>
        </w:r>
        <w:r w:rsidR="006F301E">
          <w:rPr>
            <w:noProof/>
            <w:webHidden/>
          </w:rPr>
          <w:instrText xml:space="preserve"> PAGEREF _Toc430268945 \h </w:instrText>
        </w:r>
        <w:r w:rsidR="006F301E">
          <w:rPr>
            <w:noProof/>
            <w:webHidden/>
          </w:rPr>
        </w:r>
        <w:r w:rsidR="006F301E">
          <w:rPr>
            <w:noProof/>
            <w:webHidden/>
          </w:rPr>
          <w:fldChar w:fldCharType="separate"/>
        </w:r>
        <w:r w:rsidR="005E404C">
          <w:rPr>
            <w:noProof/>
            <w:webHidden/>
          </w:rPr>
          <w:t>58</w:t>
        </w:r>
        <w:r w:rsidR="006F301E">
          <w:rPr>
            <w:noProof/>
            <w:webHidden/>
          </w:rPr>
          <w:fldChar w:fldCharType="end"/>
        </w:r>
      </w:hyperlink>
    </w:p>
    <w:p w14:paraId="0F0B6005" w14:textId="369C8C7E" w:rsidR="006F301E" w:rsidRDefault="00BA3063">
      <w:pPr>
        <w:pStyle w:val="TOC2"/>
        <w:rPr>
          <w:rFonts w:eastAsiaTheme="minorEastAsia"/>
          <w:noProof/>
          <w:sz w:val="22"/>
          <w:lang w:eastAsia="en-AU"/>
        </w:rPr>
      </w:pPr>
      <w:hyperlink w:anchor="_Toc430268946" w:history="1">
        <w:r w:rsidR="006F301E" w:rsidRPr="00461AEC">
          <w:rPr>
            <w:rStyle w:val="Hyperlink"/>
            <w:noProof/>
          </w:rPr>
          <w:t>10.4</w:t>
        </w:r>
        <w:r w:rsidR="006F301E">
          <w:rPr>
            <w:rFonts w:eastAsiaTheme="minorEastAsia"/>
            <w:noProof/>
            <w:sz w:val="22"/>
            <w:lang w:eastAsia="en-AU"/>
          </w:rPr>
          <w:tab/>
        </w:r>
        <w:r w:rsidR="006F301E" w:rsidRPr="00461AEC">
          <w:rPr>
            <w:rStyle w:val="Hyperlink"/>
            <w:noProof/>
          </w:rPr>
          <w:t>Registration Authority Levels of Assurance</w:t>
        </w:r>
        <w:r w:rsidR="006F301E">
          <w:rPr>
            <w:noProof/>
            <w:webHidden/>
          </w:rPr>
          <w:tab/>
        </w:r>
        <w:r w:rsidR="006F301E">
          <w:rPr>
            <w:noProof/>
            <w:webHidden/>
          </w:rPr>
          <w:fldChar w:fldCharType="begin"/>
        </w:r>
        <w:r w:rsidR="006F301E">
          <w:rPr>
            <w:noProof/>
            <w:webHidden/>
          </w:rPr>
          <w:instrText xml:space="preserve"> PAGEREF _Toc430268946 \h </w:instrText>
        </w:r>
        <w:r w:rsidR="006F301E">
          <w:rPr>
            <w:noProof/>
            <w:webHidden/>
          </w:rPr>
        </w:r>
        <w:r w:rsidR="006F301E">
          <w:rPr>
            <w:noProof/>
            <w:webHidden/>
          </w:rPr>
          <w:fldChar w:fldCharType="separate"/>
        </w:r>
        <w:r w:rsidR="005E404C">
          <w:rPr>
            <w:noProof/>
            <w:webHidden/>
          </w:rPr>
          <w:t>59</w:t>
        </w:r>
        <w:r w:rsidR="006F301E">
          <w:rPr>
            <w:noProof/>
            <w:webHidden/>
          </w:rPr>
          <w:fldChar w:fldCharType="end"/>
        </w:r>
      </w:hyperlink>
    </w:p>
    <w:p w14:paraId="426F4FD8" w14:textId="1229656E" w:rsidR="006F301E" w:rsidRDefault="00BA3063">
      <w:pPr>
        <w:pStyle w:val="TOC2"/>
        <w:rPr>
          <w:rFonts w:eastAsiaTheme="minorEastAsia"/>
          <w:noProof/>
          <w:sz w:val="22"/>
          <w:lang w:eastAsia="en-AU"/>
        </w:rPr>
      </w:pPr>
      <w:hyperlink w:anchor="_Toc430268947" w:history="1">
        <w:r w:rsidR="006F301E" w:rsidRPr="00461AEC">
          <w:rPr>
            <w:rStyle w:val="Hyperlink"/>
            <w:noProof/>
          </w:rPr>
          <w:t>10.5</w:t>
        </w:r>
        <w:r w:rsidR="006F301E">
          <w:rPr>
            <w:rFonts w:eastAsiaTheme="minorEastAsia"/>
            <w:noProof/>
            <w:sz w:val="22"/>
            <w:lang w:eastAsia="en-AU"/>
          </w:rPr>
          <w:tab/>
        </w:r>
        <w:r w:rsidR="006F301E" w:rsidRPr="00461AEC">
          <w:rPr>
            <w:rStyle w:val="Hyperlink"/>
            <w:noProof/>
          </w:rPr>
          <w:t>Individual Identity Proofing</w:t>
        </w:r>
        <w:r w:rsidR="006F301E">
          <w:rPr>
            <w:noProof/>
            <w:webHidden/>
          </w:rPr>
          <w:tab/>
        </w:r>
        <w:r w:rsidR="006F301E">
          <w:rPr>
            <w:noProof/>
            <w:webHidden/>
          </w:rPr>
          <w:fldChar w:fldCharType="begin"/>
        </w:r>
        <w:r w:rsidR="006F301E">
          <w:rPr>
            <w:noProof/>
            <w:webHidden/>
          </w:rPr>
          <w:instrText xml:space="preserve"> PAGEREF _Toc430268947 \h </w:instrText>
        </w:r>
        <w:r w:rsidR="006F301E">
          <w:rPr>
            <w:noProof/>
            <w:webHidden/>
          </w:rPr>
        </w:r>
        <w:r w:rsidR="006F301E">
          <w:rPr>
            <w:noProof/>
            <w:webHidden/>
          </w:rPr>
          <w:fldChar w:fldCharType="separate"/>
        </w:r>
        <w:r w:rsidR="005E404C">
          <w:rPr>
            <w:noProof/>
            <w:webHidden/>
          </w:rPr>
          <w:t>62</w:t>
        </w:r>
        <w:r w:rsidR="006F301E">
          <w:rPr>
            <w:noProof/>
            <w:webHidden/>
          </w:rPr>
          <w:fldChar w:fldCharType="end"/>
        </w:r>
      </w:hyperlink>
    </w:p>
    <w:p w14:paraId="4356FBDE" w14:textId="7510EDE2" w:rsidR="006F301E" w:rsidRDefault="00BA3063">
      <w:pPr>
        <w:pStyle w:val="TOC2"/>
        <w:rPr>
          <w:rFonts w:eastAsiaTheme="minorEastAsia"/>
          <w:noProof/>
          <w:sz w:val="22"/>
          <w:lang w:eastAsia="en-AU"/>
        </w:rPr>
      </w:pPr>
      <w:hyperlink w:anchor="_Toc430268948" w:history="1">
        <w:r w:rsidR="006F301E" w:rsidRPr="00461AEC">
          <w:rPr>
            <w:rStyle w:val="Hyperlink"/>
            <w:noProof/>
          </w:rPr>
          <w:t>10.6</w:t>
        </w:r>
        <w:r w:rsidR="006F301E">
          <w:rPr>
            <w:rFonts w:eastAsiaTheme="minorEastAsia"/>
            <w:noProof/>
            <w:sz w:val="22"/>
            <w:lang w:eastAsia="en-AU"/>
          </w:rPr>
          <w:tab/>
        </w:r>
        <w:r w:rsidR="006F301E" w:rsidRPr="00461AEC">
          <w:rPr>
            <w:rStyle w:val="Hyperlink"/>
            <w:noProof/>
          </w:rPr>
          <w:t>Organisation Identity Proofing</w:t>
        </w:r>
        <w:r w:rsidR="006F301E">
          <w:rPr>
            <w:noProof/>
            <w:webHidden/>
          </w:rPr>
          <w:tab/>
        </w:r>
        <w:r w:rsidR="006F301E">
          <w:rPr>
            <w:noProof/>
            <w:webHidden/>
          </w:rPr>
          <w:fldChar w:fldCharType="begin"/>
        </w:r>
        <w:r w:rsidR="006F301E">
          <w:rPr>
            <w:noProof/>
            <w:webHidden/>
          </w:rPr>
          <w:instrText xml:space="preserve"> PAGEREF _Toc430268948 \h </w:instrText>
        </w:r>
        <w:r w:rsidR="006F301E">
          <w:rPr>
            <w:noProof/>
            <w:webHidden/>
          </w:rPr>
        </w:r>
        <w:r w:rsidR="006F301E">
          <w:rPr>
            <w:noProof/>
            <w:webHidden/>
          </w:rPr>
          <w:fldChar w:fldCharType="separate"/>
        </w:r>
        <w:r w:rsidR="005E404C">
          <w:rPr>
            <w:noProof/>
            <w:webHidden/>
          </w:rPr>
          <w:t>63</w:t>
        </w:r>
        <w:r w:rsidR="006F301E">
          <w:rPr>
            <w:noProof/>
            <w:webHidden/>
          </w:rPr>
          <w:fldChar w:fldCharType="end"/>
        </w:r>
      </w:hyperlink>
    </w:p>
    <w:p w14:paraId="7B094AC9" w14:textId="2D89CF52" w:rsidR="006F301E" w:rsidRDefault="00BA3063">
      <w:pPr>
        <w:pStyle w:val="TOC1"/>
        <w:tabs>
          <w:tab w:val="left" w:pos="660"/>
          <w:tab w:val="right" w:leader="dot" w:pos="9060"/>
        </w:tabs>
        <w:rPr>
          <w:rFonts w:eastAsiaTheme="minorEastAsia"/>
          <w:b w:val="0"/>
          <w:noProof/>
          <w:sz w:val="22"/>
          <w:lang w:eastAsia="en-AU"/>
        </w:rPr>
      </w:pPr>
      <w:hyperlink w:anchor="_Toc430268949" w:history="1">
        <w:r w:rsidR="006F301E" w:rsidRPr="00461AEC">
          <w:rPr>
            <w:rStyle w:val="Hyperlink"/>
            <w:noProof/>
          </w:rPr>
          <w:t>11.</w:t>
        </w:r>
        <w:r w:rsidR="006F301E">
          <w:rPr>
            <w:rFonts w:eastAsiaTheme="minorEastAsia"/>
            <w:b w:val="0"/>
            <w:noProof/>
            <w:sz w:val="22"/>
            <w:lang w:eastAsia="en-AU"/>
          </w:rPr>
          <w:tab/>
        </w:r>
        <w:r w:rsidR="006F301E" w:rsidRPr="00461AEC">
          <w:rPr>
            <w:rStyle w:val="Hyperlink"/>
            <w:noProof/>
          </w:rPr>
          <w:t>Certification Authority</w:t>
        </w:r>
        <w:r w:rsidR="006F301E">
          <w:rPr>
            <w:noProof/>
            <w:webHidden/>
          </w:rPr>
          <w:tab/>
        </w:r>
        <w:r w:rsidR="006F301E">
          <w:rPr>
            <w:noProof/>
            <w:webHidden/>
          </w:rPr>
          <w:fldChar w:fldCharType="begin"/>
        </w:r>
        <w:r w:rsidR="006F301E">
          <w:rPr>
            <w:noProof/>
            <w:webHidden/>
          </w:rPr>
          <w:instrText xml:space="preserve"> PAGEREF _Toc430268949 \h </w:instrText>
        </w:r>
        <w:r w:rsidR="006F301E">
          <w:rPr>
            <w:noProof/>
            <w:webHidden/>
          </w:rPr>
        </w:r>
        <w:r w:rsidR="006F301E">
          <w:rPr>
            <w:noProof/>
            <w:webHidden/>
          </w:rPr>
          <w:fldChar w:fldCharType="separate"/>
        </w:r>
        <w:r w:rsidR="005E404C">
          <w:rPr>
            <w:noProof/>
            <w:webHidden/>
          </w:rPr>
          <w:t>66</w:t>
        </w:r>
        <w:r w:rsidR="006F301E">
          <w:rPr>
            <w:noProof/>
            <w:webHidden/>
          </w:rPr>
          <w:fldChar w:fldCharType="end"/>
        </w:r>
      </w:hyperlink>
    </w:p>
    <w:p w14:paraId="2E870ABD" w14:textId="1DAD599A" w:rsidR="006F301E" w:rsidRDefault="00BA3063">
      <w:pPr>
        <w:pStyle w:val="TOC2"/>
        <w:rPr>
          <w:rFonts w:eastAsiaTheme="minorEastAsia"/>
          <w:noProof/>
          <w:sz w:val="22"/>
          <w:lang w:eastAsia="en-AU"/>
        </w:rPr>
      </w:pPr>
      <w:hyperlink w:anchor="_Toc430268950" w:history="1">
        <w:r w:rsidR="006F301E" w:rsidRPr="00461AEC">
          <w:rPr>
            <w:rStyle w:val="Hyperlink"/>
            <w:noProof/>
          </w:rPr>
          <w:t>11.1</w:t>
        </w:r>
        <w:r w:rsidR="006F301E">
          <w:rPr>
            <w:rFonts w:eastAsiaTheme="minorEastAsia"/>
            <w:noProof/>
            <w:sz w:val="22"/>
            <w:lang w:eastAsia="en-AU"/>
          </w:rPr>
          <w:tab/>
        </w:r>
        <w:r w:rsidR="006F301E" w:rsidRPr="00461AEC">
          <w:rPr>
            <w:rStyle w:val="Hyperlink"/>
            <w:noProof/>
          </w:rPr>
          <w:t>Certification Authority</w:t>
        </w:r>
        <w:r w:rsidR="006F301E">
          <w:rPr>
            <w:noProof/>
            <w:webHidden/>
          </w:rPr>
          <w:tab/>
        </w:r>
        <w:r w:rsidR="006F301E">
          <w:rPr>
            <w:noProof/>
            <w:webHidden/>
          </w:rPr>
          <w:fldChar w:fldCharType="begin"/>
        </w:r>
        <w:r w:rsidR="006F301E">
          <w:rPr>
            <w:noProof/>
            <w:webHidden/>
          </w:rPr>
          <w:instrText xml:space="preserve"> PAGEREF _Toc430268950 \h </w:instrText>
        </w:r>
        <w:r w:rsidR="006F301E">
          <w:rPr>
            <w:noProof/>
            <w:webHidden/>
          </w:rPr>
        </w:r>
        <w:r w:rsidR="006F301E">
          <w:rPr>
            <w:noProof/>
            <w:webHidden/>
          </w:rPr>
          <w:fldChar w:fldCharType="separate"/>
        </w:r>
        <w:r w:rsidR="005E404C">
          <w:rPr>
            <w:noProof/>
            <w:webHidden/>
          </w:rPr>
          <w:t>66</w:t>
        </w:r>
        <w:r w:rsidR="006F301E">
          <w:rPr>
            <w:noProof/>
            <w:webHidden/>
          </w:rPr>
          <w:fldChar w:fldCharType="end"/>
        </w:r>
      </w:hyperlink>
    </w:p>
    <w:p w14:paraId="0DB3C91C" w14:textId="7A3BD5F1" w:rsidR="006F301E" w:rsidRDefault="00BA3063">
      <w:pPr>
        <w:pStyle w:val="TOC2"/>
        <w:rPr>
          <w:rFonts w:eastAsiaTheme="minorEastAsia"/>
          <w:noProof/>
          <w:sz w:val="22"/>
          <w:lang w:eastAsia="en-AU"/>
        </w:rPr>
      </w:pPr>
      <w:hyperlink w:anchor="_Toc430268951" w:history="1">
        <w:r w:rsidR="006F301E" w:rsidRPr="00461AEC">
          <w:rPr>
            <w:rStyle w:val="Hyperlink"/>
            <w:noProof/>
          </w:rPr>
          <w:t>11.2</w:t>
        </w:r>
        <w:r w:rsidR="006F301E">
          <w:rPr>
            <w:rFonts w:eastAsiaTheme="minorEastAsia"/>
            <w:noProof/>
            <w:sz w:val="22"/>
            <w:lang w:eastAsia="en-AU"/>
          </w:rPr>
          <w:tab/>
        </w:r>
        <w:r w:rsidR="006F301E" w:rsidRPr="00461AEC">
          <w:rPr>
            <w:rStyle w:val="Hyperlink"/>
            <w:noProof/>
          </w:rPr>
          <w:t>Use of accredited identity proofing Service Providers</w:t>
        </w:r>
        <w:r w:rsidR="006F301E">
          <w:rPr>
            <w:noProof/>
            <w:webHidden/>
          </w:rPr>
          <w:tab/>
        </w:r>
        <w:r w:rsidR="006F301E">
          <w:rPr>
            <w:noProof/>
            <w:webHidden/>
          </w:rPr>
          <w:fldChar w:fldCharType="begin"/>
        </w:r>
        <w:r w:rsidR="006F301E">
          <w:rPr>
            <w:noProof/>
            <w:webHidden/>
          </w:rPr>
          <w:instrText xml:space="preserve"> PAGEREF _Toc430268951 \h </w:instrText>
        </w:r>
        <w:r w:rsidR="006F301E">
          <w:rPr>
            <w:noProof/>
            <w:webHidden/>
          </w:rPr>
        </w:r>
        <w:r w:rsidR="006F301E">
          <w:rPr>
            <w:noProof/>
            <w:webHidden/>
          </w:rPr>
          <w:fldChar w:fldCharType="separate"/>
        </w:r>
        <w:r w:rsidR="005E404C">
          <w:rPr>
            <w:noProof/>
            <w:webHidden/>
          </w:rPr>
          <w:t>66</w:t>
        </w:r>
        <w:r w:rsidR="006F301E">
          <w:rPr>
            <w:noProof/>
            <w:webHidden/>
          </w:rPr>
          <w:fldChar w:fldCharType="end"/>
        </w:r>
      </w:hyperlink>
    </w:p>
    <w:p w14:paraId="4536DF7C" w14:textId="52B65009" w:rsidR="006F301E" w:rsidRDefault="00BA3063">
      <w:pPr>
        <w:pStyle w:val="TOC2"/>
        <w:rPr>
          <w:rFonts w:eastAsiaTheme="minorEastAsia"/>
          <w:noProof/>
          <w:sz w:val="22"/>
          <w:lang w:eastAsia="en-AU"/>
        </w:rPr>
      </w:pPr>
      <w:hyperlink w:anchor="_Toc430268952" w:history="1">
        <w:r w:rsidR="006F301E" w:rsidRPr="00461AEC">
          <w:rPr>
            <w:rStyle w:val="Hyperlink"/>
            <w:noProof/>
          </w:rPr>
          <w:t>11.3</w:t>
        </w:r>
        <w:r w:rsidR="006F301E">
          <w:rPr>
            <w:rFonts w:eastAsiaTheme="minorEastAsia"/>
            <w:noProof/>
            <w:sz w:val="22"/>
            <w:lang w:eastAsia="en-AU"/>
          </w:rPr>
          <w:tab/>
        </w:r>
        <w:r w:rsidR="006F301E" w:rsidRPr="00461AEC">
          <w:rPr>
            <w:rStyle w:val="Hyperlink"/>
            <w:noProof/>
          </w:rPr>
          <w:t>Certification Authority security assurance</w:t>
        </w:r>
        <w:r w:rsidR="006F301E">
          <w:rPr>
            <w:noProof/>
            <w:webHidden/>
          </w:rPr>
          <w:tab/>
        </w:r>
        <w:r w:rsidR="006F301E">
          <w:rPr>
            <w:noProof/>
            <w:webHidden/>
          </w:rPr>
          <w:fldChar w:fldCharType="begin"/>
        </w:r>
        <w:r w:rsidR="006F301E">
          <w:rPr>
            <w:noProof/>
            <w:webHidden/>
          </w:rPr>
          <w:instrText xml:space="preserve"> PAGEREF _Toc430268952 \h </w:instrText>
        </w:r>
        <w:r w:rsidR="006F301E">
          <w:rPr>
            <w:noProof/>
            <w:webHidden/>
          </w:rPr>
        </w:r>
        <w:r w:rsidR="006F301E">
          <w:rPr>
            <w:noProof/>
            <w:webHidden/>
          </w:rPr>
          <w:fldChar w:fldCharType="separate"/>
        </w:r>
        <w:r w:rsidR="005E404C">
          <w:rPr>
            <w:noProof/>
            <w:webHidden/>
          </w:rPr>
          <w:t>67</w:t>
        </w:r>
        <w:r w:rsidR="006F301E">
          <w:rPr>
            <w:noProof/>
            <w:webHidden/>
          </w:rPr>
          <w:fldChar w:fldCharType="end"/>
        </w:r>
      </w:hyperlink>
    </w:p>
    <w:p w14:paraId="6528673E" w14:textId="44E67C02" w:rsidR="006F301E" w:rsidRDefault="00BA3063">
      <w:pPr>
        <w:pStyle w:val="TOC2"/>
        <w:rPr>
          <w:rFonts w:eastAsiaTheme="minorEastAsia"/>
          <w:noProof/>
          <w:sz w:val="22"/>
          <w:lang w:eastAsia="en-AU"/>
        </w:rPr>
      </w:pPr>
      <w:hyperlink w:anchor="_Toc430268953" w:history="1">
        <w:r w:rsidR="006F301E" w:rsidRPr="00461AEC">
          <w:rPr>
            <w:rStyle w:val="Hyperlink"/>
            <w:noProof/>
          </w:rPr>
          <w:t>11.4</w:t>
        </w:r>
        <w:r w:rsidR="006F301E">
          <w:rPr>
            <w:rFonts w:eastAsiaTheme="minorEastAsia"/>
            <w:noProof/>
            <w:sz w:val="22"/>
            <w:lang w:eastAsia="en-AU"/>
          </w:rPr>
          <w:tab/>
        </w:r>
        <w:r w:rsidR="006F301E" w:rsidRPr="00461AEC">
          <w:rPr>
            <w:rStyle w:val="Hyperlink"/>
            <w:noProof/>
          </w:rPr>
          <w:t>Certification Authority Levels of Assurance</w:t>
        </w:r>
        <w:r w:rsidR="006F301E">
          <w:rPr>
            <w:noProof/>
            <w:webHidden/>
          </w:rPr>
          <w:tab/>
        </w:r>
        <w:r w:rsidR="006F301E">
          <w:rPr>
            <w:noProof/>
            <w:webHidden/>
          </w:rPr>
          <w:fldChar w:fldCharType="begin"/>
        </w:r>
        <w:r w:rsidR="006F301E">
          <w:rPr>
            <w:noProof/>
            <w:webHidden/>
          </w:rPr>
          <w:instrText xml:space="preserve"> PAGEREF _Toc430268953 \h </w:instrText>
        </w:r>
        <w:r w:rsidR="006F301E">
          <w:rPr>
            <w:noProof/>
            <w:webHidden/>
          </w:rPr>
        </w:r>
        <w:r w:rsidR="006F301E">
          <w:rPr>
            <w:noProof/>
            <w:webHidden/>
          </w:rPr>
          <w:fldChar w:fldCharType="separate"/>
        </w:r>
        <w:r w:rsidR="005E404C">
          <w:rPr>
            <w:noProof/>
            <w:webHidden/>
          </w:rPr>
          <w:t>68</w:t>
        </w:r>
        <w:r w:rsidR="006F301E">
          <w:rPr>
            <w:noProof/>
            <w:webHidden/>
          </w:rPr>
          <w:fldChar w:fldCharType="end"/>
        </w:r>
      </w:hyperlink>
    </w:p>
    <w:p w14:paraId="5A0DB580" w14:textId="28CE9953" w:rsidR="006F301E" w:rsidRDefault="00BA3063">
      <w:pPr>
        <w:pStyle w:val="TOC2"/>
        <w:rPr>
          <w:rFonts w:eastAsiaTheme="minorEastAsia"/>
          <w:noProof/>
          <w:sz w:val="22"/>
          <w:lang w:eastAsia="en-AU"/>
        </w:rPr>
      </w:pPr>
      <w:hyperlink w:anchor="_Toc430268954" w:history="1">
        <w:r w:rsidR="006F301E" w:rsidRPr="00461AEC">
          <w:rPr>
            <w:rStyle w:val="Hyperlink"/>
            <w:noProof/>
          </w:rPr>
          <w:t>11.5</w:t>
        </w:r>
        <w:r w:rsidR="006F301E">
          <w:rPr>
            <w:rFonts w:eastAsiaTheme="minorEastAsia"/>
            <w:noProof/>
            <w:sz w:val="22"/>
            <w:lang w:eastAsia="en-AU"/>
          </w:rPr>
          <w:tab/>
        </w:r>
        <w:r w:rsidR="006F301E" w:rsidRPr="00461AEC">
          <w:rPr>
            <w:rStyle w:val="Hyperlink"/>
            <w:noProof/>
          </w:rPr>
          <w:t>Object Identifiers</w:t>
        </w:r>
        <w:r w:rsidR="006F301E">
          <w:rPr>
            <w:noProof/>
            <w:webHidden/>
          </w:rPr>
          <w:tab/>
        </w:r>
        <w:r w:rsidR="006F301E">
          <w:rPr>
            <w:noProof/>
            <w:webHidden/>
          </w:rPr>
          <w:fldChar w:fldCharType="begin"/>
        </w:r>
        <w:r w:rsidR="006F301E">
          <w:rPr>
            <w:noProof/>
            <w:webHidden/>
          </w:rPr>
          <w:instrText xml:space="preserve"> PAGEREF _Toc430268954 \h </w:instrText>
        </w:r>
        <w:r w:rsidR="006F301E">
          <w:rPr>
            <w:noProof/>
            <w:webHidden/>
          </w:rPr>
        </w:r>
        <w:r w:rsidR="006F301E">
          <w:rPr>
            <w:noProof/>
            <w:webHidden/>
          </w:rPr>
          <w:fldChar w:fldCharType="separate"/>
        </w:r>
        <w:r w:rsidR="005E404C">
          <w:rPr>
            <w:noProof/>
            <w:webHidden/>
          </w:rPr>
          <w:t>72</w:t>
        </w:r>
        <w:r w:rsidR="006F301E">
          <w:rPr>
            <w:noProof/>
            <w:webHidden/>
          </w:rPr>
          <w:fldChar w:fldCharType="end"/>
        </w:r>
      </w:hyperlink>
    </w:p>
    <w:p w14:paraId="5AF8D2A1" w14:textId="69474BC4" w:rsidR="006F301E" w:rsidRDefault="00BA3063">
      <w:pPr>
        <w:pStyle w:val="TOC1"/>
        <w:tabs>
          <w:tab w:val="left" w:pos="660"/>
          <w:tab w:val="right" w:leader="dot" w:pos="9060"/>
        </w:tabs>
        <w:rPr>
          <w:rFonts w:eastAsiaTheme="minorEastAsia"/>
          <w:b w:val="0"/>
          <w:noProof/>
          <w:sz w:val="22"/>
          <w:lang w:eastAsia="en-AU"/>
        </w:rPr>
      </w:pPr>
      <w:hyperlink w:anchor="_Toc430268955" w:history="1">
        <w:r w:rsidR="006F301E" w:rsidRPr="00461AEC">
          <w:rPr>
            <w:rStyle w:val="Hyperlink"/>
            <w:noProof/>
          </w:rPr>
          <w:t>12.</w:t>
        </w:r>
        <w:r w:rsidR="006F301E">
          <w:rPr>
            <w:rFonts w:eastAsiaTheme="minorEastAsia"/>
            <w:b w:val="0"/>
            <w:noProof/>
            <w:sz w:val="22"/>
            <w:lang w:eastAsia="en-AU"/>
          </w:rPr>
          <w:tab/>
        </w:r>
        <w:r w:rsidR="006F301E" w:rsidRPr="00461AEC">
          <w:rPr>
            <w:rStyle w:val="Hyperlink"/>
            <w:noProof/>
          </w:rPr>
          <w:t>Validation Authority</w:t>
        </w:r>
        <w:r w:rsidR="006F301E">
          <w:rPr>
            <w:noProof/>
            <w:webHidden/>
          </w:rPr>
          <w:tab/>
        </w:r>
        <w:r w:rsidR="006F301E">
          <w:rPr>
            <w:noProof/>
            <w:webHidden/>
          </w:rPr>
          <w:fldChar w:fldCharType="begin"/>
        </w:r>
        <w:r w:rsidR="006F301E">
          <w:rPr>
            <w:noProof/>
            <w:webHidden/>
          </w:rPr>
          <w:instrText xml:space="preserve"> PAGEREF _Toc430268955 \h </w:instrText>
        </w:r>
        <w:r w:rsidR="006F301E">
          <w:rPr>
            <w:noProof/>
            <w:webHidden/>
          </w:rPr>
        </w:r>
        <w:r w:rsidR="006F301E">
          <w:rPr>
            <w:noProof/>
            <w:webHidden/>
          </w:rPr>
          <w:fldChar w:fldCharType="separate"/>
        </w:r>
        <w:r w:rsidR="005E404C">
          <w:rPr>
            <w:noProof/>
            <w:webHidden/>
          </w:rPr>
          <w:t>74</w:t>
        </w:r>
        <w:r w:rsidR="006F301E">
          <w:rPr>
            <w:noProof/>
            <w:webHidden/>
          </w:rPr>
          <w:fldChar w:fldCharType="end"/>
        </w:r>
      </w:hyperlink>
    </w:p>
    <w:p w14:paraId="16B5503E" w14:textId="027B3E66" w:rsidR="006F301E" w:rsidRDefault="00BA3063">
      <w:pPr>
        <w:pStyle w:val="TOC2"/>
        <w:rPr>
          <w:rFonts w:eastAsiaTheme="minorEastAsia"/>
          <w:noProof/>
          <w:sz w:val="22"/>
          <w:lang w:eastAsia="en-AU"/>
        </w:rPr>
      </w:pPr>
      <w:hyperlink w:anchor="_Toc430268956" w:history="1">
        <w:r w:rsidR="006F301E" w:rsidRPr="00461AEC">
          <w:rPr>
            <w:rStyle w:val="Hyperlink"/>
            <w:noProof/>
          </w:rPr>
          <w:t>12.1</w:t>
        </w:r>
        <w:r w:rsidR="006F301E">
          <w:rPr>
            <w:rFonts w:eastAsiaTheme="minorEastAsia"/>
            <w:noProof/>
            <w:sz w:val="22"/>
            <w:lang w:eastAsia="en-AU"/>
          </w:rPr>
          <w:tab/>
        </w:r>
        <w:r w:rsidR="006F301E" w:rsidRPr="00461AEC">
          <w:rPr>
            <w:rStyle w:val="Hyperlink"/>
            <w:noProof/>
          </w:rPr>
          <w:t>Validation Authority</w:t>
        </w:r>
        <w:r w:rsidR="006F301E">
          <w:rPr>
            <w:noProof/>
            <w:webHidden/>
          </w:rPr>
          <w:tab/>
        </w:r>
        <w:r w:rsidR="006F301E">
          <w:rPr>
            <w:noProof/>
            <w:webHidden/>
          </w:rPr>
          <w:fldChar w:fldCharType="begin"/>
        </w:r>
        <w:r w:rsidR="006F301E">
          <w:rPr>
            <w:noProof/>
            <w:webHidden/>
          </w:rPr>
          <w:instrText xml:space="preserve"> PAGEREF _Toc430268956 \h </w:instrText>
        </w:r>
        <w:r w:rsidR="006F301E">
          <w:rPr>
            <w:noProof/>
            <w:webHidden/>
          </w:rPr>
        </w:r>
        <w:r w:rsidR="006F301E">
          <w:rPr>
            <w:noProof/>
            <w:webHidden/>
          </w:rPr>
          <w:fldChar w:fldCharType="separate"/>
        </w:r>
        <w:r w:rsidR="005E404C">
          <w:rPr>
            <w:noProof/>
            <w:webHidden/>
          </w:rPr>
          <w:t>74</w:t>
        </w:r>
        <w:r w:rsidR="006F301E">
          <w:rPr>
            <w:noProof/>
            <w:webHidden/>
          </w:rPr>
          <w:fldChar w:fldCharType="end"/>
        </w:r>
      </w:hyperlink>
    </w:p>
    <w:p w14:paraId="44D427A0" w14:textId="4D9968F1" w:rsidR="006F301E" w:rsidRDefault="00BA3063">
      <w:pPr>
        <w:pStyle w:val="TOC1"/>
        <w:tabs>
          <w:tab w:val="left" w:pos="660"/>
          <w:tab w:val="right" w:leader="dot" w:pos="9060"/>
        </w:tabs>
        <w:rPr>
          <w:rFonts w:eastAsiaTheme="minorEastAsia"/>
          <w:b w:val="0"/>
          <w:noProof/>
          <w:sz w:val="22"/>
          <w:lang w:eastAsia="en-AU"/>
        </w:rPr>
      </w:pPr>
      <w:hyperlink w:anchor="_Toc430268957" w:history="1">
        <w:r w:rsidR="006F301E" w:rsidRPr="00461AEC">
          <w:rPr>
            <w:rStyle w:val="Hyperlink"/>
            <w:noProof/>
          </w:rPr>
          <w:t>13.</w:t>
        </w:r>
        <w:r w:rsidR="006F301E">
          <w:rPr>
            <w:rFonts w:eastAsiaTheme="minorEastAsia"/>
            <w:b w:val="0"/>
            <w:noProof/>
            <w:sz w:val="22"/>
            <w:lang w:eastAsia="en-AU"/>
          </w:rPr>
          <w:tab/>
        </w:r>
        <w:r w:rsidR="006F301E" w:rsidRPr="00461AEC">
          <w:rPr>
            <w:rStyle w:val="Hyperlink"/>
            <w:noProof/>
          </w:rPr>
          <w:t>References</w:t>
        </w:r>
        <w:r w:rsidR="006F301E">
          <w:rPr>
            <w:noProof/>
            <w:webHidden/>
          </w:rPr>
          <w:tab/>
        </w:r>
        <w:r w:rsidR="006F301E">
          <w:rPr>
            <w:noProof/>
            <w:webHidden/>
          </w:rPr>
          <w:fldChar w:fldCharType="begin"/>
        </w:r>
        <w:r w:rsidR="006F301E">
          <w:rPr>
            <w:noProof/>
            <w:webHidden/>
          </w:rPr>
          <w:instrText xml:space="preserve"> PAGEREF _Toc430268957 \h </w:instrText>
        </w:r>
        <w:r w:rsidR="006F301E">
          <w:rPr>
            <w:noProof/>
            <w:webHidden/>
          </w:rPr>
        </w:r>
        <w:r w:rsidR="006F301E">
          <w:rPr>
            <w:noProof/>
            <w:webHidden/>
          </w:rPr>
          <w:fldChar w:fldCharType="separate"/>
        </w:r>
        <w:r w:rsidR="005E404C">
          <w:rPr>
            <w:noProof/>
            <w:webHidden/>
          </w:rPr>
          <w:t>75</w:t>
        </w:r>
        <w:r w:rsidR="006F301E">
          <w:rPr>
            <w:noProof/>
            <w:webHidden/>
          </w:rPr>
          <w:fldChar w:fldCharType="end"/>
        </w:r>
      </w:hyperlink>
    </w:p>
    <w:p w14:paraId="1A00FB72" w14:textId="08A7870C" w:rsidR="006F301E" w:rsidRDefault="00BA3063">
      <w:pPr>
        <w:pStyle w:val="TOC1"/>
        <w:tabs>
          <w:tab w:val="right" w:leader="dot" w:pos="9060"/>
        </w:tabs>
        <w:rPr>
          <w:rFonts w:eastAsiaTheme="minorEastAsia"/>
          <w:b w:val="0"/>
          <w:noProof/>
          <w:sz w:val="22"/>
          <w:lang w:eastAsia="en-AU"/>
        </w:rPr>
      </w:pPr>
      <w:hyperlink w:anchor="_Toc430268958" w:history="1">
        <w:r w:rsidR="006F301E" w:rsidRPr="00461AEC">
          <w:rPr>
            <w:rStyle w:val="Hyperlink"/>
            <w:noProof/>
          </w:rPr>
          <w:t>ANNEX A</w:t>
        </w:r>
        <w:r w:rsidR="00897FA3">
          <w:rPr>
            <w:rStyle w:val="Hyperlink"/>
            <w:noProof/>
          </w:rPr>
          <w:t xml:space="preserve"> – </w:t>
        </w:r>
        <w:r w:rsidR="006F301E" w:rsidRPr="00461AEC">
          <w:rPr>
            <w:rStyle w:val="Hyperlink"/>
            <w:noProof/>
          </w:rPr>
          <w:t>Algorithms &amp; Key Lengths</w:t>
        </w:r>
        <w:r w:rsidR="006F301E">
          <w:rPr>
            <w:noProof/>
            <w:webHidden/>
          </w:rPr>
          <w:tab/>
        </w:r>
        <w:r w:rsidR="006F301E">
          <w:rPr>
            <w:noProof/>
            <w:webHidden/>
          </w:rPr>
          <w:fldChar w:fldCharType="begin"/>
        </w:r>
        <w:r w:rsidR="006F301E">
          <w:rPr>
            <w:noProof/>
            <w:webHidden/>
          </w:rPr>
          <w:instrText xml:space="preserve"> PAGEREF _Toc430268958 \h </w:instrText>
        </w:r>
        <w:r w:rsidR="006F301E">
          <w:rPr>
            <w:noProof/>
            <w:webHidden/>
          </w:rPr>
        </w:r>
        <w:r w:rsidR="006F301E">
          <w:rPr>
            <w:noProof/>
            <w:webHidden/>
          </w:rPr>
          <w:fldChar w:fldCharType="separate"/>
        </w:r>
        <w:r w:rsidR="005E404C">
          <w:rPr>
            <w:noProof/>
            <w:webHidden/>
          </w:rPr>
          <w:t>78</w:t>
        </w:r>
        <w:r w:rsidR="006F301E">
          <w:rPr>
            <w:noProof/>
            <w:webHidden/>
          </w:rPr>
          <w:fldChar w:fldCharType="end"/>
        </w:r>
      </w:hyperlink>
    </w:p>
    <w:p w14:paraId="32BB017B" w14:textId="47DE382B" w:rsidR="006F301E" w:rsidRDefault="00BA3063">
      <w:pPr>
        <w:pStyle w:val="TOC2"/>
        <w:rPr>
          <w:rFonts w:eastAsiaTheme="minorEastAsia"/>
          <w:noProof/>
          <w:sz w:val="22"/>
          <w:lang w:eastAsia="en-AU"/>
        </w:rPr>
      </w:pPr>
      <w:hyperlink w:anchor="_Toc430268959" w:history="1">
        <w:r w:rsidR="006F301E" w:rsidRPr="00461AEC">
          <w:rPr>
            <w:rStyle w:val="Hyperlink"/>
            <w:noProof/>
          </w:rPr>
          <w:t>Comparable Algorithm Strengths</w:t>
        </w:r>
        <w:r w:rsidR="006F301E">
          <w:rPr>
            <w:noProof/>
            <w:webHidden/>
          </w:rPr>
          <w:tab/>
        </w:r>
        <w:r w:rsidR="006F301E">
          <w:rPr>
            <w:noProof/>
            <w:webHidden/>
          </w:rPr>
          <w:fldChar w:fldCharType="begin"/>
        </w:r>
        <w:r w:rsidR="006F301E">
          <w:rPr>
            <w:noProof/>
            <w:webHidden/>
          </w:rPr>
          <w:instrText xml:space="preserve"> PAGEREF _Toc430268959 \h </w:instrText>
        </w:r>
        <w:r w:rsidR="006F301E">
          <w:rPr>
            <w:noProof/>
            <w:webHidden/>
          </w:rPr>
        </w:r>
        <w:r w:rsidR="006F301E">
          <w:rPr>
            <w:noProof/>
            <w:webHidden/>
          </w:rPr>
          <w:fldChar w:fldCharType="separate"/>
        </w:r>
        <w:r w:rsidR="005E404C">
          <w:rPr>
            <w:noProof/>
            <w:webHidden/>
          </w:rPr>
          <w:t>78</w:t>
        </w:r>
        <w:r w:rsidR="006F301E">
          <w:rPr>
            <w:noProof/>
            <w:webHidden/>
          </w:rPr>
          <w:fldChar w:fldCharType="end"/>
        </w:r>
      </w:hyperlink>
    </w:p>
    <w:p w14:paraId="4B34A6F2" w14:textId="1093B462" w:rsidR="006F301E" w:rsidRDefault="00BA3063">
      <w:pPr>
        <w:pStyle w:val="TOC2"/>
        <w:rPr>
          <w:rFonts w:eastAsiaTheme="minorEastAsia"/>
          <w:noProof/>
          <w:sz w:val="22"/>
          <w:lang w:eastAsia="en-AU"/>
        </w:rPr>
      </w:pPr>
      <w:hyperlink w:anchor="_Toc430268960" w:history="1">
        <w:r w:rsidR="006F301E" w:rsidRPr="00461AEC">
          <w:rPr>
            <w:rStyle w:val="Hyperlink"/>
            <w:noProof/>
          </w:rPr>
          <w:t>Defining appropriate algorithm suites for accredited Service Providers</w:t>
        </w:r>
        <w:r w:rsidR="006F301E">
          <w:rPr>
            <w:noProof/>
            <w:webHidden/>
          </w:rPr>
          <w:tab/>
        </w:r>
        <w:r w:rsidR="006F301E">
          <w:rPr>
            <w:noProof/>
            <w:webHidden/>
          </w:rPr>
          <w:fldChar w:fldCharType="begin"/>
        </w:r>
        <w:r w:rsidR="006F301E">
          <w:rPr>
            <w:noProof/>
            <w:webHidden/>
          </w:rPr>
          <w:instrText xml:space="preserve"> PAGEREF _Toc430268960 \h </w:instrText>
        </w:r>
        <w:r w:rsidR="006F301E">
          <w:rPr>
            <w:noProof/>
            <w:webHidden/>
          </w:rPr>
        </w:r>
        <w:r w:rsidR="006F301E">
          <w:rPr>
            <w:noProof/>
            <w:webHidden/>
          </w:rPr>
          <w:fldChar w:fldCharType="separate"/>
        </w:r>
        <w:r w:rsidR="005E404C">
          <w:rPr>
            <w:noProof/>
            <w:webHidden/>
          </w:rPr>
          <w:t>80</w:t>
        </w:r>
        <w:r w:rsidR="006F301E">
          <w:rPr>
            <w:noProof/>
            <w:webHidden/>
          </w:rPr>
          <w:fldChar w:fldCharType="end"/>
        </w:r>
      </w:hyperlink>
    </w:p>
    <w:p w14:paraId="3DF574E5" w14:textId="603DBFB0" w:rsidR="006F301E" w:rsidRDefault="00BA3063">
      <w:pPr>
        <w:pStyle w:val="TOC2"/>
        <w:rPr>
          <w:rFonts w:eastAsiaTheme="minorEastAsia"/>
          <w:noProof/>
          <w:sz w:val="22"/>
          <w:lang w:eastAsia="en-AU"/>
        </w:rPr>
      </w:pPr>
      <w:hyperlink w:anchor="_Toc430268961" w:history="1">
        <w:r w:rsidR="006F301E" w:rsidRPr="00461AEC">
          <w:rPr>
            <w:rStyle w:val="Hyperlink"/>
            <w:noProof/>
          </w:rPr>
          <w:t>Transitioning to New Algorithms and Key Sizes</w:t>
        </w:r>
        <w:r w:rsidR="006F301E">
          <w:rPr>
            <w:noProof/>
            <w:webHidden/>
          </w:rPr>
          <w:tab/>
        </w:r>
        <w:r w:rsidR="006F301E">
          <w:rPr>
            <w:noProof/>
            <w:webHidden/>
          </w:rPr>
          <w:fldChar w:fldCharType="begin"/>
        </w:r>
        <w:r w:rsidR="006F301E">
          <w:rPr>
            <w:noProof/>
            <w:webHidden/>
          </w:rPr>
          <w:instrText xml:space="preserve"> PAGEREF _Toc430268961 \h </w:instrText>
        </w:r>
        <w:r w:rsidR="006F301E">
          <w:rPr>
            <w:noProof/>
            <w:webHidden/>
          </w:rPr>
        </w:r>
        <w:r w:rsidR="006F301E">
          <w:rPr>
            <w:noProof/>
            <w:webHidden/>
          </w:rPr>
          <w:fldChar w:fldCharType="separate"/>
        </w:r>
        <w:r w:rsidR="005E404C">
          <w:rPr>
            <w:noProof/>
            <w:webHidden/>
          </w:rPr>
          <w:t>81</w:t>
        </w:r>
        <w:r w:rsidR="006F301E">
          <w:rPr>
            <w:noProof/>
            <w:webHidden/>
          </w:rPr>
          <w:fldChar w:fldCharType="end"/>
        </w:r>
      </w:hyperlink>
    </w:p>
    <w:p w14:paraId="0C924D03" w14:textId="72F6A91C" w:rsidR="006F301E" w:rsidRDefault="00BA3063">
      <w:pPr>
        <w:pStyle w:val="TOC1"/>
        <w:tabs>
          <w:tab w:val="right" w:leader="dot" w:pos="9060"/>
        </w:tabs>
        <w:rPr>
          <w:rFonts w:eastAsiaTheme="minorEastAsia"/>
          <w:b w:val="0"/>
          <w:noProof/>
          <w:sz w:val="22"/>
          <w:lang w:eastAsia="en-AU"/>
        </w:rPr>
      </w:pPr>
      <w:hyperlink w:anchor="_Toc430268962" w:history="1">
        <w:r w:rsidR="006F301E" w:rsidRPr="00461AEC">
          <w:rPr>
            <w:rStyle w:val="Hyperlink"/>
            <w:noProof/>
          </w:rPr>
          <w:t>ANNEX B – Certificate Profile</w:t>
        </w:r>
        <w:r w:rsidR="006F301E">
          <w:rPr>
            <w:noProof/>
            <w:webHidden/>
          </w:rPr>
          <w:tab/>
        </w:r>
        <w:r w:rsidR="006F301E">
          <w:rPr>
            <w:noProof/>
            <w:webHidden/>
          </w:rPr>
          <w:fldChar w:fldCharType="begin"/>
        </w:r>
        <w:r w:rsidR="006F301E">
          <w:rPr>
            <w:noProof/>
            <w:webHidden/>
          </w:rPr>
          <w:instrText xml:space="preserve"> PAGEREF _Toc430268962 \h </w:instrText>
        </w:r>
        <w:r w:rsidR="006F301E">
          <w:rPr>
            <w:noProof/>
            <w:webHidden/>
          </w:rPr>
        </w:r>
        <w:r w:rsidR="006F301E">
          <w:rPr>
            <w:noProof/>
            <w:webHidden/>
          </w:rPr>
          <w:fldChar w:fldCharType="separate"/>
        </w:r>
        <w:r w:rsidR="005E404C">
          <w:rPr>
            <w:noProof/>
            <w:webHidden/>
          </w:rPr>
          <w:t>82</w:t>
        </w:r>
        <w:r w:rsidR="006F301E">
          <w:rPr>
            <w:noProof/>
            <w:webHidden/>
          </w:rPr>
          <w:fldChar w:fldCharType="end"/>
        </w:r>
      </w:hyperlink>
    </w:p>
    <w:p w14:paraId="63A11B11" w14:textId="6F285E61" w:rsidR="006F301E" w:rsidRDefault="00BA3063">
      <w:pPr>
        <w:pStyle w:val="TOC2"/>
        <w:rPr>
          <w:rFonts w:eastAsiaTheme="minorEastAsia"/>
          <w:noProof/>
          <w:sz w:val="22"/>
          <w:lang w:eastAsia="en-AU"/>
        </w:rPr>
      </w:pPr>
      <w:hyperlink w:anchor="_Toc430268963" w:history="1">
        <w:r w:rsidR="006F301E" w:rsidRPr="00461AEC">
          <w:rPr>
            <w:rStyle w:val="Hyperlink"/>
            <w:noProof/>
          </w:rPr>
          <w:t>Root CA Certificate</w:t>
        </w:r>
        <w:r w:rsidR="006F301E">
          <w:rPr>
            <w:noProof/>
            <w:webHidden/>
          </w:rPr>
          <w:tab/>
        </w:r>
        <w:r w:rsidR="006F301E">
          <w:rPr>
            <w:noProof/>
            <w:webHidden/>
          </w:rPr>
          <w:fldChar w:fldCharType="begin"/>
        </w:r>
        <w:r w:rsidR="006F301E">
          <w:rPr>
            <w:noProof/>
            <w:webHidden/>
          </w:rPr>
          <w:instrText xml:space="preserve"> PAGEREF _Toc430268963 \h </w:instrText>
        </w:r>
        <w:r w:rsidR="006F301E">
          <w:rPr>
            <w:noProof/>
            <w:webHidden/>
          </w:rPr>
        </w:r>
        <w:r w:rsidR="006F301E">
          <w:rPr>
            <w:noProof/>
            <w:webHidden/>
          </w:rPr>
          <w:fldChar w:fldCharType="separate"/>
        </w:r>
        <w:r w:rsidR="005E404C">
          <w:rPr>
            <w:noProof/>
            <w:webHidden/>
          </w:rPr>
          <w:t>82</w:t>
        </w:r>
        <w:r w:rsidR="006F301E">
          <w:rPr>
            <w:noProof/>
            <w:webHidden/>
          </w:rPr>
          <w:fldChar w:fldCharType="end"/>
        </w:r>
      </w:hyperlink>
    </w:p>
    <w:p w14:paraId="3698571C" w14:textId="414FCB01" w:rsidR="006F301E" w:rsidRDefault="00BA3063">
      <w:pPr>
        <w:pStyle w:val="TOC2"/>
        <w:rPr>
          <w:rFonts w:eastAsiaTheme="minorEastAsia"/>
          <w:noProof/>
          <w:sz w:val="22"/>
          <w:lang w:eastAsia="en-AU"/>
        </w:rPr>
      </w:pPr>
      <w:hyperlink w:anchor="_Toc430268964" w:history="1">
        <w:r w:rsidR="006F301E" w:rsidRPr="00461AEC">
          <w:rPr>
            <w:rStyle w:val="Hyperlink"/>
            <w:noProof/>
          </w:rPr>
          <w:t>Subordinate CA Certificate</w:t>
        </w:r>
        <w:r w:rsidR="006F301E">
          <w:rPr>
            <w:noProof/>
            <w:webHidden/>
          </w:rPr>
          <w:tab/>
        </w:r>
        <w:r w:rsidR="006F301E">
          <w:rPr>
            <w:noProof/>
            <w:webHidden/>
          </w:rPr>
          <w:fldChar w:fldCharType="begin"/>
        </w:r>
        <w:r w:rsidR="006F301E">
          <w:rPr>
            <w:noProof/>
            <w:webHidden/>
          </w:rPr>
          <w:instrText xml:space="preserve"> PAGEREF _Toc430268964 \h </w:instrText>
        </w:r>
        <w:r w:rsidR="006F301E">
          <w:rPr>
            <w:noProof/>
            <w:webHidden/>
          </w:rPr>
        </w:r>
        <w:r w:rsidR="006F301E">
          <w:rPr>
            <w:noProof/>
            <w:webHidden/>
          </w:rPr>
          <w:fldChar w:fldCharType="separate"/>
        </w:r>
        <w:r w:rsidR="005E404C">
          <w:rPr>
            <w:noProof/>
            <w:webHidden/>
          </w:rPr>
          <w:t>86</w:t>
        </w:r>
        <w:r w:rsidR="006F301E">
          <w:rPr>
            <w:noProof/>
            <w:webHidden/>
          </w:rPr>
          <w:fldChar w:fldCharType="end"/>
        </w:r>
      </w:hyperlink>
    </w:p>
    <w:p w14:paraId="0D529149" w14:textId="018F885C" w:rsidR="006F301E" w:rsidRDefault="00BA3063">
      <w:pPr>
        <w:pStyle w:val="TOC2"/>
        <w:rPr>
          <w:rFonts w:eastAsiaTheme="minorEastAsia"/>
          <w:noProof/>
          <w:sz w:val="22"/>
          <w:lang w:eastAsia="en-AU"/>
        </w:rPr>
      </w:pPr>
      <w:hyperlink w:anchor="_Toc430268965" w:history="1">
        <w:r w:rsidR="006F301E" w:rsidRPr="00461AEC">
          <w:rPr>
            <w:rStyle w:val="Hyperlink"/>
            <w:noProof/>
          </w:rPr>
          <w:t>Subscriber Certificate</w:t>
        </w:r>
        <w:r w:rsidR="006F301E">
          <w:rPr>
            <w:noProof/>
            <w:webHidden/>
          </w:rPr>
          <w:tab/>
        </w:r>
        <w:r w:rsidR="006F301E">
          <w:rPr>
            <w:noProof/>
            <w:webHidden/>
          </w:rPr>
          <w:fldChar w:fldCharType="begin"/>
        </w:r>
        <w:r w:rsidR="006F301E">
          <w:rPr>
            <w:noProof/>
            <w:webHidden/>
          </w:rPr>
          <w:instrText xml:space="preserve"> PAGEREF _Toc430268965 \h </w:instrText>
        </w:r>
        <w:r w:rsidR="006F301E">
          <w:rPr>
            <w:noProof/>
            <w:webHidden/>
          </w:rPr>
        </w:r>
        <w:r w:rsidR="006F301E">
          <w:rPr>
            <w:noProof/>
            <w:webHidden/>
          </w:rPr>
          <w:fldChar w:fldCharType="separate"/>
        </w:r>
        <w:r w:rsidR="005E404C">
          <w:rPr>
            <w:noProof/>
            <w:webHidden/>
          </w:rPr>
          <w:t>89</w:t>
        </w:r>
        <w:r w:rsidR="006F301E">
          <w:rPr>
            <w:noProof/>
            <w:webHidden/>
          </w:rPr>
          <w:fldChar w:fldCharType="end"/>
        </w:r>
      </w:hyperlink>
    </w:p>
    <w:p w14:paraId="339C5544" w14:textId="77777777" w:rsidR="00215226" w:rsidRDefault="006F301E" w:rsidP="00215226">
      <w:r>
        <w:rPr>
          <w:b/>
        </w:rPr>
        <w:fldChar w:fldCharType="end"/>
      </w:r>
    </w:p>
    <w:p w14:paraId="0F7FF0F1" w14:textId="77777777" w:rsidR="00215226" w:rsidRDefault="00215226" w:rsidP="00215226">
      <w:pPr>
        <w:pStyle w:val="TOAHeading"/>
      </w:pPr>
      <w:bookmarkStart w:id="4" w:name="_Accessible_information"/>
      <w:bookmarkStart w:id="5" w:name="_Toc394340245"/>
      <w:bookmarkStart w:id="6" w:name="_Toc397950776"/>
      <w:bookmarkStart w:id="7" w:name="_Toc397950857"/>
      <w:bookmarkStart w:id="8" w:name="_Toc404852127"/>
      <w:bookmarkStart w:id="9" w:name="_Toc426639924"/>
      <w:bookmarkStart w:id="10" w:name="_Toc271532262"/>
      <w:bookmarkEnd w:id="4"/>
      <w:r w:rsidRPr="00F00731">
        <w:t>Figures</w:t>
      </w:r>
      <w:bookmarkEnd w:id="5"/>
      <w:bookmarkEnd w:id="6"/>
      <w:bookmarkEnd w:id="7"/>
      <w:bookmarkEnd w:id="8"/>
      <w:bookmarkEnd w:id="9"/>
    </w:p>
    <w:p w14:paraId="3A4AFBDB" w14:textId="08463921" w:rsidR="006F301E" w:rsidRDefault="006F301E">
      <w:pPr>
        <w:pStyle w:val="TableofFigures"/>
        <w:tabs>
          <w:tab w:val="right" w:leader="dot" w:pos="9060"/>
        </w:tabs>
        <w:rPr>
          <w:rFonts w:eastAsiaTheme="minorEastAsia"/>
          <w:noProof/>
          <w:sz w:val="22"/>
          <w:lang w:eastAsia="en-AU"/>
        </w:rPr>
      </w:pPr>
      <w:r>
        <w:fldChar w:fldCharType="begin"/>
      </w:r>
      <w:r>
        <w:instrText xml:space="preserve"> TOC \h \z \c "Figure" </w:instrText>
      </w:r>
      <w:r>
        <w:fldChar w:fldCharType="separate"/>
      </w:r>
      <w:hyperlink w:anchor="_Toc430268966" w:history="1">
        <w:r w:rsidRPr="003169CD">
          <w:rPr>
            <w:rStyle w:val="Hyperlink"/>
            <w:noProof/>
          </w:rPr>
          <w:t>Figure 1 Policy Environment</w:t>
        </w:r>
        <w:r>
          <w:rPr>
            <w:noProof/>
            <w:webHidden/>
          </w:rPr>
          <w:tab/>
        </w:r>
        <w:r>
          <w:rPr>
            <w:noProof/>
            <w:webHidden/>
          </w:rPr>
          <w:fldChar w:fldCharType="begin"/>
        </w:r>
        <w:r>
          <w:rPr>
            <w:noProof/>
            <w:webHidden/>
          </w:rPr>
          <w:instrText xml:space="preserve"> PAGEREF _Toc430268966 \h </w:instrText>
        </w:r>
        <w:r>
          <w:rPr>
            <w:noProof/>
            <w:webHidden/>
          </w:rPr>
        </w:r>
        <w:r>
          <w:rPr>
            <w:noProof/>
            <w:webHidden/>
          </w:rPr>
          <w:fldChar w:fldCharType="separate"/>
        </w:r>
        <w:r w:rsidR="005E404C">
          <w:rPr>
            <w:noProof/>
            <w:webHidden/>
          </w:rPr>
          <w:t>10</w:t>
        </w:r>
        <w:r>
          <w:rPr>
            <w:noProof/>
            <w:webHidden/>
          </w:rPr>
          <w:fldChar w:fldCharType="end"/>
        </w:r>
      </w:hyperlink>
    </w:p>
    <w:p w14:paraId="69ACE423" w14:textId="6F5F8054" w:rsidR="006F301E" w:rsidRDefault="00BA3063">
      <w:pPr>
        <w:pStyle w:val="TableofFigures"/>
        <w:tabs>
          <w:tab w:val="right" w:leader="dot" w:pos="9060"/>
        </w:tabs>
        <w:rPr>
          <w:rFonts w:eastAsiaTheme="minorEastAsia"/>
          <w:noProof/>
          <w:sz w:val="22"/>
          <w:lang w:eastAsia="en-AU"/>
        </w:rPr>
      </w:pPr>
      <w:hyperlink w:anchor="_Toc430268967" w:history="1">
        <w:r w:rsidR="006F301E" w:rsidRPr="003169CD">
          <w:rPr>
            <w:rStyle w:val="Hyperlink"/>
            <w:noProof/>
          </w:rPr>
          <w:t>Figure 2 Elements of a PKI</w:t>
        </w:r>
        <w:r w:rsidR="006F301E">
          <w:rPr>
            <w:noProof/>
            <w:webHidden/>
          </w:rPr>
          <w:tab/>
        </w:r>
        <w:r w:rsidR="006F301E">
          <w:rPr>
            <w:noProof/>
            <w:webHidden/>
          </w:rPr>
          <w:fldChar w:fldCharType="begin"/>
        </w:r>
        <w:r w:rsidR="006F301E">
          <w:rPr>
            <w:noProof/>
            <w:webHidden/>
          </w:rPr>
          <w:instrText xml:space="preserve"> PAGEREF _Toc430268967 \h </w:instrText>
        </w:r>
        <w:r w:rsidR="006F301E">
          <w:rPr>
            <w:noProof/>
            <w:webHidden/>
          </w:rPr>
        </w:r>
        <w:r w:rsidR="006F301E">
          <w:rPr>
            <w:noProof/>
            <w:webHidden/>
          </w:rPr>
          <w:fldChar w:fldCharType="separate"/>
        </w:r>
        <w:r w:rsidR="005E404C">
          <w:rPr>
            <w:noProof/>
            <w:webHidden/>
          </w:rPr>
          <w:t>16</w:t>
        </w:r>
        <w:r w:rsidR="006F301E">
          <w:rPr>
            <w:noProof/>
            <w:webHidden/>
          </w:rPr>
          <w:fldChar w:fldCharType="end"/>
        </w:r>
      </w:hyperlink>
    </w:p>
    <w:p w14:paraId="28B8FBEA" w14:textId="30C67E87" w:rsidR="006F301E" w:rsidRDefault="00BA3063">
      <w:pPr>
        <w:pStyle w:val="TableofFigures"/>
        <w:tabs>
          <w:tab w:val="right" w:leader="dot" w:pos="9060"/>
        </w:tabs>
        <w:rPr>
          <w:rFonts w:eastAsiaTheme="minorEastAsia"/>
          <w:noProof/>
          <w:sz w:val="22"/>
          <w:lang w:eastAsia="en-AU"/>
        </w:rPr>
      </w:pPr>
      <w:hyperlink w:anchor="_Toc430268968" w:history="1">
        <w:r w:rsidR="006F301E" w:rsidRPr="003169CD">
          <w:rPr>
            <w:rStyle w:val="Hyperlink"/>
            <w:noProof/>
          </w:rPr>
          <w:t>Figure 3 Framework Structure</w:t>
        </w:r>
        <w:r w:rsidR="006F301E">
          <w:rPr>
            <w:noProof/>
            <w:webHidden/>
          </w:rPr>
          <w:tab/>
        </w:r>
        <w:r w:rsidR="006F301E">
          <w:rPr>
            <w:noProof/>
            <w:webHidden/>
          </w:rPr>
          <w:fldChar w:fldCharType="begin"/>
        </w:r>
        <w:r w:rsidR="006F301E">
          <w:rPr>
            <w:noProof/>
            <w:webHidden/>
          </w:rPr>
          <w:instrText xml:space="preserve"> PAGEREF _Toc430268968 \h </w:instrText>
        </w:r>
        <w:r w:rsidR="006F301E">
          <w:rPr>
            <w:noProof/>
            <w:webHidden/>
          </w:rPr>
        </w:r>
        <w:r w:rsidR="006F301E">
          <w:rPr>
            <w:noProof/>
            <w:webHidden/>
          </w:rPr>
          <w:fldChar w:fldCharType="separate"/>
        </w:r>
        <w:r w:rsidR="005E404C">
          <w:rPr>
            <w:noProof/>
            <w:webHidden/>
          </w:rPr>
          <w:t>18</w:t>
        </w:r>
        <w:r w:rsidR="006F301E">
          <w:rPr>
            <w:noProof/>
            <w:webHidden/>
          </w:rPr>
          <w:fldChar w:fldCharType="end"/>
        </w:r>
      </w:hyperlink>
    </w:p>
    <w:p w14:paraId="5BA51ABF" w14:textId="346F2B4A" w:rsidR="006F301E" w:rsidRDefault="00BA3063">
      <w:pPr>
        <w:pStyle w:val="TableofFigures"/>
        <w:tabs>
          <w:tab w:val="right" w:leader="dot" w:pos="9060"/>
        </w:tabs>
        <w:rPr>
          <w:rFonts w:eastAsiaTheme="minorEastAsia"/>
          <w:noProof/>
          <w:sz w:val="22"/>
          <w:lang w:eastAsia="en-AU"/>
        </w:rPr>
      </w:pPr>
      <w:hyperlink w:anchor="_Toc430268969" w:history="1">
        <w:r w:rsidR="006F301E" w:rsidRPr="003169CD">
          <w:rPr>
            <w:rStyle w:val="Hyperlink"/>
            <w:noProof/>
          </w:rPr>
          <w:t>Figure 4 Accreditation Process</w:t>
        </w:r>
        <w:r w:rsidR="006F301E">
          <w:rPr>
            <w:noProof/>
            <w:webHidden/>
          </w:rPr>
          <w:tab/>
        </w:r>
        <w:r w:rsidR="006F301E">
          <w:rPr>
            <w:noProof/>
            <w:webHidden/>
          </w:rPr>
          <w:fldChar w:fldCharType="begin"/>
        </w:r>
        <w:r w:rsidR="006F301E">
          <w:rPr>
            <w:noProof/>
            <w:webHidden/>
          </w:rPr>
          <w:instrText xml:space="preserve"> PAGEREF _Toc430268969 \h </w:instrText>
        </w:r>
        <w:r w:rsidR="006F301E">
          <w:rPr>
            <w:noProof/>
            <w:webHidden/>
          </w:rPr>
        </w:r>
        <w:r w:rsidR="006F301E">
          <w:rPr>
            <w:noProof/>
            <w:webHidden/>
          </w:rPr>
          <w:fldChar w:fldCharType="separate"/>
        </w:r>
        <w:r w:rsidR="005E404C">
          <w:rPr>
            <w:noProof/>
            <w:webHidden/>
          </w:rPr>
          <w:t>20</w:t>
        </w:r>
        <w:r w:rsidR="006F301E">
          <w:rPr>
            <w:noProof/>
            <w:webHidden/>
          </w:rPr>
          <w:fldChar w:fldCharType="end"/>
        </w:r>
      </w:hyperlink>
    </w:p>
    <w:p w14:paraId="67FFE9F3" w14:textId="507780ED" w:rsidR="006F301E" w:rsidRDefault="00BA3063">
      <w:pPr>
        <w:pStyle w:val="TableofFigures"/>
        <w:tabs>
          <w:tab w:val="right" w:leader="dot" w:pos="9060"/>
        </w:tabs>
        <w:rPr>
          <w:rFonts w:eastAsiaTheme="minorEastAsia"/>
          <w:noProof/>
          <w:sz w:val="22"/>
          <w:lang w:eastAsia="en-AU"/>
        </w:rPr>
      </w:pPr>
      <w:hyperlink w:anchor="_Toc430268970" w:history="1">
        <w:r w:rsidR="006F301E" w:rsidRPr="003169CD">
          <w:rPr>
            <w:rStyle w:val="Hyperlink"/>
            <w:noProof/>
          </w:rPr>
          <w:t>Figure 5 Accreditation Variation Process</w:t>
        </w:r>
        <w:r w:rsidR="006F301E">
          <w:rPr>
            <w:noProof/>
            <w:webHidden/>
          </w:rPr>
          <w:tab/>
        </w:r>
        <w:r w:rsidR="006F301E">
          <w:rPr>
            <w:noProof/>
            <w:webHidden/>
          </w:rPr>
          <w:fldChar w:fldCharType="begin"/>
        </w:r>
        <w:r w:rsidR="006F301E">
          <w:rPr>
            <w:noProof/>
            <w:webHidden/>
          </w:rPr>
          <w:instrText xml:space="preserve"> PAGEREF _Toc430268970 \h </w:instrText>
        </w:r>
        <w:r w:rsidR="006F301E">
          <w:rPr>
            <w:noProof/>
            <w:webHidden/>
          </w:rPr>
        </w:r>
        <w:r w:rsidR="006F301E">
          <w:rPr>
            <w:noProof/>
            <w:webHidden/>
          </w:rPr>
          <w:fldChar w:fldCharType="separate"/>
        </w:r>
        <w:r w:rsidR="005E404C">
          <w:rPr>
            <w:noProof/>
            <w:webHidden/>
          </w:rPr>
          <w:t>22</w:t>
        </w:r>
        <w:r w:rsidR="006F301E">
          <w:rPr>
            <w:noProof/>
            <w:webHidden/>
          </w:rPr>
          <w:fldChar w:fldCharType="end"/>
        </w:r>
      </w:hyperlink>
    </w:p>
    <w:p w14:paraId="5FBF03F0" w14:textId="77777777" w:rsidR="00215226" w:rsidRPr="00215226" w:rsidRDefault="006F301E" w:rsidP="00215226">
      <w:r>
        <w:fldChar w:fldCharType="end"/>
      </w:r>
    </w:p>
    <w:p w14:paraId="3E070746" w14:textId="77777777" w:rsidR="00215226" w:rsidRPr="00056884" w:rsidRDefault="00215226" w:rsidP="00215226">
      <w:pPr>
        <w:pStyle w:val="Heading1Numbered"/>
      </w:pPr>
      <w:bookmarkStart w:id="11" w:name="_Toc430268891"/>
      <w:bookmarkEnd w:id="10"/>
      <w:r>
        <w:lastRenderedPageBreak/>
        <w:t>Framework Management</w:t>
      </w:r>
      <w:bookmarkEnd w:id="11"/>
    </w:p>
    <w:p w14:paraId="2EAED04A" w14:textId="77777777" w:rsidR="00215226" w:rsidRDefault="00215226" w:rsidP="00215226">
      <w:pPr>
        <w:pStyle w:val="Heading2Numbered"/>
      </w:pPr>
      <w:bookmarkStart w:id="12" w:name="_Using_Word_styles"/>
      <w:bookmarkStart w:id="13" w:name="_Toc426636641"/>
      <w:bookmarkStart w:id="14" w:name="_Toc426639925"/>
      <w:bookmarkStart w:id="15" w:name="_Toc430268892"/>
      <w:bookmarkEnd w:id="12"/>
      <w:r>
        <w:t>Change Log</w:t>
      </w:r>
      <w:bookmarkEnd w:id="13"/>
      <w:bookmarkEnd w:id="14"/>
      <w:bookmarkEnd w:id="15"/>
    </w:p>
    <w:p w14:paraId="037961C8" w14:textId="77777777" w:rsidR="00215226" w:rsidRPr="00DB230F" w:rsidRDefault="00215226" w:rsidP="00215226">
      <w:r w:rsidRPr="00DB230F">
        <w:t>This is the third edition of the Gatekeeper PKI Framework (The Framework).</w:t>
      </w:r>
      <w:r>
        <w:t xml:space="preserve"> </w:t>
      </w:r>
      <w:r w:rsidRPr="00DB230F">
        <w:t>This release includes a number of changes from the</w:t>
      </w:r>
      <w:r>
        <w:t> 200</w:t>
      </w:r>
      <w:r w:rsidRPr="00DB230F">
        <w:t>9 edition, including:</w:t>
      </w:r>
    </w:p>
    <w:p w14:paraId="62A8E04A" w14:textId="77777777" w:rsidR="00215226" w:rsidRPr="00DB230F" w:rsidRDefault="00215226" w:rsidP="00215226">
      <w:pPr>
        <w:pStyle w:val="Bullet1"/>
      </w:pPr>
      <w:r>
        <w:t xml:space="preserve">A reduction in red tape through the consolidation </w:t>
      </w:r>
      <w:r w:rsidRPr="00DB230F">
        <w:t>of</w:t>
      </w:r>
      <w:r>
        <w:t xml:space="preserve"> </w:t>
      </w:r>
      <w:r w:rsidRPr="00DB230F">
        <w:t xml:space="preserve">the previous suite of </w:t>
      </w:r>
      <w:r>
        <w:t>33</w:t>
      </w:r>
      <w:r w:rsidRPr="00DB230F">
        <w:t xml:space="preserve"> Gatekeeper policies and guides into 5 documents.</w:t>
      </w:r>
    </w:p>
    <w:p w14:paraId="03B15E4A" w14:textId="77777777" w:rsidR="00215226" w:rsidRDefault="00215226" w:rsidP="00215226">
      <w:pPr>
        <w:pStyle w:val="Bullet2"/>
      </w:pPr>
      <w:r w:rsidRPr="00DB230F">
        <w:t>Removed Certification Authority (CA) and Validation Authority (VA) Operations Manuals</w:t>
      </w:r>
      <w:r>
        <w:t xml:space="preserve"> as Approved Documents.</w:t>
      </w:r>
    </w:p>
    <w:p w14:paraId="467AE379" w14:textId="77777777" w:rsidR="00215226" w:rsidRPr="00DB230F" w:rsidRDefault="00215226" w:rsidP="00215226">
      <w:pPr>
        <w:pStyle w:val="Bullet2"/>
        <w:rPr>
          <w:rFonts w:eastAsia="Cambria"/>
        </w:rPr>
      </w:pPr>
      <w:r>
        <w:t xml:space="preserve">Consolidated the </w:t>
      </w:r>
      <w:r w:rsidRPr="00DB230F">
        <w:rPr>
          <w:rFonts w:eastAsia="Cambria"/>
        </w:rPr>
        <w:t>National eAuthentication Framework (NeAF)</w:t>
      </w:r>
      <w:r>
        <w:t>, Assurance Framework and previous Gatekeeper glossaries into one document.</w:t>
      </w:r>
    </w:p>
    <w:p w14:paraId="73756156" w14:textId="77777777" w:rsidR="00215226" w:rsidRDefault="00215226" w:rsidP="00215226">
      <w:pPr>
        <w:pStyle w:val="Bullet1"/>
      </w:pPr>
      <w:r>
        <w:t>All</w:t>
      </w:r>
      <w:r w:rsidRPr="00DB230F">
        <w:t xml:space="preserve"> relevant requirements of the </w:t>
      </w:r>
      <w:r w:rsidRPr="00996BAC">
        <w:t xml:space="preserve">Australian Government Information Security Manual </w:t>
      </w:r>
      <w:r w:rsidRPr="00DB230F">
        <w:t>(ISM) and</w:t>
      </w:r>
      <w:r w:rsidR="00897FA3">
        <w:t> </w:t>
      </w:r>
      <w:r w:rsidRPr="00996BAC">
        <w:t>Australian Government Protective Security Policy Framework</w:t>
      </w:r>
      <w:r w:rsidRPr="00DB230F">
        <w:t xml:space="preserve"> (PSPF) into the </w:t>
      </w:r>
      <w:r>
        <w:t>Gatekeeper PKI</w:t>
      </w:r>
      <w:r w:rsidR="00897FA3">
        <w:t> </w:t>
      </w:r>
      <w:r w:rsidRPr="00DB230F">
        <w:t>Framework.</w:t>
      </w:r>
    </w:p>
    <w:p w14:paraId="79240BE9" w14:textId="77777777" w:rsidR="00215226" w:rsidRPr="00DB230F" w:rsidRDefault="00215226" w:rsidP="00215226">
      <w:pPr>
        <w:pStyle w:val="Bullet1"/>
      </w:pPr>
      <w:r>
        <w:t xml:space="preserve">Alignment with the </w:t>
      </w:r>
      <w:r w:rsidRPr="009B6EAF">
        <w:t>Privacy Act 1988</w:t>
      </w:r>
      <w:r>
        <w:t xml:space="preserve"> and </w:t>
      </w:r>
      <w:r w:rsidRPr="00996BAC">
        <w:t>Australian Privacy Principles</w:t>
      </w:r>
      <w:r>
        <w:t xml:space="preserve"> (APPs).</w:t>
      </w:r>
    </w:p>
    <w:p w14:paraId="76E9EA98" w14:textId="77777777" w:rsidR="00215226" w:rsidRPr="00DB230F" w:rsidRDefault="00215226" w:rsidP="00215226">
      <w:pPr>
        <w:pStyle w:val="Bullet1"/>
      </w:pPr>
      <w:r>
        <w:t xml:space="preserve">Defining </w:t>
      </w:r>
      <w:r w:rsidRPr="00DB230F">
        <w:t xml:space="preserve">LOA requirements for Registration Authorities (RA), CAs and VAs which </w:t>
      </w:r>
      <w:r>
        <w:t xml:space="preserve">map </w:t>
      </w:r>
      <w:r w:rsidRPr="00DB230F">
        <w:t xml:space="preserve">to the </w:t>
      </w:r>
      <w:r w:rsidRPr="00D825A0">
        <w:rPr>
          <w:rStyle w:val="Emphasis"/>
        </w:rPr>
        <w:t>National Identity Proofing Guidelines</w:t>
      </w:r>
      <w:r w:rsidRPr="00DB230F">
        <w:t xml:space="preserve"> (NIPG)</w:t>
      </w:r>
      <w:r w:rsidRPr="00DB230F">
        <w:rPr>
          <w:rStyle w:val="FootnoteReference"/>
          <w:rFonts w:eastAsia="Cambria"/>
        </w:rPr>
        <w:footnoteReference w:id="1"/>
      </w:r>
      <w:r w:rsidRPr="00DB230F">
        <w:t xml:space="preserve"> and NeAF.</w:t>
      </w:r>
      <w:r w:rsidRPr="00DB230F">
        <w:rPr>
          <w:rStyle w:val="FootnoteReference"/>
          <w:rFonts w:eastAsia="Cambria"/>
        </w:rPr>
        <w:footnoteReference w:id="2"/>
      </w:r>
    </w:p>
    <w:p w14:paraId="06D9BA4A" w14:textId="77777777" w:rsidR="00215226" w:rsidRDefault="00215226" w:rsidP="00215226">
      <w:pPr>
        <w:pStyle w:val="Bullet1"/>
      </w:pPr>
      <w:r w:rsidRPr="00DB230F">
        <w:t>Removed digital certificate classes and registration models.</w:t>
      </w:r>
    </w:p>
    <w:p w14:paraId="69CC601A" w14:textId="77777777" w:rsidR="00215226" w:rsidRDefault="00215226" w:rsidP="00215226">
      <w:pPr>
        <w:pStyle w:val="Bullet2"/>
      </w:pPr>
      <w:r w:rsidRPr="00DB230F">
        <w:t>The former accreditation and listing arrangements have been replaced with Levels of Assurance (LOAs)</w:t>
      </w:r>
      <w:r w:rsidR="00897FA3">
        <w:t xml:space="preserve"> – </w:t>
      </w:r>
      <w:r w:rsidRPr="00DB230F">
        <w:t>1 through 4.</w:t>
      </w:r>
    </w:p>
    <w:p w14:paraId="608FC0A0" w14:textId="77777777" w:rsidR="00215226" w:rsidRDefault="00215226" w:rsidP="00215226">
      <w:pPr>
        <w:pStyle w:val="Bullet2"/>
      </w:pPr>
      <w:r>
        <w:t>The ‘</w:t>
      </w:r>
      <w:r w:rsidRPr="00DB230F">
        <w:t>Special</w:t>
      </w:r>
      <w:r>
        <w:t>’</w:t>
      </w:r>
      <w:r w:rsidRPr="00DB230F">
        <w:t xml:space="preserve"> and </w:t>
      </w:r>
      <w:r>
        <w:t>‘</w:t>
      </w:r>
      <w:r w:rsidRPr="00DB230F">
        <w:t>General</w:t>
      </w:r>
      <w:r>
        <w:t>’</w:t>
      </w:r>
      <w:r w:rsidRPr="00DB230F">
        <w:t xml:space="preserve"> </w:t>
      </w:r>
      <w:r>
        <w:t xml:space="preserve">categories and </w:t>
      </w:r>
      <w:r w:rsidRPr="00DB230F">
        <w:t>Gatekeeper Listings have been mapped to LOAs</w:t>
      </w:r>
      <w:r>
        <w:t>.</w:t>
      </w:r>
    </w:p>
    <w:p w14:paraId="05DDABA5" w14:textId="77777777" w:rsidR="00215226" w:rsidRPr="00DB230F" w:rsidRDefault="00215226" w:rsidP="00215226">
      <w:pPr>
        <w:pStyle w:val="Bullet2"/>
      </w:pPr>
      <w:r w:rsidRPr="00DB230F">
        <w:t>Relationship Organisations have been replaced with Registration Authority requirements which map to LOAs.</w:t>
      </w:r>
    </w:p>
    <w:p w14:paraId="240E938A" w14:textId="77777777" w:rsidR="00215226" w:rsidRPr="00DB230F" w:rsidRDefault="00215226" w:rsidP="00215226">
      <w:pPr>
        <w:pStyle w:val="Heading2Numbered"/>
      </w:pPr>
      <w:bookmarkStart w:id="16" w:name="_Toc426636642"/>
      <w:bookmarkStart w:id="17" w:name="_Toc426639926"/>
      <w:bookmarkStart w:id="18" w:name="_Toc430268893"/>
      <w:r w:rsidRPr="00DB230F">
        <w:t>Review Date</w:t>
      </w:r>
      <w:bookmarkEnd w:id="16"/>
      <w:bookmarkEnd w:id="17"/>
      <w:bookmarkEnd w:id="18"/>
    </w:p>
    <w:p w14:paraId="5E3ECA41" w14:textId="77777777" w:rsidR="00215226" w:rsidRPr="00DB230F" w:rsidRDefault="00215226" w:rsidP="00215226">
      <w:r>
        <w:t>This document will be reviewed regularly and updated in line with changes to relevant government policies.</w:t>
      </w:r>
    </w:p>
    <w:p w14:paraId="29E21780" w14:textId="77777777" w:rsidR="00215226" w:rsidRPr="00DB230F" w:rsidRDefault="00215226" w:rsidP="00215226">
      <w:pPr>
        <w:pStyle w:val="Heading2Numbered"/>
      </w:pPr>
      <w:bookmarkStart w:id="19" w:name="_Toc426636643"/>
      <w:bookmarkStart w:id="20" w:name="_Toc426639927"/>
      <w:bookmarkStart w:id="21" w:name="_Toc430268894"/>
      <w:r w:rsidRPr="00DB230F">
        <w:t>Conventions</w:t>
      </w:r>
      <w:bookmarkEnd w:id="19"/>
      <w:bookmarkEnd w:id="20"/>
      <w:bookmarkEnd w:id="21"/>
    </w:p>
    <w:p w14:paraId="61AC54F3" w14:textId="77777777" w:rsidR="00215226" w:rsidRDefault="00215226" w:rsidP="00215226">
      <w:r w:rsidRPr="00DB230F">
        <w:t>The Gatekeeper Framework adopts the following conventions:</w:t>
      </w:r>
    </w:p>
    <w:p w14:paraId="2B43EB1C" w14:textId="77777777" w:rsidR="00215226" w:rsidRDefault="00215226" w:rsidP="00215226">
      <w:pPr>
        <w:pStyle w:val="Bullet1"/>
      </w:pPr>
      <w:r w:rsidRPr="00D825A0">
        <w:rPr>
          <w:rStyle w:val="Strong"/>
        </w:rPr>
        <w:t>MUST</w:t>
      </w:r>
      <w:r>
        <w:t xml:space="preserve"> indicates a mandatory requirement that a Service Provider is required to satisfy in order to obtain or maintain Gatekeeper Accreditation.</w:t>
      </w:r>
    </w:p>
    <w:p w14:paraId="679F5C2C" w14:textId="77777777" w:rsidR="00215226" w:rsidRDefault="00215226" w:rsidP="00215226">
      <w:pPr>
        <w:pStyle w:val="Bullet1"/>
      </w:pPr>
      <w:r w:rsidRPr="00D825A0">
        <w:rPr>
          <w:rStyle w:val="Strong"/>
        </w:rPr>
        <w:t xml:space="preserve">MUST NOT </w:t>
      </w:r>
      <w:r>
        <w:t>indicates something that if practiced, exercised or implemented will breach a Gatekeeper Accreditation requirement.</w:t>
      </w:r>
    </w:p>
    <w:p w14:paraId="679FFD5E" w14:textId="77777777" w:rsidR="00215226" w:rsidRPr="00334B7D" w:rsidRDefault="00215226" w:rsidP="00215226">
      <w:pPr>
        <w:pStyle w:val="Bullet1"/>
      </w:pPr>
      <w:r w:rsidRPr="00D825A0">
        <w:rPr>
          <w:rStyle w:val="Strong"/>
        </w:rPr>
        <w:t>SHOULD</w:t>
      </w:r>
      <w:r w:rsidRPr="00334B7D">
        <w:t xml:space="preserve"> </w:t>
      </w:r>
      <w:r>
        <w:t>indicates something that is not mandatory but is recommended which either supports a mandatory obligation or is considered best practice.</w:t>
      </w:r>
    </w:p>
    <w:p w14:paraId="7FC7E2E0" w14:textId="77777777" w:rsidR="00215226" w:rsidRDefault="00215226" w:rsidP="00215226">
      <w:pPr>
        <w:pStyle w:val="Bullet1"/>
      </w:pPr>
      <w:r w:rsidRPr="00D825A0">
        <w:rPr>
          <w:rStyle w:val="Strong"/>
        </w:rPr>
        <w:t>COMPLIANCE</w:t>
      </w:r>
      <w:r>
        <w:t xml:space="preserve"> is an assessment outcome which indicates a Service Provider satisfies a mandatory requirement of Gatekeeper Accreditation.</w:t>
      </w:r>
    </w:p>
    <w:p w14:paraId="3257A283" w14:textId="77777777" w:rsidR="00215226" w:rsidRDefault="00215226" w:rsidP="00215226">
      <w:pPr>
        <w:pStyle w:val="Bullet1"/>
      </w:pPr>
      <w:r w:rsidRPr="00D825A0">
        <w:rPr>
          <w:rStyle w:val="Strong"/>
        </w:rPr>
        <w:lastRenderedPageBreak/>
        <w:t xml:space="preserve">NON COMPLIANCE </w:t>
      </w:r>
      <w:r>
        <w:t>is an assessment outcome which indicates a Service Provider does not meet a mandatory requirement of Gatekeeper Accreditation.</w:t>
      </w:r>
    </w:p>
    <w:p w14:paraId="67024E3C" w14:textId="77777777" w:rsidR="00215226" w:rsidRDefault="00215226" w:rsidP="00215226">
      <w:pPr>
        <w:pStyle w:val="Bullet2"/>
      </w:pPr>
      <w:r>
        <w:t>Service Providers</w:t>
      </w:r>
      <w:r w:rsidRPr="0083535D">
        <w:t xml:space="preserve"> seeking Gatekeeper Accreditation are to </w:t>
      </w:r>
      <w:r>
        <w:t xml:space="preserve">meet </w:t>
      </w:r>
      <w:r w:rsidRPr="0083535D">
        <w:t xml:space="preserve">all </w:t>
      </w:r>
      <w:r>
        <w:t xml:space="preserve">mandatory requirements listed in the Framework </w:t>
      </w:r>
      <w:r w:rsidRPr="0083535D">
        <w:t xml:space="preserve">unless they obtain a waiver </w:t>
      </w:r>
      <w:r>
        <w:t xml:space="preserve">for a NON COMPLIANCE </w:t>
      </w:r>
      <w:r w:rsidRPr="0083535D">
        <w:t>from their Accreditation Authority.</w:t>
      </w:r>
    </w:p>
    <w:p w14:paraId="5E803B0C" w14:textId="77777777" w:rsidR="00215226" w:rsidRDefault="00215226" w:rsidP="00215226">
      <w:pPr>
        <w:pStyle w:val="Bullet2"/>
      </w:pPr>
      <w:r>
        <w:t>Service Providers may seek a waiver for a NON COMPLIANCE with any mandatory requirement listed in the Framework from their Accreditation Authority. The Accreditation Authority for Agencies is their Agency Head or their delegated representative. For commercial organisations the Accreditation Authority is a person or committee with the necessary authority to grant such a waiver.</w:t>
      </w:r>
    </w:p>
    <w:p w14:paraId="786620BC" w14:textId="77777777" w:rsidR="00215226" w:rsidRDefault="00215226" w:rsidP="00215226">
      <w:pPr>
        <w:pStyle w:val="Bullet2"/>
      </w:pPr>
      <w:r>
        <w:t>Service Providers seeking a waiver for a NON COMPLIANCE with any mandatory requirement listed in the Framework MUST document the justification for NON COMPLIANCE, alternative mitigation measures to be implemented (if any) and an assessment of the residual security risk.</w:t>
      </w:r>
    </w:p>
    <w:p w14:paraId="0102C34A" w14:textId="77777777" w:rsidR="00215226" w:rsidRDefault="00215226" w:rsidP="00215226">
      <w:pPr>
        <w:pStyle w:val="Bullet2"/>
      </w:pPr>
      <w:r>
        <w:t>Service Providers MUST retain a copy of all decisions to grant a waiver for a NON</w:t>
      </w:r>
      <w:r w:rsidR="00897FA3">
        <w:t> </w:t>
      </w:r>
      <w:r>
        <w:t>COMPLIANCE with any mandatory requirement listed in the Framework.</w:t>
      </w:r>
    </w:p>
    <w:p w14:paraId="620A8C14" w14:textId="77777777" w:rsidR="00215226" w:rsidRPr="00DB230F" w:rsidRDefault="00215226" w:rsidP="005B08E5">
      <w:pPr>
        <w:pStyle w:val="Heading2Numbered"/>
      </w:pPr>
      <w:bookmarkStart w:id="22" w:name="_Toc426636644"/>
      <w:bookmarkStart w:id="23" w:name="_Toc426639928"/>
      <w:bookmarkStart w:id="24" w:name="_Toc430268895"/>
      <w:r w:rsidRPr="00DB230F">
        <w:t>Terms and Definitions</w:t>
      </w:r>
      <w:bookmarkEnd w:id="22"/>
      <w:bookmarkEnd w:id="23"/>
      <w:bookmarkEnd w:id="24"/>
    </w:p>
    <w:p w14:paraId="49ACBCD3" w14:textId="77777777" w:rsidR="00215226" w:rsidRDefault="00215226" w:rsidP="005B08E5">
      <w:r w:rsidRPr="00DB230F">
        <w:t>The terms and definitions used in this document are defined in the Identity and Access Management Glossary [IAMG]</w:t>
      </w:r>
      <w:r w:rsidRPr="00DB230F">
        <w:rPr>
          <w:rStyle w:val="FootnoteReference"/>
        </w:rPr>
        <w:footnoteReference w:id="3"/>
      </w:r>
      <w:r w:rsidRPr="00DB230F">
        <w:t>.</w:t>
      </w:r>
    </w:p>
    <w:p w14:paraId="02D4BCA1" w14:textId="77777777" w:rsidR="00215226" w:rsidRPr="00DB230F" w:rsidRDefault="00215226" w:rsidP="005B08E5">
      <w:pPr>
        <w:pStyle w:val="Heading2Numbered"/>
      </w:pPr>
      <w:bookmarkStart w:id="25" w:name="_Toc426636645"/>
      <w:bookmarkStart w:id="26" w:name="_Toc426639929"/>
      <w:bookmarkStart w:id="27" w:name="_Toc430268896"/>
      <w:r w:rsidRPr="00DB230F">
        <w:t>Transition Arrangements</w:t>
      </w:r>
      <w:bookmarkEnd w:id="25"/>
      <w:bookmarkEnd w:id="26"/>
      <w:bookmarkEnd w:id="27"/>
    </w:p>
    <w:p w14:paraId="36551507" w14:textId="77777777" w:rsidR="00215226" w:rsidRPr="00DB230F" w:rsidRDefault="00215226" w:rsidP="005B08E5">
      <w:r w:rsidRPr="00DB230F">
        <w:t>Existing accredited Service Providers will have two years from the date the Framework is published to</w:t>
      </w:r>
      <w:r w:rsidR="00897FA3">
        <w:t> </w:t>
      </w:r>
      <w:r w:rsidRPr="00DB230F">
        <w:t xml:space="preserve">align their Approved Documents with the new </w:t>
      </w:r>
      <w:r>
        <w:t xml:space="preserve">mandatory </w:t>
      </w:r>
      <w:r w:rsidRPr="00DB230F">
        <w:t>requirements.</w:t>
      </w:r>
      <w:r>
        <w:t xml:space="preserve"> </w:t>
      </w:r>
      <w:r w:rsidRPr="00DB230F">
        <w:t xml:space="preserve">Service Provider’s computing capabilities will </w:t>
      </w:r>
      <w:r>
        <w:t xml:space="preserve">be required to meet the new mandatory </w:t>
      </w:r>
      <w:r w:rsidRPr="00DB230F">
        <w:t>requirements as part of the next</w:t>
      </w:r>
      <w:r w:rsidR="00897FA3">
        <w:t> </w:t>
      </w:r>
      <w:r w:rsidRPr="00DB230F">
        <w:t xml:space="preserve">appropriate technical refresh. </w:t>
      </w:r>
      <w:r>
        <w:t>Throughout the transition period Service Provider’s will need to ensure their Approved Documents adequately reflect the computing capabilities their Gatekeeper accredited</w:t>
      </w:r>
      <w:r w:rsidR="00897FA3">
        <w:t> </w:t>
      </w:r>
      <w:r>
        <w:t>service.</w:t>
      </w:r>
    </w:p>
    <w:p w14:paraId="79146B48" w14:textId="77777777" w:rsidR="00215226" w:rsidRDefault="00215226" w:rsidP="005B08E5">
      <w:r>
        <w:t xml:space="preserve">Gatekeeper Applicants not accredited as of the Framework’s publication date </w:t>
      </w:r>
      <w:r w:rsidRPr="00DB230F">
        <w:t xml:space="preserve">are </w:t>
      </w:r>
      <w:r>
        <w:t>req</w:t>
      </w:r>
      <w:r w:rsidRPr="00DB230F">
        <w:t>uired to meet all</w:t>
      </w:r>
      <w:r w:rsidR="00897FA3">
        <w:t> </w:t>
      </w:r>
      <w:r>
        <w:t>mandatory requirements listed in the Framework.</w:t>
      </w:r>
    </w:p>
    <w:p w14:paraId="1F64B3C7" w14:textId="77777777" w:rsidR="00215226" w:rsidRPr="00DB230F" w:rsidRDefault="00215226" w:rsidP="005B08E5">
      <w:pPr>
        <w:pStyle w:val="Heading2Numbered"/>
      </w:pPr>
      <w:bookmarkStart w:id="28" w:name="_Toc426636646"/>
      <w:bookmarkStart w:id="29" w:name="_Toc426639930"/>
      <w:bookmarkStart w:id="30" w:name="_Toc430268897"/>
      <w:r w:rsidRPr="00DB230F">
        <w:t>Advice on this Framework</w:t>
      </w:r>
      <w:bookmarkEnd w:id="28"/>
      <w:bookmarkEnd w:id="29"/>
      <w:bookmarkEnd w:id="30"/>
    </w:p>
    <w:p w14:paraId="75518E44" w14:textId="77777777" w:rsidR="00215226" w:rsidRPr="00DB230F" w:rsidRDefault="00215226" w:rsidP="005B08E5">
      <w:r w:rsidRPr="00DB230F">
        <w:t xml:space="preserve">Advice on the Framework or suggestions for amendment </w:t>
      </w:r>
      <w:r>
        <w:t>is welcome at</w:t>
      </w:r>
      <w:r w:rsidRPr="00DB230F">
        <w:t>:</w:t>
      </w:r>
    </w:p>
    <w:p w14:paraId="54CBB0A7" w14:textId="50E4DD1F" w:rsidR="00215226" w:rsidRPr="005B08E5" w:rsidRDefault="00215226" w:rsidP="005B08E5">
      <w:r w:rsidRPr="00DB230F">
        <w:t>Gatekeeper Competent Authority</w:t>
      </w:r>
      <w:r w:rsidR="005B08E5">
        <w:br/>
      </w:r>
      <w:r>
        <w:t>C/O Director, Trusted Digital Identity Team</w:t>
      </w:r>
      <w:r w:rsidR="005B08E5">
        <w:br/>
      </w:r>
      <w:r>
        <w:t>Digital Transformation Office</w:t>
      </w:r>
      <w:r w:rsidR="005B08E5">
        <w:br/>
      </w:r>
      <w:r w:rsidRPr="00B84BCB">
        <w:t xml:space="preserve">Email: </w:t>
      </w:r>
      <w:hyperlink r:id="rId14" w:tooltip="Email the Digital Transformation Office" w:history="1">
        <w:r w:rsidRPr="0091580D">
          <w:rPr>
            <w:rStyle w:val="Hyperlink"/>
            <w:rFonts w:eastAsia="Cambria"/>
          </w:rPr>
          <w:t>authentication@dto.gov.au</w:t>
        </w:r>
      </w:hyperlink>
    </w:p>
    <w:p w14:paraId="2544CA84" w14:textId="77777777" w:rsidR="00215226" w:rsidRPr="00B84BCB" w:rsidRDefault="00215226" w:rsidP="005B08E5">
      <w:pPr>
        <w:pStyle w:val="Heading2Numbered"/>
      </w:pPr>
      <w:bookmarkStart w:id="31" w:name="_Toc426636647"/>
      <w:bookmarkStart w:id="32" w:name="_Toc426639931"/>
      <w:bookmarkStart w:id="33" w:name="_Toc430268898"/>
      <w:r w:rsidRPr="00B84BCB">
        <w:t>Document Structure</w:t>
      </w:r>
      <w:bookmarkEnd w:id="31"/>
      <w:bookmarkEnd w:id="32"/>
      <w:bookmarkEnd w:id="33"/>
    </w:p>
    <w:p w14:paraId="5B19E73E" w14:textId="77777777" w:rsidR="00215226" w:rsidRPr="00DB230F" w:rsidRDefault="00215226" w:rsidP="005B08E5">
      <w:r w:rsidRPr="00DB230F">
        <w:t>This document is structured in the following manner:</w:t>
      </w:r>
    </w:p>
    <w:p w14:paraId="0BC925B2" w14:textId="77777777" w:rsidR="00215226" w:rsidRPr="00DB230F" w:rsidRDefault="00215226" w:rsidP="005B08E5">
      <w:pPr>
        <w:pStyle w:val="Bullet1"/>
      </w:pPr>
      <w:r w:rsidRPr="00DB230F">
        <w:t>Section 2 describes the Framework’s aims and purpose;</w:t>
      </w:r>
    </w:p>
    <w:p w14:paraId="3EB7CDEB" w14:textId="77777777" w:rsidR="00215226" w:rsidRPr="00DB230F" w:rsidRDefault="00215226" w:rsidP="005B08E5">
      <w:pPr>
        <w:pStyle w:val="Bullet1"/>
      </w:pPr>
      <w:r w:rsidRPr="00DB230F">
        <w:t xml:space="preserve">Section 3 introduces the concepts of </w:t>
      </w:r>
      <w:r w:rsidR="00897FA3">
        <w:t>e</w:t>
      </w:r>
      <w:r w:rsidR="00897FA3">
        <w:noBreakHyphen/>
      </w:r>
      <w:r>
        <w:t>a</w:t>
      </w:r>
      <w:r w:rsidRPr="00DB230F">
        <w:t>uthentication and assurance levels;</w:t>
      </w:r>
    </w:p>
    <w:p w14:paraId="2C638950" w14:textId="77777777" w:rsidR="00215226" w:rsidRPr="00DB230F" w:rsidRDefault="00215226" w:rsidP="005B08E5">
      <w:pPr>
        <w:pStyle w:val="Bullet1"/>
      </w:pPr>
      <w:r w:rsidRPr="00DB230F">
        <w:lastRenderedPageBreak/>
        <w:t>Section 4 describes Public Key Infrastructure, the elements of a PKI and the security services provided by a PKI;</w:t>
      </w:r>
    </w:p>
    <w:p w14:paraId="01978CD8" w14:textId="77777777" w:rsidR="00215226" w:rsidRPr="00DB230F" w:rsidRDefault="00215226" w:rsidP="005B08E5">
      <w:pPr>
        <w:pStyle w:val="Bullet1"/>
      </w:pPr>
      <w:r w:rsidRPr="00DB230F">
        <w:t>Section 5 describes the Gatekeeper Framework</w:t>
      </w:r>
      <w:r>
        <w:t>, its structure, the accreditation process and accreditation requirements</w:t>
      </w:r>
      <w:r w:rsidRPr="00DB230F">
        <w:t>;</w:t>
      </w:r>
    </w:p>
    <w:p w14:paraId="2E02F896" w14:textId="77777777" w:rsidR="00215226" w:rsidRPr="00DB230F" w:rsidRDefault="00215226" w:rsidP="005B08E5">
      <w:pPr>
        <w:pStyle w:val="Bullet1"/>
      </w:pPr>
      <w:r w:rsidRPr="00DB230F">
        <w:t>Section 6 lists the Core Obligations;</w:t>
      </w:r>
    </w:p>
    <w:p w14:paraId="43075C39" w14:textId="77777777" w:rsidR="00215226" w:rsidRPr="00DB230F" w:rsidRDefault="00215226" w:rsidP="005B08E5">
      <w:pPr>
        <w:pStyle w:val="Bullet1"/>
      </w:pPr>
      <w:r w:rsidRPr="00DB230F">
        <w:t>Section 7 lists the Gatekeeper Mandatory Security Requirements;</w:t>
      </w:r>
    </w:p>
    <w:p w14:paraId="0C69D1DC" w14:textId="77777777" w:rsidR="00215226" w:rsidRPr="00DB230F" w:rsidRDefault="00215226" w:rsidP="005B08E5">
      <w:pPr>
        <w:pStyle w:val="Bullet1"/>
      </w:pPr>
      <w:r w:rsidRPr="00DB230F">
        <w:t>Section 8 defines operational evaluations to be carried out by Service Providers;</w:t>
      </w:r>
    </w:p>
    <w:p w14:paraId="52A4AA4E" w14:textId="77777777" w:rsidR="00215226" w:rsidRPr="00DB230F" w:rsidRDefault="00215226" w:rsidP="005B08E5">
      <w:pPr>
        <w:pStyle w:val="Bullet1"/>
      </w:pPr>
      <w:r w:rsidRPr="00DB230F">
        <w:t>Section 9 describes the mandatory Gatekeeper documentation</w:t>
      </w:r>
      <w:r>
        <w:t xml:space="preserve"> to be developed and maintained;</w:t>
      </w:r>
    </w:p>
    <w:p w14:paraId="122653D2" w14:textId="77777777" w:rsidR="00215226" w:rsidRDefault="00215226" w:rsidP="005B08E5">
      <w:pPr>
        <w:pStyle w:val="Bullet1"/>
      </w:pPr>
      <w:r w:rsidRPr="00DB230F">
        <w:t xml:space="preserve">Sections 10 through 12 describe the additional requirements specific for </w:t>
      </w:r>
      <w:r>
        <w:t xml:space="preserve">Registration Authorities, </w:t>
      </w:r>
      <w:r w:rsidRPr="00DB230F">
        <w:t>Certification Authorities and Validation Authorities respectively;</w:t>
      </w:r>
    </w:p>
    <w:p w14:paraId="636A5ED4" w14:textId="77777777" w:rsidR="00215226" w:rsidRPr="00DB230F" w:rsidRDefault="00215226" w:rsidP="005B08E5">
      <w:pPr>
        <w:pStyle w:val="Bullet1"/>
      </w:pPr>
      <w:r w:rsidRPr="00DB230F">
        <w:t>Section 13 lists the sources referenced in the Framework;</w:t>
      </w:r>
    </w:p>
    <w:p w14:paraId="02C4C60F" w14:textId="77777777" w:rsidR="00215226" w:rsidRDefault="00215226" w:rsidP="005B08E5">
      <w:pPr>
        <w:pStyle w:val="Bullet1"/>
      </w:pPr>
      <w:r w:rsidRPr="00DB230F">
        <w:t>Annex A provides indicative guidance on appropriate cryptographic algorithms and key lengths;</w:t>
      </w:r>
    </w:p>
    <w:p w14:paraId="51EED529" w14:textId="77777777" w:rsidR="00215226" w:rsidRPr="00DB230F" w:rsidRDefault="00215226" w:rsidP="005B08E5">
      <w:pPr>
        <w:pStyle w:val="Bullet1"/>
      </w:pPr>
      <w:r w:rsidRPr="00DB230F">
        <w:t>Annex B lists the Root CA, Subordinate CA and Subscriber Certificate Profiles</w:t>
      </w:r>
      <w:r>
        <w:t>.</w:t>
      </w:r>
    </w:p>
    <w:p w14:paraId="52746A13" w14:textId="77777777" w:rsidR="00215226" w:rsidRDefault="00215226" w:rsidP="005B08E5"/>
    <w:p w14:paraId="57164620" w14:textId="77777777" w:rsidR="00215226" w:rsidRPr="00D0633D" w:rsidRDefault="00215226" w:rsidP="005B08E5">
      <w:pPr>
        <w:pStyle w:val="Heading1Numbered"/>
        <w:rPr>
          <w:noProof/>
        </w:rPr>
      </w:pPr>
      <w:bookmarkStart w:id="34" w:name="_Toc430268899"/>
      <w:r w:rsidRPr="00D0633D">
        <w:rPr>
          <w:noProof/>
        </w:rPr>
        <w:lastRenderedPageBreak/>
        <w:t>Aims and Purpose</w:t>
      </w:r>
      <w:bookmarkEnd w:id="34"/>
    </w:p>
    <w:p w14:paraId="0C8D10B2" w14:textId="77777777" w:rsidR="00215226" w:rsidRDefault="00215226" w:rsidP="005B08E5">
      <w:r w:rsidRPr="00F00731">
        <w:t>The Gatekeeper PKI Framework is a whol</w:t>
      </w:r>
      <w:r w:rsidR="00897FA3">
        <w:t>e</w:t>
      </w:r>
      <w:r w:rsidR="00897FA3">
        <w:noBreakHyphen/>
      </w:r>
      <w:r w:rsidRPr="00F00731">
        <w:t>of-government suite of policies, standards and procedures that governs the use of PKI in Government for the authentication of individuals, organisations and non</w:t>
      </w:r>
      <w:r w:rsidR="00897FA3">
        <w:noBreakHyphen/>
      </w:r>
      <w:r w:rsidRPr="00F00731">
        <w:t>person entities (NPE) – such as devices, applications or computing components.</w:t>
      </w:r>
    </w:p>
    <w:p w14:paraId="1AC632B1" w14:textId="00ADF856" w:rsidR="00215226" w:rsidRDefault="00215226" w:rsidP="005B08E5">
      <w:r w:rsidRPr="00F00731">
        <w:t>Gatekeeper operates within a broader policy environment (</w:t>
      </w:r>
      <w:r w:rsidR="000A710E">
        <w:fldChar w:fldCharType="begin"/>
      </w:r>
      <w:r w:rsidR="000A710E">
        <w:instrText xml:space="preserve"> REF _Ref430784790 \h </w:instrText>
      </w:r>
      <w:r w:rsidR="000A710E">
        <w:fldChar w:fldCharType="separate"/>
      </w:r>
      <w:r w:rsidR="005E404C">
        <w:t xml:space="preserve">Figure </w:t>
      </w:r>
      <w:r w:rsidR="005E404C">
        <w:rPr>
          <w:noProof/>
        </w:rPr>
        <w:t>1</w:t>
      </w:r>
      <w:r w:rsidR="000A710E">
        <w:fldChar w:fldCharType="end"/>
      </w:r>
      <w:r w:rsidRPr="00F00731">
        <w:t>) which supports the Government’s agenda for the digital economy.</w:t>
      </w:r>
    </w:p>
    <w:p w14:paraId="4093625A" w14:textId="77777777" w:rsidR="00215226" w:rsidRDefault="00215226" w:rsidP="005B08E5">
      <w:pPr>
        <w:rPr>
          <w:lang w:val="en-GB"/>
        </w:rPr>
      </w:pPr>
      <w:r w:rsidRPr="00F00731">
        <w:rPr>
          <w:lang w:val="en-GB"/>
        </w:rPr>
        <w:t>The Digital Transformation Office is responsible for conducting the Gatekeeper Accreditation Process and making recommendations to the Gatekeeper Competent Authority.</w:t>
      </w:r>
      <w:r>
        <w:rPr>
          <w:lang w:val="en-GB"/>
        </w:rPr>
        <w:t xml:space="preserve"> </w:t>
      </w:r>
      <w:r w:rsidRPr="00F00731">
        <w:rPr>
          <w:lang w:val="en-GB"/>
        </w:rPr>
        <w:t>The Gatekeeper Competent Authority is responsible for decisions in relation to the accreditation of Service Providers.</w:t>
      </w:r>
    </w:p>
    <w:p w14:paraId="7130FD6B" w14:textId="77777777" w:rsidR="00215226" w:rsidRDefault="00215226" w:rsidP="005B08E5">
      <w:r w:rsidRPr="00F00731">
        <w:t>The Framework is mandatory for agencies using PKI to authenticate their clients through the use of digital keys and certificates issued by Gatekeeper accredited Service Providers. Gatekeeper ensures a whol</w:t>
      </w:r>
      <w:r w:rsidR="00897FA3">
        <w:t>e</w:t>
      </w:r>
      <w:r w:rsidR="00897FA3">
        <w:noBreakHyphen/>
      </w:r>
      <w:r w:rsidRPr="00F00731">
        <w:t>of-government outcome that delivers integrity, interoperability, authenticity and trust for Service Providers and their Subscribers.</w:t>
      </w:r>
      <w:r>
        <w:t xml:space="preserve"> </w:t>
      </w:r>
      <w:r w:rsidRPr="00F00731">
        <w:t>Gatekeeper aligns the application of PKI to the way government agencies interact with their customers.</w:t>
      </w:r>
    </w:p>
    <w:p w14:paraId="7F76F332" w14:textId="77777777" w:rsidR="00215226" w:rsidRDefault="00215226" w:rsidP="005B08E5">
      <w:r w:rsidRPr="00F00731">
        <w:t>Organisations operating independently of government can also become Gatekeeper accredited Service Providers.</w:t>
      </w:r>
      <w:r>
        <w:t xml:space="preserve"> </w:t>
      </w:r>
      <w:r w:rsidRPr="00F00731">
        <w:t>The requirements outlined in this document apply equally to government agencies and to organisations that choose to obtain and maintain Gatekeeper accreditation.</w:t>
      </w:r>
    </w:p>
    <w:p w14:paraId="115CB2CA" w14:textId="77777777" w:rsidR="00215226" w:rsidRDefault="00215226" w:rsidP="005B08E5">
      <w:r w:rsidRPr="00F00731">
        <w:t xml:space="preserve">The Framework aligns with international standards such as the Canada Institute of Chartered Accountant’s </w:t>
      </w:r>
      <w:r w:rsidRPr="00E64190">
        <w:rPr>
          <w:rStyle w:val="Emphasis"/>
        </w:rPr>
        <w:t>WebTrust Program for Certification Authorities</w:t>
      </w:r>
      <w:r w:rsidRPr="00F00731">
        <w:t xml:space="preserve"> and the European Telecommunications Standards Institute’s </w:t>
      </w:r>
      <w:r w:rsidRPr="00E64190">
        <w:rPr>
          <w:rStyle w:val="Emphasis"/>
        </w:rPr>
        <w:t>Electronic Signature and Infrastructure Policy requirements for Certification Authorities issuing public key certificates</w:t>
      </w:r>
      <w:r w:rsidRPr="00F00731">
        <w:t>.</w:t>
      </w:r>
    </w:p>
    <w:p w14:paraId="2C4398F8" w14:textId="2DB83680" w:rsidR="00215226" w:rsidRPr="00DB230F" w:rsidRDefault="005B08E5" w:rsidP="005B08E5">
      <w:pPr>
        <w:pStyle w:val="Caption"/>
      </w:pPr>
      <w:bookmarkStart w:id="35" w:name="_Ref430784790"/>
      <w:bookmarkStart w:id="36" w:name="_Toc430268966"/>
      <w:r>
        <w:t xml:space="preserve">Figure </w:t>
      </w:r>
      <w:fldSimple w:instr=" SEQ Figure \* ARABIC ">
        <w:r w:rsidR="005E404C">
          <w:rPr>
            <w:noProof/>
          </w:rPr>
          <w:t>1</w:t>
        </w:r>
      </w:fldSimple>
      <w:bookmarkEnd w:id="35"/>
      <w:r>
        <w:t xml:space="preserve"> </w:t>
      </w:r>
      <w:r w:rsidRPr="00E64190">
        <w:t>Policy Environment</w:t>
      </w:r>
      <w:bookmarkEnd w:id="36"/>
    </w:p>
    <w:p w14:paraId="385034AA" w14:textId="77777777" w:rsidR="000A710E" w:rsidRDefault="000A710E" w:rsidP="000A710E">
      <w:pPr>
        <w:keepNext/>
      </w:pPr>
      <w:r w:rsidRPr="006F301E">
        <w:rPr>
          <w:noProof/>
          <w:lang w:eastAsia="en-AU"/>
        </w:rPr>
        <w:drawing>
          <wp:inline distT="0" distB="0" distL="0" distR="0" wp14:anchorId="6DEBBB5D" wp14:editId="187B0765">
            <wp:extent cx="5575300" cy="3157965"/>
            <wp:effectExtent l="76200" t="57150" r="82550" b="99695"/>
            <wp:docPr id="11" name="Diagram 11"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8013E0A" w14:textId="77777777" w:rsidR="00215226" w:rsidRDefault="00215226" w:rsidP="005B08E5">
      <w:r w:rsidRPr="00F00731">
        <w:t xml:space="preserve">The </w:t>
      </w:r>
      <w:r w:rsidRPr="00E64190">
        <w:rPr>
          <w:rStyle w:val="Emphasis"/>
        </w:rPr>
        <w:t>Australian Government Protective Security Policy Framework</w:t>
      </w:r>
      <w:r w:rsidRPr="00F00731">
        <w:t xml:space="preserve"> and </w:t>
      </w:r>
      <w:r w:rsidRPr="00E64190">
        <w:rPr>
          <w:rStyle w:val="Emphasis"/>
        </w:rPr>
        <w:t>Australian Government Information Security Manual</w:t>
      </w:r>
      <w:r w:rsidRPr="00F00731">
        <w:t xml:space="preserve"> provide the overarching security policy context for Gatekeeper. Within the risk-based approach set out in these policy frameworks, Service Providers </w:t>
      </w:r>
      <w:r w:rsidRPr="00D825A0">
        <w:rPr>
          <w:rStyle w:val="Strong"/>
        </w:rPr>
        <w:t>MUST</w:t>
      </w:r>
      <w:r w:rsidRPr="00F00731">
        <w:t xml:space="preserve"> satisfy Gatekeeper-specific standards and benchmarks.</w:t>
      </w:r>
      <w:r>
        <w:t xml:space="preserve"> </w:t>
      </w:r>
      <w:r w:rsidRPr="00F00731">
        <w:t xml:space="preserve">Additionally, Gatekeeper benchmarks enable the accreditation </w:t>
      </w:r>
      <w:r w:rsidRPr="00F00731">
        <w:lastRenderedPageBreak/>
        <w:t>process to be undertaken against agreed criteria ensuring that all Service Providers operate to the same standards.</w:t>
      </w:r>
    </w:p>
    <w:p w14:paraId="62B5EF21" w14:textId="77777777" w:rsidR="00215226" w:rsidRPr="00F00731" w:rsidRDefault="00215226" w:rsidP="005B08E5">
      <w:r w:rsidRPr="00F00731">
        <w:t>Privacy of personal information is a fundamental consideration under the Gatekeeper PKI Framework.</w:t>
      </w:r>
      <w:r>
        <w:t xml:space="preserve"> </w:t>
      </w:r>
      <w:r w:rsidRPr="00F00731">
        <w:t xml:space="preserve">All Service Providers are required to comply with the </w:t>
      </w:r>
      <w:r w:rsidRPr="00E64190">
        <w:rPr>
          <w:rStyle w:val="Emphasis"/>
        </w:rPr>
        <w:t>Privacy Act 1988 (Cth)</w:t>
      </w:r>
      <w:r w:rsidRPr="00F00731">
        <w:t xml:space="preserve"> and the </w:t>
      </w:r>
      <w:r w:rsidRPr="00E64190">
        <w:rPr>
          <w:rStyle w:val="Emphasis"/>
        </w:rPr>
        <w:t>Australian Privacy Principles</w:t>
      </w:r>
      <w:r w:rsidRPr="00F00731">
        <w:t>.</w:t>
      </w:r>
    </w:p>
    <w:p w14:paraId="78A3BB99" w14:textId="77777777" w:rsidR="00215226" w:rsidRPr="00F00731" w:rsidRDefault="00215226" w:rsidP="005B08E5">
      <w:pPr>
        <w:rPr>
          <w:noProof/>
          <w:lang w:eastAsia="en-AU"/>
        </w:rPr>
      </w:pPr>
      <w:r w:rsidRPr="00F00731">
        <w:rPr>
          <w:noProof/>
          <w:lang w:eastAsia="en-AU"/>
        </w:rPr>
        <w:t xml:space="preserve">The </w:t>
      </w:r>
      <w:r w:rsidRPr="00E64190">
        <w:rPr>
          <w:rStyle w:val="Emphasis"/>
        </w:rPr>
        <w:t>National Identity Proofing Guidelines</w:t>
      </w:r>
      <w:r w:rsidRPr="00F00731">
        <w:rPr>
          <w:noProof/>
          <w:lang w:eastAsia="en-AU"/>
        </w:rPr>
        <w:t xml:space="preserve">, </w:t>
      </w:r>
      <w:r w:rsidRPr="00E64190">
        <w:rPr>
          <w:rStyle w:val="Emphasis"/>
        </w:rPr>
        <w:t xml:space="preserve">National </w:t>
      </w:r>
      <w:r w:rsidR="00897FA3">
        <w:rPr>
          <w:rStyle w:val="Emphasis"/>
        </w:rPr>
        <w:t>e</w:t>
      </w:r>
      <w:r w:rsidR="00897FA3">
        <w:rPr>
          <w:rStyle w:val="Emphasis"/>
        </w:rPr>
        <w:noBreakHyphen/>
      </w:r>
      <w:r w:rsidRPr="00E64190">
        <w:rPr>
          <w:rStyle w:val="Emphasis"/>
        </w:rPr>
        <w:t>Authentication Framework</w:t>
      </w:r>
      <w:r w:rsidRPr="00F00731">
        <w:rPr>
          <w:noProof/>
          <w:lang w:eastAsia="en-AU"/>
        </w:rPr>
        <w:t xml:space="preserve"> and </w:t>
      </w:r>
      <w:r w:rsidRPr="00E64190">
        <w:rPr>
          <w:rStyle w:val="Emphasis"/>
        </w:rPr>
        <w:t>Third Party Identity Services Assurance Framework</w:t>
      </w:r>
      <w:r w:rsidRPr="00F00731">
        <w:rPr>
          <w:noProof/>
          <w:lang w:eastAsia="en-AU"/>
        </w:rPr>
        <w:t xml:space="preserve"> (Assurance Framework) support the Gatekeeper PKI Framework. Standardised and transparent approches to identity proofing, electronic authentication and identity service provisioning are achieved through the use of these frameworks and guidelines which, together with Gatekeeper assist with establishing trusted online identities.</w:t>
      </w:r>
    </w:p>
    <w:p w14:paraId="3C60CB07" w14:textId="77777777" w:rsidR="00215226" w:rsidRPr="00F00731" w:rsidRDefault="00215226" w:rsidP="005B08E5"/>
    <w:p w14:paraId="68599B7D" w14:textId="77777777" w:rsidR="00215226" w:rsidRPr="00DB230F" w:rsidRDefault="00215226" w:rsidP="005B08E5">
      <w:pPr>
        <w:pStyle w:val="Heading1Numbered"/>
      </w:pPr>
      <w:bookmarkStart w:id="37" w:name="_Toc430268900"/>
      <w:r w:rsidRPr="00DB230F">
        <w:lastRenderedPageBreak/>
        <w:t>Electronic Authentication</w:t>
      </w:r>
      <w:bookmarkEnd w:id="37"/>
    </w:p>
    <w:p w14:paraId="50AF0358" w14:textId="77777777" w:rsidR="00215226" w:rsidRPr="00DB230F" w:rsidRDefault="00215226" w:rsidP="005B08E5">
      <w:pPr>
        <w:pStyle w:val="Heading2Numbered"/>
      </w:pPr>
      <w:bookmarkStart w:id="38" w:name="_Toc426636648"/>
      <w:bookmarkStart w:id="39" w:name="_Toc426639932"/>
      <w:bookmarkStart w:id="40" w:name="_Toc430268901"/>
      <w:bookmarkStart w:id="41" w:name="_Toc271532264"/>
      <w:r w:rsidRPr="00DB230F">
        <w:t>Electronic Authentication</w:t>
      </w:r>
      <w:bookmarkEnd w:id="38"/>
      <w:bookmarkEnd w:id="39"/>
      <w:bookmarkEnd w:id="40"/>
    </w:p>
    <w:p w14:paraId="65202740" w14:textId="77777777" w:rsidR="00215226" w:rsidRDefault="00215226" w:rsidP="005B08E5">
      <w:r w:rsidRPr="00F00731">
        <w:t>Electronic authentication (</w:t>
      </w:r>
      <w:r w:rsidR="00897FA3">
        <w:t>e</w:t>
      </w:r>
      <w:r w:rsidR="00897FA3">
        <w:noBreakHyphen/>
      </w:r>
      <w:r w:rsidRPr="00F00731">
        <w:t>authentication) is the process of establishing confidence in a claimed digital identity presented to an online resource.</w:t>
      </w:r>
    </w:p>
    <w:p w14:paraId="1D8EABC0" w14:textId="77777777" w:rsidR="00215226" w:rsidRPr="00F00731" w:rsidRDefault="00215226" w:rsidP="005B08E5">
      <w:r w:rsidRPr="00F00731">
        <w:t>High-risk systems, applications and transactions require stronger forms of authentication that more accurately confirm the entity’s digital identity as being who they claim to be, as opposed to low-risk applications where the confirmation of the digital identity is not as important from a risk perspective.</w:t>
      </w:r>
    </w:p>
    <w:p w14:paraId="055FB501" w14:textId="77777777" w:rsidR="00215226" w:rsidRDefault="00215226" w:rsidP="005B08E5">
      <w:r w:rsidRPr="00F00731">
        <w:t>Determining the appropriate authentication approach requires a balance between the level of risk that is acceptable and the desired user experience.</w:t>
      </w:r>
    </w:p>
    <w:p w14:paraId="43AF8915" w14:textId="77777777" w:rsidR="00215226" w:rsidRDefault="00215226" w:rsidP="005B08E5">
      <w:r w:rsidRPr="00F00731">
        <w:t>Authentication is not the same as authorisation, which addresses the permissions or privileges granted to a Subscriber when accessing systems, or online services.</w:t>
      </w:r>
      <w:r>
        <w:t xml:space="preserve"> </w:t>
      </w:r>
      <w:r w:rsidRPr="00F00731">
        <w:t>The issue of authorisation is not</w:t>
      </w:r>
      <w:r w:rsidR="00897FA3">
        <w:t> </w:t>
      </w:r>
      <w:r w:rsidRPr="00F00731">
        <w:t>addressed in the Framework.</w:t>
      </w:r>
    </w:p>
    <w:p w14:paraId="402ABA6E" w14:textId="77777777" w:rsidR="00215226" w:rsidRPr="00DB230F" w:rsidRDefault="00215226" w:rsidP="005B08E5">
      <w:pPr>
        <w:pStyle w:val="Heading2Numbered"/>
      </w:pPr>
      <w:bookmarkStart w:id="42" w:name="_Toc426636649"/>
      <w:bookmarkStart w:id="43" w:name="_Toc426639933"/>
      <w:bookmarkStart w:id="44" w:name="_Toc430268902"/>
      <w:r w:rsidRPr="00DB230F">
        <w:t xml:space="preserve">The </w:t>
      </w:r>
      <w:r w:rsidR="00897FA3">
        <w:t>e</w:t>
      </w:r>
      <w:r w:rsidR="00897FA3">
        <w:noBreakHyphen/>
      </w:r>
      <w:r w:rsidRPr="00DB230F">
        <w:t>Authentication Process</w:t>
      </w:r>
      <w:bookmarkEnd w:id="42"/>
      <w:bookmarkEnd w:id="43"/>
      <w:bookmarkEnd w:id="44"/>
    </w:p>
    <w:p w14:paraId="423ED298" w14:textId="77777777" w:rsidR="00215226" w:rsidRDefault="00215226" w:rsidP="005B08E5">
      <w:r w:rsidRPr="00332959">
        <w:t>Before an individual can authenticate to an online service, they must first be enrolled and issued a digital credential.</w:t>
      </w:r>
    </w:p>
    <w:p w14:paraId="7F21F9BD" w14:textId="77777777" w:rsidR="00215226" w:rsidRDefault="00215226" w:rsidP="005B08E5">
      <w:r w:rsidRPr="00332959">
        <w:t xml:space="preserve">The first step of </w:t>
      </w:r>
      <w:r w:rsidR="00897FA3">
        <w:t>e</w:t>
      </w:r>
      <w:r w:rsidR="00897FA3">
        <w:noBreakHyphen/>
      </w:r>
      <w:r w:rsidRPr="00332959">
        <w:t>authentication requires an Applicant to undergo an evidence of identity check. This</w:t>
      </w:r>
      <w:r w:rsidR="00897FA3">
        <w:t> </w:t>
      </w:r>
      <w:r w:rsidRPr="00332959">
        <w:t>identity verification process is typically called ‘identity proofing’.</w:t>
      </w:r>
      <w:r>
        <w:t xml:space="preserve"> </w:t>
      </w:r>
      <w:r w:rsidRPr="00332959">
        <w:t>The usual sequence of events for</w:t>
      </w:r>
      <w:r w:rsidR="00897FA3">
        <w:t> </w:t>
      </w:r>
      <w:r w:rsidRPr="00332959">
        <w:t>registration is as follows:</w:t>
      </w:r>
    </w:p>
    <w:p w14:paraId="5576D6C6" w14:textId="77777777" w:rsidR="00215226" w:rsidRDefault="00215226" w:rsidP="005B08E5">
      <w:pPr>
        <w:pStyle w:val="Bullet1"/>
      </w:pPr>
      <w:r w:rsidRPr="00332959">
        <w:t>An Applicant applies to a Registration Authority to become a Subscriber of a Credential Service Provider</w:t>
      </w:r>
      <w:r w:rsidRPr="00332959">
        <w:rPr>
          <w:rStyle w:val="FootnoteReference"/>
        </w:rPr>
        <w:footnoteReference w:id="4"/>
      </w:r>
      <w:r w:rsidRPr="00332959">
        <w:t xml:space="preserve"> (CSP);</w:t>
      </w:r>
    </w:p>
    <w:p w14:paraId="4B1A415F" w14:textId="77777777" w:rsidR="00215226" w:rsidRPr="00332959" w:rsidRDefault="00215226" w:rsidP="005B08E5">
      <w:pPr>
        <w:pStyle w:val="Bullet1"/>
      </w:pPr>
      <w:r w:rsidRPr="00332959">
        <w:t>The RA verifies the identity of the Applicant; and</w:t>
      </w:r>
    </w:p>
    <w:p w14:paraId="494AB260" w14:textId="77777777" w:rsidR="00215226" w:rsidRPr="00332959" w:rsidRDefault="00215226" w:rsidP="005B08E5">
      <w:pPr>
        <w:pStyle w:val="Bullet1"/>
      </w:pPr>
      <w:r w:rsidRPr="00332959">
        <w:t>The RA associates the Applicant with the identity record created.</w:t>
      </w:r>
      <w:r>
        <w:t xml:space="preserve"> </w:t>
      </w:r>
      <w:r w:rsidRPr="00332959">
        <w:t>This association may occur within or on behalf of an organisation.</w:t>
      </w:r>
      <w:r>
        <w:t xml:space="preserve"> </w:t>
      </w:r>
      <w:r w:rsidRPr="00332959">
        <w:t>(On successful identity proofing the Applicant will be considered a Subscriber of the CSP.)</w:t>
      </w:r>
    </w:p>
    <w:p w14:paraId="51A9F70C" w14:textId="77777777" w:rsidR="00215226" w:rsidRPr="00332959" w:rsidRDefault="00215226" w:rsidP="005B08E5">
      <w:r w:rsidRPr="00332959">
        <w:t>Once the individual’s identity has been verified to a defined level of confidence or assurance, the</w:t>
      </w:r>
      <w:r w:rsidR="00897FA3">
        <w:t> </w:t>
      </w:r>
      <w:r w:rsidRPr="00332959">
        <w:t>RA</w:t>
      </w:r>
      <w:r w:rsidR="00897FA3">
        <w:t> </w:t>
      </w:r>
      <w:r w:rsidRPr="00332959">
        <w:t>will request a credential from the CSP on behalf of the Subscriber.</w:t>
      </w:r>
      <w:r>
        <w:t xml:space="preserve"> </w:t>
      </w:r>
      <w:r w:rsidRPr="00332959">
        <w:t>This process is called ‘credentialing’.</w:t>
      </w:r>
      <w:r>
        <w:t xml:space="preserve"> </w:t>
      </w:r>
      <w:r w:rsidRPr="00332959">
        <w:t>A typical sequence of events for credentialing is as follows:</w:t>
      </w:r>
    </w:p>
    <w:p w14:paraId="00776FF7" w14:textId="77777777" w:rsidR="00215226" w:rsidRPr="00332959" w:rsidRDefault="00215226" w:rsidP="005B08E5">
      <w:pPr>
        <w:pStyle w:val="Bullet1"/>
      </w:pPr>
      <w:r w:rsidRPr="00332959">
        <w:t>The RA will send the CSP a registration confirmation message.</w:t>
      </w:r>
    </w:p>
    <w:p w14:paraId="010EF9BA" w14:textId="77777777" w:rsidR="00215226" w:rsidRPr="00332959" w:rsidRDefault="00215226" w:rsidP="005B08E5">
      <w:pPr>
        <w:pStyle w:val="Bullet1"/>
      </w:pPr>
      <w:r w:rsidRPr="00332959">
        <w:t>The CSP will generate and register the credential and associate it with the Subscriber.</w:t>
      </w:r>
    </w:p>
    <w:p w14:paraId="368F0161" w14:textId="77777777" w:rsidR="00215226" w:rsidRPr="00332959" w:rsidRDefault="00215226" w:rsidP="005B08E5">
      <w:pPr>
        <w:pStyle w:val="Bullet1"/>
      </w:pPr>
      <w:r w:rsidRPr="00332959">
        <w:t>The CSP will issue the credential to the Subscriber.</w:t>
      </w:r>
    </w:p>
    <w:p w14:paraId="2734BD0B" w14:textId="77777777" w:rsidR="00215226" w:rsidRPr="00332959" w:rsidRDefault="00215226" w:rsidP="005B08E5">
      <w:pPr>
        <w:pStyle w:val="Bullet1"/>
      </w:pPr>
      <w:r w:rsidRPr="00332959">
        <w:t>The CSP will manage the credential throughout its lifecycle.</w:t>
      </w:r>
    </w:p>
    <w:p w14:paraId="2D450F36" w14:textId="77777777" w:rsidR="00215226" w:rsidRPr="00332959" w:rsidRDefault="00215226" w:rsidP="005B08E5">
      <w:r w:rsidRPr="00332959">
        <w:t>The Subscriber will then be able to use the credential to subsequently authenticate to online services.</w:t>
      </w:r>
    </w:p>
    <w:p w14:paraId="352182C0" w14:textId="77777777" w:rsidR="00FF121B" w:rsidRDefault="00FF121B" w:rsidP="00FF121B">
      <w:pPr>
        <w:rPr>
          <w:rFonts w:asciiTheme="majorHAnsi" w:eastAsiaTheme="majorEastAsia" w:hAnsiTheme="majorHAnsi" w:cstheme="majorBidi"/>
          <w:sz w:val="40"/>
          <w:szCs w:val="26"/>
        </w:rPr>
      </w:pPr>
      <w:bookmarkStart w:id="45" w:name="_Toc426636650"/>
      <w:bookmarkStart w:id="46" w:name="_Toc426639934"/>
      <w:bookmarkStart w:id="47" w:name="_Toc430268903"/>
      <w:r>
        <w:br w:type="page"/>
      </w:r>
    </w:p>
    <w:p w14:paraId="4D6557A5" w14:textId="0A8F439D" w:rsidR="00215226" w:rsidRPr="00F00731" w:rsidRDefault="00215226" w:rsidP="005B08E5">
      <w:pPr>
        <w:pStyle w:val="Heading2Numbered"/>
      </w:pPr>
      <w:r w:rsidRPr="00F00731">
        <w:lastRenderedPageBreak/>
        <w:t>Levels of Assurance</w:t>
      </w:r>
      <w:bookmarkEnd w:id="45"/>
      <w:bookmarkEnd w:id="46"/>
      <w:bookmarkEnd w:id="47"/>
    </w:p>
    <w:p w14:paraId="43E0244A" w14:textId="363264F0" w:rsidR="00215226" w:rsidRPr="00332959" w:rsidRDefault="00215226" w:rsidP="005B08E5">
      <w:r w:rsidRPr="00332959">
        <w:t xml:space="preserve">Assurance levels are used to describe the level of importance of getting </w:t>
      </w:r>
      <w:r w:rsidR="00897FA3">
        <w:t>e</w:t>
      </w:r>
      <w:r w:rsidR="00897FA3">
        <w:noBreakHyphen/>
      </w:r>
      <w:r w:rsidRPr="00332959">
        <w:t>authentication right and the resultant level of robustness of the required solution. An identity-focused risk assessment is undertaken at the initial design or redesign stage of an information system to determine the required LOA.</w:t>
      </w:r>
      <w:r>
        <w:t xml:space="preserve"> </w:t>
      </w:r>
      <w:r w:rsidRPr="00332959">
        <w:t xml:space="preserve">The degree of rigour required in the registration process and type of credential needed to deliver the required LOA are outputs of this assessment. For further information see [NeAF] at section </w:t>
      </w:r>
      <w:r w:rsidR="00496C05">
        <w:fldChar w:fldCharType="begin"/>
      </w:r>
      <w:r w:rsidR="00496C05">
        <w:instrText xml:space="preserve"> REF _Ref433901082 \r \h </w:instrText>
      </w:r>
      <w:r w:rsidR="00496C05">
        <w:fldChar w:fldCharType="separate"/>
      </w:r>
      <w:r w:rsidR="005E404C">
        <w:t>13</w:t>
      </w:r>
      <w:r w:rsidR="00496C05">
        <w:fldChar w:fldCharType="end"/>
      </w:r>
      <w:r w:rsidR="00496C05">
        <w:t xml:space="preserve"> </w:t>
      </w:r>
      <w:r w:rsidRPr="00332959">
        <w:t>of this document.</w:t>
      </w:r>
    </w:p>
    <w:p w14:paraId="08DD1270" w14:textId="77777777" w:rsidR="00215226" w:rsidRPr="00332959" w:rsidRDefault="00215226" w:rsidP="005B08E5">
      <w:r w:rsidRPr="00332959">
        <w:t>Each assurance level also describes the degree of confidence that a Relying Party has that a Subscriber has presented a claim to an online resource that represents their identity (for example, these claims may be contained within a credential such as a digital certificate).</w:t>
      </w:r>
    </w:p>
    <w:p w14:paraId="24190737" w14:textId="77777777" w:rsidR="00215226" w:rsidRPr="00332959" w:rsidRDefault="00215226" w:rsidP="005B08E5">
      <w:r w:rsidRPr="00332959">
        <w:t xml:space="preserve">To determine the appropriate LOA in the entity’s claimed or asserted identity, NeAF provides guidance for </w:t>
      </w:r>
      <w:r w:rsidR="00897FA3">
        <w:t>e</w:t>
      </w:r>
      <w:r w:rsidR="00897FA3">
        <w:noBreakHyphen/>
      </w:r>
      <w:r w:rsidRPr="00332959">
        <w:t>authentication stakeholders on assessing the potential risks and identifies measures to minimise their impact.</w:t>
      </w:r>
      <w:r>
        <w:t xml:space="preserve"> </w:t>
      </w:r>
      <w:r w:rsidRPr="00332959">
        <w:t xml:space="preserve">In this context, the strength, or assurance level of an </w:t>
      </w:r>
      <w:r w:rsidR="00897FA3">
        <w:t>e</w:t>
      </w:r>
      <w:r w:rsidR="00897FA3">
        <w:noBreakHyphen/>
      </w:r>
      <w:r w:rsidRPr="00332959">
        <w:t>authentication solution is dependent on:</w:t>
      </w:r>
    </w:p>
    <w:p w14:paraId="6F36891E" w14:textId="77777777" w:rsidR="00215226" w:rsidRPr="00332959" w:rsidRDefault="00215226" w:rsidP="005B08E5">
      <w:pPr>
        <w:pStyle w:val="NumberedList1"/>
      </w:pPr>
      <w:r w:rsidRPr="00332959">
        <w:t>The strength of the registration process;</w:t>
      </w:r>
    </w:p>
    <w:p w14:paraId="1A373053" w14:textId="77777777" w:rsidR="00215226" w:rsidRPr="00332959" w:rsidRDefault="00215226" w:rsidP="005B08E5">
      <w:pPr>
        <w:pStyle w:val="NumberedList1"/>
      </w:pPr>
      <w:r w:rsidRPr="00332959">
        <w:t>The strength of the underlying security characteristics of the credential, and</w:t>
      </w:r>
    </w:p>
    <w:p w14:paraId="52458D55" w14:textId="77777777" w:rsidR="00215226" w:rsidRPr="00332959" w:rsidRDefault="00215226" w:rsidP="005B08E5">
      <w:pPr>
        <w:pStyle w:val="NumberedList1"/>
      </w:pPr>
      <w:r w:rsidRPr="00332959">
        <w:t>The degree of confidence the relying party has that the entity using the credential is the same entity to whom the credential was issued.</w:t>
      </w:r>
    </w:p>
    <w:p w14:paraId="514BE406" w14:textId="77777777" w:rsidR="00215226" w:rsidRPr="00332959" w:rsidRDefault="00215226" w:rsidP="005B08E5">
      <w:r w:rsidRPr="00332959">
        <w:t>The five NeAF assurance levels are:</w:t>
      </w:r>
    </w:p>
    <w:p w14:paraId="67779477" w14:textId="77777777" w:rsidR="00215226" w:rsidRPr="00332959" w:rsidRDefault="00215226" w:rsidP="005B08E5">
      <w:pPr>
        <w:pStyle w:val="Bullet1"/>
      </w:pPr>
      <w:r w:rsidRPr="00332959">
        <w:t>Level 0: No confidence in the claimed or asserted identity.</w:t>
      </w:r>
    </w:p>
    <w:p w14:paraId="718794B6" w14:textId="77777777" w:rsidR="00215226" w:rsidRPr="00332959" w:rsidRDefault="00215226" w:rsidP="005B08E5">
      <w:pPr>
        <w:pStyle w:val="Bullet1"/>
      </w:pPr>
      <w:r w:rsidRPr="00332959">
        <w:t>Level 1: Little confidence in the claimed or asserted identity.</w:t>
      </w:r>
    </w:p>
    <w:p w14:paraId="7960F124" w14:textId="77777777" w:rsidR="00215226" w:rsidRPr="00332959" w:rsidRDefault="00215226" w:rsidP="005B08E5">
      <w:pPr>
        <w:pStyle w:val="Bullet1"/>
      </w:pPr>
      <w:r w:rsidRPr="00332959">
        <w:t>Level 2: Some confidence in the claimed or asserted identity.</w:t>
      </w:r>
    </w:p>
    <w:p w14:paraId="170FE8FE" w14:textId="77777777" w:rsidR="00215226" w:rsidRPr="00332959" w:rsidRDefault="00215226" w:rsidP="005B08E5">
      <w:pPr>
        <w:pStyle w:val="Bullet1"/>
      </w:pPr>
      <w:r w:rsidRPr="00332959">
        <w:t>Level 3: High confidence in the claimed or asserted identity.</w:t>
      </w:r>
    </w:p>
    <w:p w14:paraId="586A15F0" w14:textId="77777777" w:rsidR="00215226" w:rsidRPr="00332959" w:rsidRDefault="00215226" w:rsidP="005B08E5">
      <w:pPr>
        <w:pStyle w:val="Bullet1"/>
      </w:pPr>
      <w:r w:rsidRPr="00332959">
        <w:t>Level 4: Very high confidence in the claimed or asserted identity.</w:t>
      </w:r>
    </w:p>
    <w:p w14:paraId="78D884D5" w14:textId="191A44DF" w:rsidR="00215226" w:rsidRPr="00332959" w:rsidRDefault="00215226" w:rsidP="005B08E5">
      <w:r w:rsidRPr="00332959">
        <w:t>In the context of Gatekeeper LOA 0 and LOA 1 are merged to provide a 4 tier approach to</w:t>
      </w:r>
      <w:r>
        <w:br/>
      </w:r>
      <w:r w:rsidR="00897FA3">
        <w:t>e</w:t>
      </w:r>
      <w:r w:rsidR="00897FA3">
        <w:noBreakHyphen/>
      </w:r>
      <w:r w:rsidRPr="00332959">
        <w:t>authentication.</w:t>
      </w:r>
      <w:r>
        <w:t xml:space="preserve"> </w:t>
      </w:r>
      <w:r w:rsidRPr="00332959">
        <w:t xml:space="preserve">Further information on Gatekeeper LOAs is located in Section </w:t>
      </w:r>
      <w:r w:rsidR="00496C05">
        <w:fldChar w:fldCharType="begin"/>
      </w:r>
      <w:r w:rsidR="00496C05">
        <w:instrText xml:space="preserve"> REF _Ref433901108 \r \h </w:instrText>
      </w:r>
      <w:r w:rsidR="00496C05">
        <w:fldChar w:fldCharType="separate"/>
      </w:r>
      <w:r w:rsidR="005E404C">
        <w:t>5</w:t>
      </w:r>
      <w:r w:rsidR="00496C05">
        <w:fldChar w:fldCharType="end"/>
      </w:r>
      <w:r w:rsidRPr="00332959">
        <w:t>.</w:t>
      </w:r>
    </w:p>
    <w:p w14:paraId="256CC7C2" w14:textId="77777777" w:rsidR="00215226" w:rsidRDefault="00215226" w:rsidP="005B08E5"/>
    <w:p w14:paraId="59381200" w14:textId="77777777" w:rsidR="00215226" w:rsidRPr="00F00731" w:rsidRDefault="00215226" w:rsidP="005B08E5">
      <w:pPr>
        <w:pStyle w:val="Heading1Numbered"/>
      </w:pPr>
      <w:bookmarkStart w:id="48" w:name="_Toc430268904"/>
      <w:bookmarkEnd w:id="41"/>
      <w:r w:rsidRPr="00F00731">
        <w:lastRenderedPageBreak/>
        <w:t>Public Key Infrastructure</w:t>
      </w:r>
      <w:bookmarkEnd w:id="48"/>
    </w:p>
    <w:p w14:paraId="57177080" w14:textId="77777777" w:rsidR="00215226" w:rsidRPr="00F00731" w:rsidRDefault="00215226" w:rsidP="005B08E5">
      <w:pPr>
        <w:pStyle w:val="Heading2Numbered"/>
      </w:pPr>
      <w:bookmarkStart w:id="49" w:name="_Toc426636651"/>
      <w:bookmarkStart w:id="50" w:name="_Toc426639935"/>
      <w:bookmarkStart w:id="51" w:name="_Toc430268905"/>
      <w:bookmarkStart w:id="52" w:name="_Toc271532265"/>
      <w:r w:rsidRPr="00F00731">
        <w:t>Public Key Infrastructure</w:t>
      </w:r>
      <w:bookmarkEnd w:id="49"/>
      <w:bookmarkEnd w:id="50"/>
      <w:bookmarkEnd w:id="51"/>
    </w:p>
    <w:p w14:paraId="3943CAEC" w14:textId="77777777" w:rsidR="00215226" w:rsidRPr="00332959" w:rsidRDefault="00215226" w:rsidP="005B08E5">
      <w:r w:rsidRPr="00332959">
        <w:t>Public Key Infrastructure is the combination of policies, practices and technologies that enables users of an insecure online service, such as the Internet, to authenticate their identity and to securely and privately exchange information with a third party through the use of Public Key Cryptography.</w:t>
      </w:r>
    </w:p>
    <w:p w14:paraId="78CC9334" w14:textId="77777777" w:rsidR="00215226" w:rsidRDefault="00215226" w:rsidP="005B08E5">
      <w:r w:rsidRPr="00332959">
        <w:t>Public Key Cryptography or asymmetric cryptography is a class of cryptographic algorithms which require two separate keys</w:t>
      </w:r>
      <w:r w:rsidR="00897FA3">
        <w:t xml:space="preserve"> – </w:t>
      </w:r>
      <w:r w:rsidRPr="00332959">
        <w:t>one which is public and one which is private.</w:t>
      </w:r>
      <w:r>
        <w:t xml:space="preserve"> </w:t>
      </w:r>
      <w:r w:rsidRPr="00332959">
        <w:t>Although different, the keys are mathematically linked in a manner which enables actions performed by one key to be verified with the other.</w:t>
      </w:r>
      <w:r>
        <w:t xml:space="preserve"> </w:t>
      </w:r>
      <w:r w:rsidRPr="00332959">
        <w:t>For example, a public key can be used to encrypt information or to verify a digital signature, whereas a private key can be used to decrypt information or to create a digital signature.</w:t>
      </w:r>
    </w:p>
    <w:p w14:paraId="5B381911" w14:textId="77777777" w:rsidR="00215226" w:rsidRPr="00332959" w:rsidRDefault="00215226" w:rsidP="005B08E5">
      <w:r w:rsidRPr="00332959">
        <w:t>The central function of a PKI is the provision of digital keys and certificates that can authenticate the identity of an individual, organisation or NPE.</w:t>
      </w:r>
      <w:r>
        <w:t xml:space="preserve"> </w:t>
      </w:r>
      <w:r w:rsidRPr="00332959">
        <w:t>It also provides the management, distribution and revocation of those digital certificates.</w:t>
      </w:r>
    </w:p>
    <w:p w14:paraId="12267FAA" w14:textId="77777777" w:rsidR="00215226" w:rsidRPr="00F00731" w:rsidRDefault="00215226" w:rsidP="005B08E5">
      <w:pPr>
        <w:pStyle w:val="Heading2Numbered"/>
      </w:pPr>
      <w:bookmarkStart w:id="53" w:name="_Toc426636652"/>
      <w:bookmarkStart w:id="54" w:name="_Toc426639936"/>
      <w:bookmarkStart w:id="55" w:name="_Toc430268906"/>
      <w:r w:rsidRPr="00F00731">
        <w:t>Security Services provided by a PKI</w:t>
      </w:r>
      <w:bookmarkEnd w:id="53"/>
      <w:bookmarkEnd w:id="54"/>
      <w:bookmarkEnd w:id="55"/>
    </w:p>
    <w:p w14:paraId="69FC521B" w14:textId="77777777" w:rsidR="00215226" w:rsidRPr="00332959" w:rsidRDefault="00215226" w:rsidP="005B08E5">
      <w:r w:rsidRPr="00332959">
        <w:t>Depending on the operating model, the use of PKI may provide authentication, integrity, non-repudiation and confidentiality security services for online transactions, with assurance of:</w:t>
      </w:r>
    </w:p>
    <w:p w14:paraId="0FE6BC3D" w14:textId="77777777" w:rsidR="00215226" w:rsidRPr="00332959" w:rsidRDefault="00215226" w:rsidP="005B08E5">
      <w:pPr>
        <w:pStyle w:val="Bullet1"/>
      </w:pPr>
      <w:r w:rsidRPr="00332959">
        <w:t>Confidentiality of the information or information channel (where required),</w:t>
      </w:r>
    </w:p>
    <w:p w14:paraId="21D02F40" w14:textId="77777777" w:rsidR="00215226" w:rsidRPr="00332959" w:rsidRDefault="00215226" w:rsidP="005B08E5">
      <w:pPr>
        <w:pStyle w:val="Bullet1"/>
      </w:pPr>
      <w:r w:rsidRPr="00332959">
        <w:t>Validity of the information conveyed and received (data integrity),</w:t>
      </w:r>
    </w:p>
    <w:p w14:paraId="4AB181D7" w14:textId="77777777" w:rsidR="00215226" w:rsidRPr="00332959" w:rsidRDefault="00215226" w:rsidP="005B08E5">
      <w:pPr>
        <w:pStyle w:val="Bullet1"/>
      </w:pPr>
      <w:r w:rsidRPr="00332959">
        <w:t>Identity of the parties involved in the transactions (authentication),and</w:t>
      </w:r>
    </w:p>
    <w:p w14:paraId="16CEFBE9" w14:textId="77777777" w:rsidR="00215226" w:rsidRPr="00332959" w:rsidRDefault="00215226" w:rsidP="005B08E5">
      <w:pPr>
        <w:pStyle w:val="Bullet1"/>
      </w:pPr>
      <w:r w:rsidRPr="00332959">
        <w:t>Accountability of commitments or actions (non-repudiation).</w:t>
      </w:r>
    </w:p>
    <w:p w14:paraId="1DA2D537" w14:textId="77777777" w:rsidR="00215226" w:rsidRPr="00332959" w:rsidRDefault="00215226" w:rsidP="005B08E5">
      <w:r w:rsidRPr="00332959">
        <w:t>These features are provided with some or all of the following systems:</w:t>
      </w:r>
    </w:p>
    <w:p w14:paraId="0ADA61F8" w14:textId="77777777" w:rsidR="00215226" w:rsidRPr="00332959" w:rsidRDefault="00215226" w:rsidP="005B08E5">
      <w:pPr>
        <w:pStyle w:val="Bullet1"/>
      </w:pPr>
      <w:r w:rsidRPr="00332959">
        <w:t xml:space="preserve">A </w:t>
      </w:r>
      <w:r w:rsidRPr="00BD2B67">
        <w:rPr>
          <w:u w:val="single"/>
        </w:rPr>
        <w:t>digital certificate</w:t>
      </w:r>
      <w:r w:rsidRPr="00332959">
        <w:t xml:space="preserve"> (or public key certificate) is an electronic data structure signed by a CA which identifies the Subscriber and business entity (if appropriate) the Subscriber represents.</w:t>
      </w:r>
      <w:r>
        <w:t xml:space="preserve"> </w:t>
      </w:r>
      <w:r w:rsidRPr="00332959">
        <w:t>It binds the Subscriber to a key pair by specifying the public key of the key pair.</w:t>
      </w:r>
      <w:r>
        <w:t xml:space="preserve"> </w:t>
      </w:r>
      <w:r w:rsidRPr="00332959">
        <w:t>It also contains any other information required by the Certificate Profile for that digital certificate. The key pair can be generated in either software or hardware.</w:t>
      </w:r>
      <w:r>
        <w:t xml:space="preserve"> </w:t>
      </w:r>
      <w:r w:rsidRPr="00332959">
        <w:t>Softwar</w:t>
      </w:r>
      <w:r w:rsidR="00897FA3">
        <w:t>e</w:t>
      </w:r>
      <w:r w:rsidR="00897FA3">
        <w:noBreakHyphen/>
      </w:r>
      <w:r w:rsidRPr="00332959">
        <w:t>based digital certificates are typically stored on Subscriber’s computer hard drives or group drives whereas hardwar</w:t>
      </w:r>
      <w:r w:rsidR="00897FA3">
        <w:t>e</w:t>
      </w:r>
      <w:r w:rsidR="00897FA3">
        <w:noBreakHyphen/>
      </w:r>
      <w:r w:rsidRPr="00332959">
        <w:t>based digital certificates are typically stored in hardware form (e.g. USB and smartcards) which connect to Subscriber’s computers and networks.</w:t>
      </w:r>
    </w:p>
    <w:p w14:paraId="76ED2967" w14:textId="77777777" w:rsidR="00215226" w:rsidRPr="00332959" w:rsidRDefault="00215226" w:rsidP="005B08E5">
      <w:pPr>
        <w:pStyle w:val="Bullet1"/>
      </w:pPr>
      <w:r w:rsidRPr="00332959">
        <w:t xml:space="preserve">A </w:t>
      </w:r>
      <w:r w:rsidRPr="00BD2B67">
        <w:rPr>
          <w:u w:val="single"/>
        </w:rPr>
        <w:t>digital signature</w:t>
      </w:r>
      <w:r w:rsidRPr="00332959">
        <w:t xml:space="preserve"> is a cryptographic technique that applies a mathematical algorithm to a document based on a certificate holder’s private key.</w:t>
      </w:r>
      <w:r>
        <w:t xml:space="preserve"> </w:t>
      </w:r>
      <w:r w:rsidRPr="00332959">
        <w:t>This creates a unique seal which is inherently difficult</w:t>
      </w:r>
      <w:r w:rsidRPr="00332959">
        <w:rPr>
          <w:rStyle w:val="FootnoteReference"/>
        </w:rPr>
        <w:footnoteReference w:id="5"/>
      </w:r>
      <w:r w:rsidRPr="00332959">
        <w:t xml:space="preserve"> to forge and that can be checked by a Relying Party to confirm that the document or file has not been altered or interfered with.</w:t>
      </w:r>
    </w:p>
    <w:p w14:paraId="035A4B1C" w14:textId="77777777" w:rsidR="00215226" w:rsidRPr="00332959" w:rsidRDefault="00215226" w:rsidP="005B08E5">
      <w:pPr>
        <w:pStyle w:val="Bullet1"/>
      </w:pPr>
      <w:r w:rsidRPr="00332959">
        <w:t xml:space="preserve">A </w:t>
      </w:r>
      <w:r w:rsidRPr="00BD2B67">
        <w:rPr>
          <w:u w:val="single"/>
        </w:rPr>
        <w:t>digital signing certificate</w:t>
      </w:r>
      <w:r w:rsidRPr="00332959">
        <w:t xml:space="preserve"> is a combination of the above two systems.</w:t>
      </w:r>
    </w:p>
    <w:p w14:paraId="3A0019DC" w14:textId="77777777" w:rsidR="00215226" w:rsidRPr="00332959" w:rsidRDefault="00215226" w:rsidP="005B08E5">
      <w:pPr>
        <w:pStyle w:val="Bullet1"/>
      </w:pPr>
      <w:r w:rsidRPr="00332959">
        <w:t xml:space="preserve">An </w:t>
      </w:r>
      <w:r w:rsidRPr="00BD2B67">
        <w:rPr>
          <w:u w:val="single"/>
        </w:rPr>
        <w:t>encryption scheme</w:t>
      </w:r>
      <w:r w:rsidRPr="00332959">
        <w:t xml:space="preserve"> is a cryptographic technique that applies a mathematical algorithm to messages and information in such a way that only authorised parties can read it. Using an encryption scheme turns a message or information into an unreadable mix of characters known as ciphertext.</w:t>
      </w:r>
      <w:r>
        <w:t xml:space="preserve"> </w:t>
      </w:r>
      <w:r w:rsidRPr="00332959">
        <w:t>This is done with the use of an encryption key, which specifies how the message or information is to be encoded.</w:t>
      </w:r>
      <w:r>
        <w:t xml:space="preserve"> </w:t>
      </w:r>
      <w:r w:rsidRPr="00332959">
        <w:t>Unauthorised parties will be able to view the unreadable data but will be unable to determine anything about the message contents.</w:t>
      </w:r>
      <w:r>
        <w:t xml:space="preserve"> </w:t>
      </w:r>
      <w:r w:rsidRPr="00332959">
        <w:t xml:space="preserve">The intended recipient of the </w:t>
      </w:r>
      <w:r w:rsidRPr="00332959">
        <w:lastRenderedPageBreak/>
        <w:t>information is able to decode the ciphertext using a decryption algorithm and a secret or private decryption key, which only they have access to.</w:t>
      </w:r>
    </w:p>
    <w:p w14:paraId="30ECD89A" w14:textId="77777777" w:rsidR="00215226" w:rsidRPr="00332959" w:rsidRDefault="00215226" w:rsidP="005B08E5">
      <w:pPr>
        <w:pStyle w:val="Bullet1"/>
      </w:pPr>
      <w:r w:rsidRPr="00332959">
        <w:t xml:space="preserve">A </w:t>
      </w:r>
      <w:r w:rsidRPr="00BD2B67">
        <w:rPr>
          <w:u w:val="single"/>
        </w:rPr>
        <w:t>digital encryption certificate</w:t>
      </w:r>
      <w:r w:rsidRPr="00332959">
        <w:t xml:space="preserve"> is a combination of a digital certificate and an encryption scheme.</w:t>
      </w:r>
    </w:p>
    <w:p w14:paraId="093E50F5" w14:textId="77777777" w:rsidR="00215226" w:rsidRPr="00332959" w:rsidRDefault="00215226" w:rsidP="005B08E5">
      <w:pPr>
        <w:pStyle w:val="Bullet1"/>
      </w:pPr>
      <w:r w:rsidRPr="00BD2B67">
        <w:rPr>
          <w:u w:val="single"/>
        </w:rPr>
        <w:t>Service (or device) certificate authentication</w:t>
      </w:r>
      <w:r w:rsidRPr="00332959">
        <w:t xml:space="preserve"> is where only one party involved with an online service is required to manage the authenticated session. This means only one party needs a digital certificate but both parties must be able to execute PKI cryptography.</w:t>
      </w:r>
      <w:r>
        <w:t xml:space="preserve"> </w:t>
      </w:r>
      <w:r w:rsidRPr="00332959">
        <w:t>Most web servers and browsers have this functionality built in.</w:t>
      </w:r>
      <w:r>
        <w:t xml:space="preserve"> </w:t>
      </w:r>
      <w:r w:rsidRPr="00332959">
        <w:t>Service authentication is typically used where many remote parties need to connect securely to a web server. General uses of service authentication include Internet banking, logging into social media sites and accessing online government services.</w:t>
      </w:r>
    </w:p>
    <w:p w14:paraId="36B485A5" w14:textId="77777777" w:rsidR="00215226" w:rsidRPr="00332959" w:rsidRDefault="00215226" w:rsidP="005B08E5">
      <w:pPr>
        <w:pStyle w:val="Bullet1"/>
      </w:pPr>
      <w:r w:rsidRPr="00BD2B67">
        <w:rPr>
          <w:u w:val="single"/>
        </w:rPr>
        <w:t>Client certificate authentication</w:t>
      </w:r>
      <w:r w:rsidRPr="00332959">
        <w:t xml:space="preserve"> is necessary when transacting parties require mutual authentication.</w:t>
      </w:r>
      <w:r>
        <w:t xml:space="preserve"> </w:t>
      </w:r>
      <w:r w:rsidRPr="00332959">
        <w:t>This typically occurs when higher levels of confidence are required in the identity of the transacting parties and requires both parties to verify their identity with a digital certificate.</w:t>
      </w:r>
      <w:r>
        <w:t xml:space="preserve"> </w:t>
      </w:r>
      <w:r w:rsidRPr="00332959">
        <w:t>Client authentication is generally used when accessing or transacting highly sensitive information (e.g. corporate banking data, medical records or information relating to national security).</w:t>
      </w:r>
    </w:p>
    <w:p w14:paraId="4677DF16" w14:textId="77777777" w:rsidR="00215226" w:rsidRPr="00F00731" w:rsidRDefault="00215226" w:rsidP="005B08E5">
      <w:pPr>
        <w:pStyle w:val="Heading2Numbered"/>
      </w:pPr>
      <w:bookmarkStart w:id="56" w:name="_Toc426636653"/>
      <w:bookmarkStart w:id="57" w:name="_Toc426639937"/>
      <w:bookmarkStart w:id="58" w:name="_Toc430268907"/>
      <w:r w:rsidRPr="00F00731">
        <w:t>Elements of Public Key Infrastructure</w:t>
      </w:r>
      <w:bookmarkEnd w:id="56"/>
      <w:bookmarkEnd w:id="57"/>
      <w:bookmarkEnd w:id="58"/>
    </w:p>
    <w:p w14:paraId="7FB62827" w14:textId="77777777" w:rsidR="00215226" w:rsidRPr="00332959" w:rsidRDefault="00215226" w:rsidP="005B08E5">
      <w:r w:rsidRPr="00332959">
        <w:t>A PKI may consist of the following components including:</w:t>
      </w:r>
    </w:p>
    <w:p w14:paraId="0A2F6638" w14:textId="77777777" w:rsidR="00215226" w:rsidRPr="00332959" w:rsidRDefault="00215226" w:rsidP="005B08E5">
      <w:pPr>
        <w:pStyle w:val="Bullet1"/>
      </w:pPr>
      <w:r w:rsidRPr="00BD2B67">
        <w:rPr>
          <w:u w:val="single"/>
        </w:rPr>
        <w:t>Registration Authority</w:t>
      </w:r>
      <w:r w:rsidRPr="00332959">
        <w:t xml:space="preserve"> undertakes functions such as identity proofing and processes requests for new digital certificates, requests for renewal of digital certificates and requests for revocation of digital certificates.</w:t>
      </w:r>
    </w:p>
    <w:p w14:paraId="5771242C" w14:textId="77777777" w:rsidR="00215226" w:rsidRDefault="00215226" w:rsidP="005B08E5">
      <w:pPr>
        <w:pStyle w:val="Bullet1"/>
      </w:pPr>
      <w:r w:rsidRPr="00BD2B67">
        <w:rPr>
          <w:u w:val="single"/>
        </w:rPr>
        <w:t>Certification Authority</w:t>
      </w:r>
      <w:r w:rsidRPr="00332959">
        <w:t xml:space="preserve"> creates and issues digital certificates and Certificate Revocation Lists (CRLs).</w:t>
      </w:r>
      <w:r>
        <w:t xml:space="preserve"> </w:t>
      </w:r>
      <w:r w:rsidRPr="00332959">
        <w:t>Digital certificates issued by the CA are digitally signed which binds the subject name (i.e.</w:t>
      </w:r>
      <w:r w:rsidR="00897FA3">
        <w:t> </w:t>
      </w:r>
      <w:r w:rsidRPr="00332959">
        <w:t>Subscriber identity) to the public key.</w:t>
      </w:r>
    </w:p>
    <w:p w14:paraId="2A857DCF" w14:textId="77777777" w:rsidR="00215226" w:rsidRPr="00332959" w:rsidRDefault="00215226" w:rsidP="005B08E5">
      <w:pPr>
        <w:pStyle w:val="Bullet1"/>
      </w:pPr>
      <w:r w:rsidRPr="00BD2B67">
        <w:rPr>
          <w:u w:val="single"/>
        </w:rPr>
        <w:t>Repository</w:t>
      </w:r>
      <w:r w:rsidRPr="00332959">
        <w:t xml:space="preserve"> is a generic term used to describe any capability which may store or make available certificates, CRLs or Online Certificate Status Protocol (OCSP) services to Subscribers.</w:t>
      </w:r>
      <w:r>
        <w:t xml:space="preserve"> </w:t>
      </w:r>
      <w:r w:rsidRPr="00332959">
        <w:t>CRLs and OCSP services are maintained by CAs or VAs which contain the validity and currency status of certificates.</w:t>
      </w:r>
    </w:p>
    <w:p w14:paraId="5E382F29" w14:textId="77777777" w:rsidR="00215226" w:rsidRDefault="00215226" w:rsidP="005B08E5">
      <w:pPr>
        <w:pStyle w:val="Bullet1"/>
      </w:pPr>
      <w:r w:rsidRPr="00BD2B67">
        <w:rPr>
          <w:u w:val="single"/>
        </w:rPr>
        <w:t>Validation Authority</w:t>
      </w:r>
      <w:r w:rsidRPr="00332959">
        <w:t xml:space="preserve"> is a PKI management entity which can be used to check the validity and currency of digital certificates. A VA is typically used when certificate generation and certificate status services are managed by separate Service Providers.</w:t>
      </w:r>
      <w:r>
        <w:t xml:space="preserve"> </w:t>
      </w:r>
      <w:r w:rsidRPr="00332959">
        <w:t xml:space="preserve">For example, the Australian Taxation Office issues </w:t>
      </w:r>
      <w:r w:rsidRPr="00D825A0">
        <w:rPr>
          <w:rStyle w:val="Emphasis"/>
        </w:rPr>
        <w:t xml:space="preserve">AUSKey </w:t>
      </w:r>
      <w:r w:rsidRPr="00332959">
        <w:t xml:space="preserve">digital certificates to Subscribers and the Department of Industry </w:t>
      </w:r>
      <w:r w:rsidRPr="00D825A0">
        <w:rPr>
          <w:rStyle w:val="Emphasis"/>
        </w:rPr>
        <w:t>VANGuard</w:t>
      </w:r>
      <w:r w:rsidRPr="00332959">
        <w:t xml:space="preserve"> trust broker provides the service to validate the status of </w:t>
      </w:r>
      <w:r w:rsidRPr="00D825A0">
        <w:rPr>
          <w:rStyle w:val="Emphasis"/>
        </w:rPr>
        <w:t>AUSKey</w:t>
      </w:r>
      <w:r w:rsidRPr="00332959">
        <w:t xml:space="preserve"> digital certificates.</w:t>
      </w:r>
    </w:p>
    <w:p w14:paraId="2C76243E" w14:textId="77777777" w:rsidR="00215226" w:rsidRPr="00332959" w:rsidRDefault="00215226" w:rsidP="005B08E5">
      <w:pPr>
        <w:pStyle w:val="Bullet1"/>
      </w:pPr>
      <w:r w:rsidRPr="00BD2B67">
        <w:rPr>
          <w:u w:val="single"/>
        </w:rPr>
        <w:t>Subscriber</w:t>
      </w:r>
      <w:r w:rsidRPr="00332959">
        <w:t xml:space="preserve"> also referred to as an End-Entity, Certificate Holder, or Key Holder that is issued a key pair and certificate which, depending on the rules outlined in its associated Certification Practice Statement (CPS) and Certificate Policy (CP), can be used to authenticate to online resources or digitally sign or encrypt electronic documents.</w:t>
      </w:r>
      <w:r>
        <w:t xml:space="preserve"> </w:t>
      </w:r>
      <w:r w:rsidRPr="00332959">
        <w:t>Subscribers are responsible for protecting the private key and not disclosing it to others. Subscribers can be individuals, organisations or NPEs.</w:t>
      </w:r>
    </w:p>
    <w:p w14:paraId="4B592B06" w14:textId="77777777" w:rsidR="00215226" w:rsidRPr="00332959" w:rsidRDefault="00215226" w:rsidP="005B08E5">
      <w:pPr>
        <w:pStyle w:val="Bullet1"/>
      </w:pPr>
      <w:r w:rsidRPr="00BD2B67">
        <w:rPr>
          <w:u w:val="single"/>
        </w:rPr>
        <w:t>Relying Party</w:t>
      </w:r>
      <w:r w:rsidRPr="00332959">
        <w:t xml:space="preserve"> receives, verifies and accepts digital certificates.</w:t>
      </w:r>
    </w:p>
    <w:p w14:paraId="36D4707A" w14:textId="77777777" w:rsidR="00215226" w:rsidRDefault="00215226" w:rsidP="005B08E5">
      <w:pPr>
        <w:pStyle w:val="Bullet1"/>
      </w:pPr>
      <w:r w:rsidRPr="00BD2B67">
        <w:rPr>
          <w:u w:val="single"/>
        </w:rPr>
        <w:t>Certificate Policy</w:t>
      </w:r>
      <w:r w:rsidRPr="00332959">
        <w:t xml:space="preserve"> consists of a set of rules that indicate the applicability of the certificate to a particular community and/or class of applications with common security requirements.</w:t>
      </w:r>
    </w:p>
    <w:p w14:paraId="0EEBD65C" w14:textId="77777777" w:rsidR="00215226" w:rsidRPr="00332959" w:rsidRDefault="00215226" w:rsidP="005B08E5">
      <w:pPr>
        <w:pStyle w:val="Bullet1"/>
      </w:pPr>
      <w:r w:rsidRPr="00BD2B67">
        <w:rPr>
          <w:u w:val="single"/>
        </w:rPr>
        <w:t>Certification Practices Statement (CPS)</w:t>
      </w:r>
      <w:r w:rsidRPr="00332959">
        <w:t xml:space="preserve"> describes the rules and operating practices which the CA will follow when providing digital certificate services. It may include a description of service offerings, detailed procedures for certificate lif</w:t>
      </w:r>
      <w:r w:rsidR="00897FA3">
        <w:t>e</w:t>
      </w:r>
      <w:r w:rsidR="00897FA3">
        <w:noBreakHyphen/>
      </w:r>
      <w:r w:rsidRPr="00332959">
        <w:t>cycle management, operational information, legal obligations and financial liabilities.</w:t>
      </w:r>
    </w:p>
    <w:p w14:paraId="088B3954" w14:textId="77777777" w:rsidR="00215226" w:rsidRPr="00332959" w:rsidRDefault="00215226" w:rsidP="005B08E5">
      <w:pPr>
        <w:pStyle w:val="Bullet1"/>
      </w:pPr>
      <w:r w:rsidRPr="00BD2B67">
        <w:rPr>
          <w:u w:val="single"/>
        </w:rPr>
        <w:t>Subscriber (and Relying Party) Agreement</w:t>
      </w:r>
      <w:r w:rsidRPr="00E64190">
        <w:t xml:space="preserve"> is a document</w:t>
      </w:r>
      <w:r w:rsidRPr="00332959">
        <w:t xml:space="preserve"> that explains the rights and obligations of a Subscriber (and Relying Party) in accepting, using and protecting a digital certificate and key pair. The person responsible for the certificate and key pair issued to devices or</w:t>
      </w:r>
      <w:r w:rsidR="00897FA3">
        <w:t> </w:t>
      </w:r>
      <w:r w:rsidRPr="00332959">
        <w:t>NPEs will typically sign the Subscriber Agreement.</w:t>
      </w:r>
    </w:p>
    <w:p w14:paraId="6022FDF1" w14:textId="1340E08F" w:rsidR="00215226" w:rsidRDefault="00215226" w:rsidP="005B08E5">
      <w:r w:rsidRPr="00332959">
        <w:lastRenderedPageBreak/>
        <w:t>The following diagram (</w:t>
      </w:r>
      <w:r w:rsidR="000A710E">
        <w:fldChar w:fldCharType="begin"/>
      </w:r>
      <w:r w:rsidR="000A710E">
        <w:instrText xml:space="preserve"> REF _Ref430784885 \h </w:instrText>
      </w:r>
      <w:r w:rsidR="000A710E">
        <w:fldChar w:fldCharType="separate"/>
      </w:r>
      <w:r w:rsidR="005E404C">
        <w:t xml:space="preserve">Figure </w:t>
      </w:r>
      <w:r w:rsidR="005E404C">
        <w:rPr>
          <w:noProof/>
        </w:rPr>
        <w:t>2</w:t>
      </w:r>
      <w:r w:rsidR="000A710E">
        <w:fldChar w:fldCharType="end"/>
      </w:r>
      <w:r w:rsidRPr="00332959">
        <w:t>) shows the relationships between these components.</w:t>
      </w:r>
      <w:r>
        <w:t xml:space="preserve"> </w:t>
      </w:r>
      <w:r w:rsidRPr="00332959">
        <w:t>The arrows indicate the flow of digital certificates and certificate status information.</w:t>
      </w:r>
    </w:p>
    <w:p w14:paraId="3974E9C2" w14:textId="64FD5E25" w:rsidR="00215226" w:rsidRDefault="005B08E5" w:rsidP="005B08E5">
      <w:pPr>
        <w:pStyle w:val="Caption"/>
      </w:pPr>
      <w:bookmarkStart w:id="59" w:name="_Ref430784885"/>
      <w:bookmarkStart w:id="60" w:name="_Toc430268967"/>
      <w:r>
        <w:t xml:space="preserve">Figure </w:t>
      </w:r>
      <w:fldSimple w:instr=" SEQ Figure \* ARABIC ">
        <w:r w:rsidR="005E404C">
          <w:rPr>
            <w:noProof/>
          </w:rPr>
          <w:t>2</w:t>
        </w:r>
      </w:fldSimple>
      <w:bookmarkEnd w:id="59"/>
      <w:r>
        <w:t xml:space="preserve"> </w:t>
      </w:r>
      <w:r w:rsidRPr="00E64190">
        <w:t>Elements of a PKI</w:t>
      </w:r>
      <w:bookmarkEnd w:id="60"/>
    </w:p>
    <w:p w14:paraId="55387DD5" w14:textId="77777777" w:rsidR="000A710E" w:rsidRDefault="000A710E" w:rsidP="000A710E">
      <w:r>
        <w:rPr>
          <w:noProof/>
          <w:lang w:eastAsia="en-AU"/>
        </w:rPr>
        <w:drawing>
          <wp:inline distT="0" distB="0" distL="0" distR="0" wp14:anchorId="4E6C8F4F" wp14:editId="38917D11">
            <wp:extent cx="5617015" cy="3429000"/>
            <wp:effectExtent l="0" t="0" r="3175" b="0"/>
            <wp:docPr id="5" name="Picture 4"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keeper Misc .jpg"/>
                    <pic:cNvPicPr/>
                  </pic:nvPicPr>
                  <pic:blipFill>
                    <a:blip r:embed="rId20"/>
                    <a:stretch>
                      <a:fillRect/>
                    </a:stretch>
                  </pic:blipFill>
                  <pic:spPr>
                    <a:xfrm>
                      <a:off x="0" y="0"/>
                      <a:ext cx="5629455" cy="3436594"/>
                    </a:xfrm>
                    <a:prstGeom prst="rect">
                      <a:avLst/>
                    </a:prstGeom>
                  </pic:spPr>
                </pic:pic>
              </a:graphicData>
            </a:graphic>
          </wp:inline>
        </w:drawing>
      </w:r>
    </w:p>
    <w:p w14:paraId="734043B8" w14:textId="77777777" w:rsidR="000A710E" w:rsidRPr="000A710E" w:rsidRDefault="000A710E" w:rsidP="000A710E"/>
    <w:p w14:paraId="0372E6E7" w14:textId="77777777" w:rsidR="00215226" w:rsidRPr="00F00731" w:rsidRDefault="00215226" w:rsidP="005B08E5">
      <w:pPr>
        <w:pStyle w:val="Heading1Numbered"/>
      </w:pPr>
      <w:bookmarkStart w:id="61" w:name="_Toc430268908"/>
      <w:bookmarkStart w:id="62" w:name="_Ref430784858"/>
      <w:bookmarkStart w:id="63" w:name="_Ref433901108"/>
      <w:bookmarkStart w:id="64" w:name="_Ref433901110"/>
      <w:bookmarkEnd w:id="52"/>
      <w:r w:rsidRPr="00F00731">
        <w:lastRenderedPageBreak/>
        <w:t>Gatekeeper PKI Framework</w:t>
      </w:r>
      <w:bookmarkEnd w:id="61"/>
      <w:bookmarkEnd w:id="62"/>
      <w:bookmarkEnd w:id="63"/>
      <w:bookmarkEnd w:id="64"/>
    </w:p>
    <w:p w14:paraId="6A10E589" w14:textId="77777777" w:rsidR="00215226" w:rsidRPr="00F00731" w:rsidRDefault="00215226" w:rsidP="005B08E5">
      <w:pPr>
        <w:pStyle w:val="Heading2Numbered"/>
      </w:pPr>
      <w:bookmarkStart w:id="65" w:name="_Toc426636654"/>
      <w:bookmarkStart w:id="66" w:name="_Toc426639938"/>
      <w:bookmarkStart w:id="67" w:name="_Toc430268909"/>
      <w:r w:rsidRPr="00F00731">
        <w:t>Purpose</w:t>
      </w:r>
      <w:bookmarkEnd w:id="65"/>
      <w:bookmarkEnd w:id="66"/>
      <w:bookmarkEnd w:id="67"/>
    </w:p>
    <w:p w14:paraId="2542ACC3" w14:textId="77777777" w:rsidR="00215226" w:rsidRDefault="00215226" w:rsidP="005B08E5">
      <w:r w:rsidRPr="00332959">
        <w:t>The Gatekeeper PKI Framework is a whol</w:t>
      </w:r>
      <w:r w:rsidR="00897FA3">
        <w:t>e</w:t>
      </w:r>
      <w:r w:rsidR="00897FA3">
        <w:noBreakHyphen/>
      </w:r>
      <w:r w:rsidRPr="00332959">
        <w:t>of-government suite of policies, standards and procedures that governs the use of PKI in Government for the authentication of individuals, organisations and NPEs – such as devices, applications or computing components.</w:t>
      </w:r>
    </w:p>
    <w:p w14:paraId="09EA6F36" w14:textId="77777777" w:rsidR="00215226" w:rsidRDefault="00215226" w:rsidP="005B08E5">
      <w:r w:rsidRPr="00332959">
        <w:t>Gatekeeper Accreditation supports PKI hierarchies that:</w:t>
      </w:r>
    </w:p>
    <w:p w14:paraId="01B93134" w14:textId="77777777" w:rsidR="00215226" w:rsidRDefault="00215226" w:rsidP="005B08E5">
      <w:pPr>
        <w:pStyle w:val="Bullet1"/>
      </w:pPr>
      <w:r w:rsidRPr="00332959">
        <w:t>issue digital keys and certificates to Subscribers interacting in open environments (e.g.</w:t>
      </w:r>
      <w:r w:rsidR="00897FA3">
        <w:t> </w:t>
      </w:r>
      <w:r w:rsidRPr="00332959">
        <w:t>the</w:t>
      </w:r>
      <w:r w:rsidR="00897FA3">
        <w:t> </w:t>
      </w:r>
      <w:r w:rsidRPr="00332959">
        <w:t>Internet),</w:t>
      </w:r>
    </w:p>
    <w:p w14:paraId="38A14F6A" w14:textId="77777777" w:rsidR="00215226" w:rsidRDefault="00215226" w:rsidP="005B08E5">
      <w:pPr>
        <w:pStyle w:val="Bullet1"/>
      </w:pPr>
      <w:r w:rsidRPr="00332959">
        <w:t>issue digital keys and certificates to Subscribers participating in closed environments (e.g.</w:t>
      </w:r>
      <w:r w:rsidR="00897FA3">
        <w:t> </w:t>
      </w:r>
      <w:r w:rsidRPr="00332959">
        <w:t>communities of interest), or</w:t>
      </w:r>
    </w:p>
    <w:p w14:paraId="1F705FD7" w14:textId="77777777" w:rsidR="00215226" w:rsidRPr="00332959" w:rsidRDefault="00215226" w:rsidP="005B08E5">
      <w:pPr>
        <w:pStyle w:val="Bullet1"/>
      </w:pPr>
      <w:r w:rsidRPr="00332959">
        <w:t>issue digital keys and certificates to Subscribers that interact in both open and closed environments (e.g. hybrid communities).</w:t>
      </w:r>
    </w:p>
    <w:p w14:paraId="35198CC7" w14:textId="77777777" w:rsidR="00215226" w:rsidRDefault="00215226" w:rsidP="005B08E5">
      <w:r w:rsidRPr="00332959">
        <w:t>Digital keys and certificates issued by Gatekeeper accredited Service Providers are suitable for use with the following types of transaction:</w:t>
      </w:r>
    </w:p>
    <w:p w14:paraId="303A87AF" w14:textId="77777777" w:rsidR="00215226" w:rsidRDefault="00215226" w:rsidP="005B08E5">
      <w:pPr>
        <w:pStyle w:val="Bullet1"/>
      </w:pPr>
      <w:r w:rsidRPr="00332959">
        <w:t>business-to-individual (B2I),</w:t>
      </w:r>
    </w:p>
    <w:p w14:paraId="507412CC" w14:textId="77777777" w:rsidR="00215226" w:rsidRDefault="00215226" w:rsidP="005B08E5">
      <w:pPr>
        <w:pStyle w:val="Bullet1"/>
      </w:pPr>
      <w:r w:rsidRPr="00332959">
        <w:t>business-to-business (B2B),</w:t>
      </w:r>
    </w:p>
    <w:p w14:paraId="10020E3A" w14:textId="77777777" w:rsidR="00215226" w:rsidRDefault="00215226" w:rsidP="005B08E5">
      <w:pPr>
        <w:pStyle w:val="Bullet1"/>
      </w:pPr>
      <w:r w:rsidRPr="00332959">
        <w:t>business-to-government (B2G),</w:t>
      </w:r>
    </w:p>
    <w:p w14:paraId="39E8930C" w14:textId="77777777" w:rsidR="00215226" w:rsidRDefault="00215226" w:rsidP="005B08E5">
      <w:pPr>
        <w:pStyle w:val="Bullet1"/>
      </w:pPr>
      <w:r w:rsidRPr="00332959">
        <w:t>government-to-government (G2G),</w:t>
      </w:r>
    </w:p>
    <w:p w14:paraId="2A5E143E" w14:textId="77777777" w:rsidR="00215226" w:rsidRDefault="00215226" w:rsidP="005B08E5">
      <w:pPr>
        <w:pStyle w:val="Bullet1"/>
      </w:pPr>
      <w:r w:rsidRPr="00332959">
        <w:t>individual-to-government (I2G) and</w:t>
      </w:r>
    </w:p>
    <w:p w14:paraId="763B630A" w14:textId="77777777" w:rsidR="00215226" w:rsidRPr="00332959" w:rsidRDefault="00215226" w:rsidP="005B08E5">
      <w:pPr>
        <w:pStyle w:val="Bullet1"/>
      </w:pPr>
      <w:r w:rsidRPr="00332959">
        <w:t>Individual-to-individual (I2I).</w:t>
      </w:r>
    </w:p>
    <w:p w14:paraId="5F5372A3" w14:textId="77777777" w:rsidR="00443278" w:rsidRDefault="00215226" w:rsidP="005B08E5">
      <w:r w:rsidRPr="00332959">
        <w:t>Registration Authorities, Certification Authorities and Validation Authorities are the Service Providers accredited under the Gatekeeper PKI Framework.</w:t>
      </w:r>
    </w:p>
    <w:p w14:paraId="1F61C8BC" w14:textId="77777777" w:rsidR="00443278" w:rsidRDefault="00443278" w:rsidP="00D825A0">
      <w:r>
        <w:br w:type="page"/>
      </w:r>
    </w:p>
    <w:p w14:paraId="055E8EE5" w14:textId="77777777" w:rsidR="00215226" w:rsidRPr="00F00731" w:rsidRDefault="00215226" w:rsidP="005B08E5">
      <w:pPr>
        <w:pStyle w:val="Heading2Numbered"/>
      </w:pPr>
      <w:bookmarkStart w:id="68" w:name="_Toc426636655"/>
      <w:bookmarkStart w:id="69" w:name="_Toc426639939"/>
      <w:bookmarkStart w:id="70" w:name="_Toc430268910"/>
      <w:r w:rsidRPr="00F00731">
        <w:lastRenderedPageBreak/>
        <w:t>Framework Structure</w:t>
      </w:r>
      <w:bookmarkEnd w:id="68"/>
      <w:bookmarkEnd w:id="69"/>
      <w:bookmarkEnd w:id="70"/>
    </w:p>
    <w:p w14:paraId="179C9C52" w14:textId="6B108AD5" w:rsidR="00215226" w:rsidRDefault="00215226" w:rsidP="005B08E5">
      <w:r w:rsidRPr="00DB230F">
        <w:t xml:space="preserve">The Framework is built around five core documents as shown in </w:t>
      </w:r>
      <w:r w:rsidR="000A710E">
        <w:fldChar w:fldCharType="begin"/>
      </w:r>
      <w:r w:rsidR="000A710E">
        <w:instrText xml:space="preserve"> REF _Ref430784922 \h </w:instrText>
      </w:r>
      <w:r w:rsidR="000A710E">
        <w:fldChar w:fldCharType="separate"/>
      </w:r>
      <w:r w:rsidR="005E404C">
        <w:t xml:space="preserve">Figure </w:t>
      </w:r>
      <w:r w:rsidR="005E404C">
        <w:rPr>
          <w:noProof/>
        </w:rPr>
        <w:t>3</w:t>
      </w:r>
      <w:r w:rsidR="000A710E">
        <w:fldChar w:fldCharType="end"/>
      </w:r>
      <w:r w:rsidRPr="00DB230F">
        <w:t xml:space="preserve"> below.</w:t>
      </w:r>
    </w:p>
    <w:p w14:paraId="6E25A0F2" w14:textId="164D3B16" w:rsidR="00215226" w:rsidRDefault="00443278" w:rsidP="00443278">
      <w:pPr>
        <w:pStyle w:val="Caption"/>
      </w:pPr>
      <w:bookmarkStart w:id="71" w:name="_Ref430784922"/>
      <w:bookmarkStart w:id="72" w:name="_Toc430268968"/>
      <w:r>
        <w:t xml:space="preserve">Figure </w:t>
      </w:r>
      <w:fldSimple w:instr=" SEQ Figure \* ARABIC ">
        <w:r w:rsidR="005E404C">
          <w:rPr>
            <w:noProof/>
          </w:rPr>
          <w:t>3</w:t>
        </w:r>
      </w:fldSimple>
      <w:bookmarkEnd w:id="71"/>
      <w:r>
        <w:t xml:space="preserve"> </w:t>
      </w:r>
      <w:r w:rsidRPr="00E64190">
        <w:t>Framework Structure</w:t>
      </w:r>
      <w:bookmarkEnd w:id="72"/>
    </w:p>
    <w:p w14:paraId="349C55BB" w14:textId="77777777" w:rsidR="000A710E" w:rsidRDefault="00A91FF5" w:rsidP="000A710E">
      <w:pPr>
        <w:keepNext/>
        <w:jc w:val="center"/>
      </w:pPr>
      <w:r w:rsidRPr="00DB230F">
        <w:object w:dxaOrig="8559" w:dyaOrig="6575" w14:anchorId="0AA92D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igure 3: Framework Structure is explained in Section 5.2 and provides an overview of the Gatekeeper PKI Framework, the IRAP Gatekeeper PKI Framework Guide, The Gatekeeper Head Agreement/Memorandum of Agreement, the Gatekeeper Compliance Audit Program and the Identity and Access Management Glossary." style="width:307pt;height:235pt" o:ole="">
            <v:imagedata r:id="rId21" o:title=""/>
          </v:shape>
          <o:OLEObject Type="Embed" ProgID="Visio.Drawing.11" ShapeID="_x0000_i1025" DrawAspect="Content" ObjectID="_1510492127" r:id="rId22"/>
        </w:object>
      </w:r>
    </w:p>
    <w:p w14:paraId="6C91BD79" w14:textId="77777777" w:rsidR="000A710E" w:rsidRPr="000A710E" w:rsidRDefault="000A710E" w:rsidP="000A710E"/>
    <w:p w14:paraId="2E1EC34B" w14:textId="77777777" w:rsidR="00215226" w:rsidRPr="00332959" w:rsidRDefault="00215226" w:rsidP="00443278">
      <w:pPr>
        <w:pStyle w:val="Bullet1"/>
      </w:pPr>
      <w:r w:rsidRPr="00332959">
        <w:t xml:space="preserve">The </w:t>
      </w:r>
      <w:r w:rsidRPr="00D825A0">
        <w:rPr>
          <w:rStyle w:val="Emphasis"/>
        </w:rPr>
        <w:t xml:space="preserve">Gatekeeper PKI Framework </w:t>
      </w:r>
      <w:r w:rsidRPr="00332959">
        <w:t>(this document) defines the minimum requirements for Service Providers to obtain and maintain Gatekeeper accreditation.</w:t>
      </w:r>
    </w:p>
    <w:p w14:paraId="6D36E34B" w14:textId="77777777" w:rsidR="00215226" w:rsidRDefault="00215226" w:rsidP="00443278">
      <w:pPr>
        <w:pStyle w:val="Bullet1"/>
      </w:pPr>
      <w:r w:rsidRPr="00332959">
        <w:t xml:space="preserve">The </w:t>
      </w:r>
      <w:r w:rsidRPr="00D825A0">
        <w:rPr>
          <w:rStyle w:val="Emphasis"/>
        </w:rPr>
        <w:t>Gatekeeper PKI Framework</w:t>
      </w:r>
      <w:r w:rsidRPr="00332959">
        <w:t xml:space="preserve"> </w:t>
      </w:r>
      <w:r w:rsidRPr="00D825A0">
        <w:rPr>
          <w:rStyle w:val="Emphasis"/>
        </w:rPr>
        <w:t>IRAP Guide</w:t>
      </w:r>
      <w:r w:rsidRPr="00332959">
        <w:t xml:space="preserve"> provides </w:t>
      </w:r>
      <w:r w:rsidRPr="00332959">
        <w:rPr>
          <w:rFonts w:cs="Microsoft Sans Serif"/>
          <w:bCs/>
        </w:rPr>
        <w:t>Information Security Registered Assessors Program (</w:t>
      </w:r>
      <w:r w:rsidRPr="00332959">
        <w:t>IRAP) Assessors with a guide to assess the implementation of security controls and practices by Service Providers.</w:t>
      </w:r>
    </w:p>
    <w:p w14:paraId="6DBAA649" w14:textId="722EB438" w:rsidR="00215226" w:rsidRPr="00332959" w:rsidRDefault="00215226" w:rsidP="00443278">
      <w:pPr>
        <w:pStyle w:val="Bullet1"/>
      </w:pPr>
      <w:r w:rsidRPr="00332959">
        <w:t xml:space="preserve">The </w:t>
      </w:r>
      <w:r w:rsidRPr="00D825A0">
        <w:rPr>
          <w:rStyle w:val="Emphasis"/>
        </w:rPr>
        <w:t>Gatekeeper Head Agreement/Memorandum of Agreement</w:t>
      </w:r>
      <w:r w:rsidRPr="00332959">
        <w:t xml:space="preserve"> is the formal agreement between the </w:t>
      </w:r>
      <w:r w:rsidR="009B5866">
        <w:t xml:space="preserve">Digital Transformation Office (DTO) </w:t>
      </w:r>
      <w:r w:rsidRPr="00332959">
        <w:t>(on behalf of the Commonwealth) and the Service Provider. This agreement establishes the conditions under which the Service Provider is accredited and outlines what is required in order for the Service Provider to maintain its Gatekeeper Accreditation.</w:t>
      </w:r>
    </w:p>
    <w:p w14:paraId="2C8A2A0B" w14:textId="77777777" w:rsidR="00215226" w:rsidRPr="00332959" w:rsidRDefault="00215226" w:rsidP="00443278">
      <w:pPr>
        <w:pStyle w:val="Bullet1"/>
      </w:pPr>
      <w:r w:rsidRPr="00332959">
        <w:t xml:space="preserve">The </w:t>
      </w:r>
      <w:r w:rsidRPr="00D825A0">
        <w:rPr>
          <w:rStyle w:val="Emphasis"/>
        </w:rPr>
        <w:t>Gatekeeper PKI Framework Compliance Audit Program</w:t>
      </w:r>
      <w:r w:rsidRPr="00332959">
        <w:t xml:space="preserve"> provides guidance to auditors and Service Providers on the scope and conduct of the compliance assessment required under the Framework.</w:t>
      </w:r>
    </w:p>
    <w:p w14:paraId="4B7BB4A6" w14:textId="77777777" w:rsidR="000A710E" w:rsidRDefault="00215226" w:rsidP="00443278">
      <w:pPr>
        <w:pStyle w:val="Bullet1"/>
      </w:pPr>
      <w:r w:rsidRPr="00332959">
        <w:t>The</w:t>
      </w:r>
      <w:r w:rsidRPr="00D825A0">
        <w:rPr>
          <w:rStyle w:val="Emphasis"/>
        </w:rPr>
        <w:t xml:space="preserve"> Identity and Access Management Glossary</w:t>
      </w:r>
      <w:r w:rsidRPr="00332959">
        <w:t xml:space="preserve"> contains a list of acronyms and associated terms related to the Framework.</w:t>
      </w:r>
      <w:r>
        <w:t xml:space="preserve"> </w:t>
      </w:r>
      <w:r w:rsidRPr="00332959">
        <w:t>The Glossary also contains all related terms associated with the NeAF and Assurance Framework.</w:t>
      </w:r>
    </w:p>
    <w:p w14:paraId="63CE172C" w14:textId="77777777" w:rsidR="000A710E" w:rsidRDefault="000A710E">
      <w:pPr>
        <w:suppressAutoHyphens w:val="0"/>
        <w:spacing w:before="0" w:line="440" w:lineRule="atLeast"/>
      </w:pPr>
      <w:r>
        <w:br w:type="page"/>
      </w:r>
    </w:p>
    <w:p w14:paraId="745BEF23" w14:textId="77777777" w:rsidR="00215226" w:rsidRPr="00F00731" w:rsidRDefault="00215226" w:rsidP="00443278">
      <w:pPr>
        <w:pStyle w:val="Heading2Numbered"/>
      </w:pPr>
      <w:bookmarkStart w:id="73" w:name="_Toc426636656"/>
      <w:bookmarkStart w:id="74" w:name="_Toc426639940"/>
      <w:bookmarkStart w:id="75" w:name="_Toc430268911"/>
      <w:r w:rsidRPr="00F00731">
        <w:lastRenderedPageBreak/>
        <w:t>Levels of Assurance</w:t>
      </w:r>
      <w:bookmarkEnd w:id="73"/>
      <w:bookmarkEnd w:id="74"/>
      <w:bookmarkEnd w:id="75"/>
    </w:p>
    <w:p w14:paraId="05F21119" w14:textId="77777777" w:rsidR="00215226" w:rsidRPr="00332959" w:rsidRDefault="00215226" w:rsidP="00443278">
      <w:r w:rsidRPr="00332959">
        <w:t>Similar to the NeAF and NIPGs, the Gatekeeper Framework is designed around the concept of assurance levels.</w:t>
      </w:r>
      <w:r>
        <w:t xml:space="preserve"> </w:t>
      </w:r>
      <w:r w:rsidRPr="00332959">
        <w:t xml:space="preserve">The four Gatekeeper assurance levels are: </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860"/>
        <w:gridCol w:w="2895"/>
        <w:gridCol w:w="1982"/>
        <w:gridCol w:w="1897"/>
        <w:gridCol w:w="1426"/>
      </w:tblGrid>
      <w:tr w:rsidR="00215226" w:rsidRPr="00DB230F" w14:paraId="267EE063" w14:textId="77777777" w:rsidTr="00443278">
        <w:trPr>
          <w:cnfStyle w:val="100000000000" w:firstRow="1" w:lastRow="0" w:firstColumn="0" w:lastColumn="0" w:oddVBand="0" w:evenVBand="0" w:oddHBand="0" w:evenHBand="0" w:firstRowFirstColumn="0" w:firstRowLastColumn="0" w:lastRowFirstColumn="0" w:lastRowLastColumn="0"/>
          <w:tblHeader/>
        </w:trPr>
        <w:tc>
          <w:tcPr>
            <w:tcW w:w="474" w:type="pct"/>
          </w:tcPr>
          <w:p w14:paraId="32869777" w14:textId="77777777" w:rsidR="00215226" w:rsidRPr="00DB230F" w:rsidRDefault="00215226" w:rsidP="00443278">
            <w:pPr>
              <w:pStyle w:val="Normal-TableText"/>
            </w:pPr>
            <w:bookmarkStart w:id="76" w:name="_Toc426636762"/>
            <w:r w:rsidRPr="00DB230F">
              <w:t>Level</w:t>
            </w:r>
            <w:bookmarkEnd w:id="76"/>
          </w:p>
        </w:tc>
        <w:tc>
          <w:tcPr>
            <w:tcW w:w="1597" w:type="pct"/>
          </w:tcPr>
          <w:p w14:paraId="706D9096" w14:textId="77777777" w:rsidR="00215226" w:rsidRPr="00DB230F" w:rsidRDefault="00215226" w:rsidP="00443278">
            <w:pPr>
              <w:pStyle w:val="Normal-TableText"/>
              <w:rPr>
                <w:b w:val="0"/>
              </w:rPr>
            </w:pPr>
            <w:bookmarkStart w:id="77" w:name="_Toc426636763"/>
            <w:r w:rsidRPr="00E64190">
              <w:t>Description</w:t>
            </w:r>
            <w:bookmarkEnd w:id="77"/>
          </w:p>
        </w:tc>
        <w:tc>
          <w:tcPr>
            <w:tcW w:w="1094" w:type="pct"/>
          </w:tcPr>
          <w:p w14:paraId="3650BAF6" w14:textId="1134EB48" w:rsidR="00215226" w:rsidRPr="00DB230F" w:rsidRDefault="002A216F" w:rsidP="00443278">
            <w:pPr>
              <w:pStyle w:val="Normal-TableText"/>
              <w:rPr>
                <w:b w:val="0"/>
              </w:rPr>
            </w:pPr>
            <w:bookmarkStart w:id="78" w:name="_Toc426636764"/>
            <w:r>
              <w:t>R</w:t>
            </w:r>
            <w:r w:rsidR="00215226" w:rsidRPr="00E64190">
              <w:t>A</w:t>
            </w:r>
            <w:bookmarkEnd w:id="78"/>
          </w:p>
        </w:tc>
        <w:tc>
          <w:tcPr>
            <w:tcW w:w="1047" w:type="pct"/>
          </w:tcPr>
          <w:p w14:paraId="52213B92" w14:textId="77777777" w:rsidR="00215226" w:rsidRPr="00DB230F" w:rsidRDefault="00215226" w:rsidP="00443278">
            <w:pPr>
              <w:pStyle w:val="Normal-TableText"/>
              <w:rPr>
                <w:b w:val="0"/>
              </w:rPr>
            </w:pPr>
            <w:bookmarkStart w:id="79" w:name="_Toc426636765"/>
            <w:r w:rsidRPr="00E64190">
              <w:t>CA</w:t>
            </w:r>
            <w:bookmarkEnd w:id="79"/>
          </w:p>
        </w:tc>
        <w:tc>
          <w:tcPr>
            <w:tcW w:w="787" w:type="pct"/>
          </w:tcPr>
          <w:p w14:paraId="5FF71F76" w14:textId="77777777" w:rsidR="00215226" w:rsidRPr="00DB230F" w:rsidRDefault="00215226" w:rsidP="00443278">
            <w:pPr>
              <w:pStyle w:val="Normal-TableText"/>
              <w:rPr>
                <w:b w:val="0"/>
              </w:rPr>
            </w:pPr>
            <w:bookmarkStart w:id="80" w:name="_Toc426636766"/>
            <w:r w:rsidRPr="00E64190">
              <w:t>VA</w:t>
            </w:r>
            <w:bookmarkEnd w:id="80"/>
          </w:p>
        </w:tc>
      </w:tr>
      <w:tr w:rsidR="00215226" w:rsidRPr="00DB230F" w14:paraId="3A6C77C2" w14:textId="77777777" w:rsidTr="00443278">
        <w:tc>
          <w:tcPr>
            <w:tcW w:w="474" w:type="pct"/>
          </w:tcPr>
          <w:p w14:paraId="6C730CBB" w14:textId="77777777" w:rsidR="00215226" w:rsidRPr="00DB230F" w:rsidRDefault="00215226" w:rsidP="00443278">
            <w:pPr>
              <w:pStyle w:val="Normal-TableText"/>
            </w:pPr>
            <w:bookmarkStart w:id="81" w:name="_Toc426636767"/>
            <w:r w:rsidRPr="00DB230F">
              <w:t>1</w:t>
            </w:r>
            <w:bookmarkEnd w:id="81"/>
          </w:p>
        </w:tc>
        <w:tc>
          <w:tcPr>
            <w:tcW w:w="1597" w:type="pct"/>
          </w:tcPr>
          <w:p w14:paraId="14BC48D0" w14:textId="77777777" w:rsidR="00215226" w:rsidRPr="00DB230F" w:rsidRDefault="00215226" w:rsidP="00443278">
            <w:pPr>
              <w:pStyle w:val="Normal-TableText"/>
            </w:pPr>
            <w:bookmarkStart w:id="82" w:name="_Toc426636768"/>
            <w:r w:rsidRPr="00DB230F">
              <w:t>No or little confidence</w:t>
            </w:r>
            <w:bookmarkEnd w:id="82"/>
          </w:p>
        </w:tc>
        <w:tc>
          <w:tcPr>
            <w:tcW w:w="1094" w:type="pct"/>
            <w:vMerge w:val="restart"/>
          </w:tcPr>
          <w:p w14:paraId="1642162D" w14:textId="77777777" w:rsidR="00215226" w:rsidRPr="00DB230F" w:rsidRDefault="00215226" w:rsidP="00443278">
            <w:pPr>
              <w:pStyle w:val="Normal-TableText"/>
            </w:pPr>
            <w:bookmarkStart w:id="83" w:name="_Toc426636769"/>
            <w:r w:rsidRPr="00DB230F">
              <w:t>In the registration processes used to identify the claimant</w:t>
            </w:r>
            <w:r>
              <w:t>.</w:t>
            </w:r>
            <w:bookmarkEnd w:id="83"/>
          </w:p>
        </w:tc>
        <w:tc>
          <w:tcPr>
            <w:tcW w:w="1047" w:type="pct"/>
            <w:vMerge w:val="restart"/>
          </w:tcPr>
          <w:p w14:paraId="0059822F" w14:textId="77777777" w:rsidR="00215226" w:rsidRPr="00DB230F" w:rsidRDefault="00215226" w:rsidP="00443278">
            <w:pPr>
              <w:pStyle w:val="Normal-TableText"/>
            </w:pPr>
            <w:bookmarkStart w:id="84" w:name="_Toc426636770"/>
            <w:r w:rsidRPr="00DB230F">
              <w:t>In the credentialing processes used to manage digital certificates throughout their lifecycle</w:t>
            </w:r>
            <w:r>
              <w:t>.</w:t>
            </w:r>
            <w:bookmarkEnd w:id="84"/>
          </w:p>
        </w:tc>
        <w:tc>
          <w:tcPr>
            <w:tcW w:w="787" w:type="pct"/>
            <w:vMerge w:val="restart"/>
          </w:tcPr>
          <w:p w14:paraId="04E403A5" w14:textId="77777777" w:rsidR="00215226" w:rsidRPr="00DB230F" w:rsidRDefault="00215226" w:rsidP="00443278">
            <w:pPr>
              <w:pStyle w:val="Normal-TableText"/>
            </w:pPr>
            <w:bookmarkStart w:id="85" w:name="_Toc426636771"/>
            <w:r w:rsidRPr="00DB230F">
              <w:t>In the certificate validation services provided</w:t>
            </w:r>
            <w:r>
              <w:t>.</w:t>
            </w:r>
            <w:bookmarkEnd w:id="85"/>
          </w:p>
        </w:tc>
      </w:tr>
      <w:tr w:rsidR="00215226" w:rsidRPr="00DB230F" w14:paraId="6E7F2666" w14:textId="77777777" w:rsidTr="00443278">
        <w:tc>
          <w:tcPr>
            <w:tcW w:w="474" w:type="pct"/>
          </w:tcPr>
          <w:p w14:paraId="6E3B12C5" w14:textId="77777777" w:rsidR="00215226" w:rsidRPr="00DB230F" w:rsidRDefault="00215226" w:rsidP="00443278">
            <w:pPr>
              <w:pStyle w:val="Normal-TableText"/>
            </w:pPr>
            <w:bookmarkStart w:id="86" w:name="_Toc426636772"/>
            <w:r w:rsidRPr="00DB230F">
              <w:t>2</w:t>
            </w:r>
            <w:bookmarkEnd w:id="86"/>
          </w:p>
        </w:tc>
        <w:tc>
          <w:tcPr>
            <w:tcW w:w="1597" w:type="pct"/>
          </w:tcPr>
          <w:p w14:paraId="6B4BF996" w14:textId="77777777" w:rsidR="00215226" w:rsidRPr="00DB230F" w:rsidRDefault="00215226" w:rsidP="00443278">
            <w:pPr>
              <w:pStyle w:val="Normal-TableText"/>
            </w:pPr>
            <w:bookmarkStart w:id="87" w:name="_Toc426636773"/>
            <w:r w:rsidRPr="00DB230F">
              <w:t>Some confidence</w:t>
            </w:r>
            <w:bookmarkEnd w:id="87"/>
            <w:r w:rsidRPr="00DB230F">
              <w:t xml:space="preserve"> </w:t>
            </w:r>
          </w:p>
        </w:tc>
        <w:tc>
          <w:tcPr>
            <w:tcW w:w="1094" w:type="pct"/>
            <w:vMerge/>
          </w:tcPr>
          <w:p w14:paraId="5CB2F098" w14:textId="77777777" w:rsidR="00215226" w:rsidRPr="00DB230F" w:rsidRDefault="00215226" w:rsidP="00443278">
            <w:pPr>
              <w:pStyle w:val="Normal-TableText"/>
            </w:pPr>
          </w:p>
        </w:tc>
        <w:tc>
          <w:tcPr>
            <w:tcW w:w="1047" w:type="pct"/>
            <w:vMerge/>
          </w:tcPr>
          <w:p w14:paraId="57C4CFDC" w14:textId="77777777" w:rsidR="00215226" w:rsidRPr="00DB230F" w:rsidRDefault="00215226" w:rsidP="00443278">
            <w:pPr>
              <w:pStyle w:val="Normal-TableText"/>
            </w:pPr>
          </w:p>
        </w:tc>
        <w:tc>
          <w:tcPr>
            <w:tcW w:w="787" w:type="pct"/>
            <w:vMerge/>
          </w:tcPr>
          <w:p w14:paraId="34670031" w14:textId="77777777" w:rsidR="00215226" w:rsidRPr="00DB230F" w:rsidRDefault="00215226" w:rsidP="00443278">
            <w:pPr>
              <w:pStyle w:val="Normal-TableText"/>
            </w:pPr>
          </w:p>
        </w:tc>
      </w:tr>
      <w:tr w:rsidR="00215226" w:rsidRPr="00DB230F" w14:paraId="2A9F8A18" w14:textId="77777777" w:rsidTr="00443278">
        <w:tc>
          <w:tcPr>
            <w:tcW w:w="474" w:type="pct"/>
          </w:tcPr>
          <w:p w14:paraId="1EF105A7" w14:textId="77777777" w:rsidR="00215226" w:rsidRPr="00DB230F" w:rsidRDefault="00215226" w:rsidP="00443278">
            <w:pPr>
              <w:pStyle w:val="Normal-TableText"/>
            </w:pPr>
            <w:r w:rsidRPr="00DB230F">
              <w:t>3</w:t>
            </w:r>
          </w:p>
        </w:tc>
        <w:tc>
          <w:tcPr>
            <w:tcW w:w="1597" w:type="pct"/>
          </w:tcPr>
          <w:p w14:paraId="1F728F0B" w14:textId="77777777" w:rsidR="00215226" w:rsidRPr="00DB230F" w:rsidRDefault="00215226" w:rsidP="00443278">
            <w:pPr>
              <w:pStyle w:val="Normal-TableText"/>
            </w:pPr>
            <w:r w:rsidRPr="00DB230F">
              <w:t>High confidence</w:t>
            </w:r>
          </w:p>
        </w:tc>
        <w:tc>
          <w:tcPr>
            <w:tcW w:w="1094" w:type="pct"/>
            <w:vMerge/>
          </w:tcPr>
          <w:p w14:paraId="08E65564" w14:textId="77777777" w:rsidR="00215226" w:rsidRPr="00DB230F" w:rsidRDefault="00215226" w:rsidP="00443278">
            <w:pPr>
              <w:pStyle w:val="Normal-TableText"/>
            </w:pPr>
          </w:p>
        </w:tc>
        <w:tc>
          <w:tcPr>
            <w:tcW w:w="1047" w:type="pct"/>
            <w:vMerge/>
          </w:tcPr>
          <w:p w14:paraId="0766A03E" w14:textId="77777777" w:rsidR="00215226" w:rsidRPr="00DB230F" w:rsidRDefault="00215226" w:rsidP="00443278">
            <w:pPr>
              <w:pStyle w:val="Normal-TableText"/>
            </w:pPr>
          </w:p>
        </w:tc>
        <w:tc>
          <w:tcPr>
            <w:tcW w:w="787" w:type="pct"/>
            <w:vMerge/>
          </w:tcPr>
          <w:p w14:paraId="071E25DF" w14:textId="77777777" w:rsidR="00215226" w:rsidRPr="00DB230F" w:rsidRDefault="00215226" w:rsidP="00443278">
            <w:pPr>
              <w:pStyle w:val="Normal-TableText"/>
            </w:pPr>
          </w:p>
        </w:tc>
      </w:tr>
      <w:tr w:rsidR="00215226" w:rsidRPr="00DB230F" w14:paraId="04189056" w14:textId="77777777" w:rsidTr="00443278">
        <w:tc>
          <w:tcPr>
            <w:tcW w:w="474" w:type="pct"/>
          </w:tcPr>
          <w:p w14:paraId="45818965" w14:textId="77777777" w:rsidR="00215226" w:rsidRPr="00DB230F" w:rsidRDefault="00215226" w:rsidP="00443278">
            <w:pPr>
              <w:pStyle w:val="Normal-TableText"/>
            </w:pPr>
            <w:r w:rsidRPr="00DB230F">
              <w:t>4</w:t>
            </w:r>
          </w:p>
        </w:tc>
        <w:tc>
          <w:tcPr>
            <w:tcW w:w="1597" w:type="pct"/>
          </w:tcPr>
          <w:p w14:paraId="1580B6E5" w14:textId="77777777" w:rsidR="00215226" w:rsidRPr="00DB230F" w:rsidRDefault="00215226" w:rsidP="00443278">
            <w:pPr>
              <w:pStyle w:val="Normal-TableText"/>
            </w:pPr>
            <w:r w:rsidRPr="00DB230F">
              <w:t>Very high confidence</w:t>
            </w:r>
          </w:p>
        </w:tc>
        <w:tc>
          <w:tcPr>
            <w:tcW w:w="1094" w:type="pct"/>
            <w:vMerge/>
          </w:tcPr>
          <w:p w14:paraId="05F52272" w14:textId="77777777" w:rsidR="00215226" w:rsidRPr="00DB230F" w:rsidRDefault="00215226" w:rsidP="00443278">
            <w:pPr>
              <w:pStyle w:val="Normal-TableText"/>
            </w:pPr>
          </w:p>
        </w:tc>
        <w:tc>
          <w:tcPr>
            <w:tcW w:w="1047" w:type="pct"/>
            <w:vMerge/>
          </w:tcPr>
          <w:p w14:paraId="28372C2F" w14:textId="77777777" w:rsidR="00215226" w:rsidRPr="00DB230F" w:rsidRDefault="00215226" w:rsidP="00443278">
            <w:pPr>
              <w:pStyle w:val="Normal-TableText"/>
            </w:pPr>
          </w:p>
        </w:tc>
        <w:tc>
          <w:tcPr>
            <w:tcW w:w="787" w:type="pct"/>
            <w:vMerge/>
          </w:tcPr>
          <w:p w14:paraId="67A6C676" w14:textId="77777777" w:rsidR="00215226" w:rsidRPr="00DB230F" w:rsidRDefault="00215226" w:rsidP="00443278">
            <w:pPr>
              <w:pStyle w:val="Normal-TableText"/>
            </w:pPr>
          </w:p>
        </w:tc>
      </w:tr>
    </w:tbl>
    <w:p w14:paraId="3D65E332" w14:textId="77777777" w:rsidR="00215226" w:rsidRPr="00F00731" w:rsidRDefault="00215226" w:rsidP="00443278">
      <w:pPr>
        <w:pStyle w:val="Heading2Numbered"/>
      </w:pPr>
      <w:bookmarkStart w:id="88" w:name="_Toc426636657"/>
      <w:bookmarkStart w:id="89" w:name="_Toc426639941"/>
      <w:bookmarkStart w:id="90" w:name="_Toc430268912"/>
      <w:r w:rsidRPr="00F00731">
        <w:t>Commonwealth Government Requirements</w:t>
      </w:r>
      <w:bookmarkEnd w:id="88"/>
      <w:bookmarkEnd w:id="89"/>
      <w:bookmarkEnd w:id="90"/>
    </w:p>
    <w:p w14:paraId="08C9D899" w14:textId="77777777" w:rsidR="00215226" w:rsidRPr="00DB230F" w:rsidRDefault="00215226" w:rsidP="00443278">
      <w:r>
        <w:t xml:space="preserve">Commonwealth </w:t>
      </w:r>
      <w:r w:rsidRPr="00DB230F">
        <w:t>Government policy does not mandate the use of PKI for authenticating online transactions.</w:t>
      </w:r>
      <w:r>
        <w:t xml:space="preserve"> </w:t>
      </w:r>
      <w:r w:rsidRPr="00DB230F">
        <w:t xml:space="preserve">Use of PKI for authentication purposes is purely a business decision for </w:t>
      </w:r>
      <w:r>
        <w:t xml:space="preserve">Commonwealth </w:t>
      </w:r>
      <w:r w:rsidRPr="00DB230F">
        <w:t>agencies.</w:t>
      </w:r>
      <w:r>
        <w:t xml:space="preserve"> However, </w:t>
      </w:r>
      <w:r w:rsidRPr="00DB230F">
        <w:t xml:space="preserve">Commonwealth agencies wishing to use digital certificates to authenticate their clients are required to use Gatekeeper accredited Service Providers. This has been </w:t>
      </w:r>
      <w:r>
        <w:t xml:space="preserve">Commonwealth </w:t>
      </w:r>
      <w:r w:rsidRPr="00DB230F">
        <w:t>Government policy since July 1999.</w:t>
      </w:r>
    </w:p>
    <w:p w14:paraId="42871A7B" w14:textId="77777777" w:rsidR="00215226" w:rsidRPr="00F00731" w:rsidRDefault="00215226" w:rsidP="00443278">
      <w:pPr>
        <w:pStyle w:val="Heading2Numbered"/>
      </w:pPr>
      <w:bookmarkStart w:id="91" w:name="_Toc426636658"/>
      <w:bookmarkStart w:id="92" w:name="_Toc426639942"/>
      <w:bookmarkStart w:id="93" w:name="_Toc430268913"/>
      <w:r w:rsidRPr="00F00731">
        <w:t>Risk Management</w:t>
      </w:r>
      <w:bookmarkEnd w:id="91"/>
      <w:bookmarkEnd w:id="92"/>
      <w:bookmarkEnd w:id="93"/>
    </w:p>
    <w:p w14:paraId="540FC3AA" w14:textId="77777777" w:rsidR="00215226" w:rsidRPr="00385EF4" w:rsidRDefault="00215226" w:rsidP="00443278">
      <w:r w:rsidRPr="00385EF4">
        <w:t>Gatekeeper operates within a risk management context and aligns with the Australian Government’s Protective Security Policy Framework and the Australian Government Information Security Manual.</w:t>
      </w:r>
    </w:p>
    <w:p w14:paraId="7BD22892" w14:textId="77777777" w:rsidR="00215226" w:rsidRDefault="00215226" w:rsidP="00443278">
      <w:pPr>
        <w:pStyle w:val="Bullet1"/>
      </w:pPr>
      <w:r w:rsidRPr="00DB230F">
        <w:t xml:space="preserve">The PSPF defines a series of </w:t>
      </w:r>
      <w:r>
        <w:t xml:space="preserve">core policies and </w:t>
      </w:r>
      <w:r w:rsidRPr="00DB230F">
        <w:t xml:space="preserve">mandatory requirements </w:t>
      </w:r>
      <w:r>
        <w:t>to</w:t>
      </w:r>
      <w:r w:rsidRPr="00DB230F">
        <w:t xml:space="preserve"> which </w:t>
      </w:r>
      <w:r>
        <w:t xml:space="preserve">applicable </w:t>
      </w:r>
      <w:r w:rsidRPr="00DB230F">
        <w:t>Commonwealth agencies and bodies must demonstrate their compliance.</w:t>
      </w:r>
      <w:r>
        <w:t xml:space="preserve"> </w:t>
      </w:r>
      <w:r w:rsidRPr="00DB230F">
        <w:t xml:space="preserve">These requirements cover </w:t>
      </w:r>
      <w:r>
        <w:t xml:space="preserve">protective security governance, </w:t>
      </w:r>
      <w:r w:rsidRPr="00DB230F">
        <w:t>personnel security, information security and physical security.</w:t>
      </w:r>
    </w:p>
    <w:p w14:paraId="486B64BF" w14:textId="77777777" w:rsidR="00215226" w:rsidRDefault="00215226" w:rsidP="00443278">
      <w:pPr>
        <w:pStyle w:val="Bullet1"/>
      </w:pPr>
      <w:r w:rsidRPr="00DB230F">
        <w:t xml:space="preserve">The ISM is designed to assist Australian government agencies in applying a risk-based approach to protecting </w:t>
      </w:r>
      <w:r>
        <w:t xml:space="preserve">their </w:t>
      </w:r>
      <w:r w:rsidRPr="00DB230F">
        <w:t>information and systems.</w:t>
      </w:r>
      <w:r>
        <w:t xml:space="preserve"> </w:t>
      </w:r>
      <w:r w:rsidRPr="00DB230F">
        <w:t xml:space="preserve">The ISM includes a set of </w:t>
      </w:r>
      <w:r>
        <w:t xml:space="preserve">information security </w:t>
      </w:r>
      <w:r w:rsidRPr="00DB230F">
        <w:t>controls that, when implemented, will help agencies meet their compliance requirements for mitigating security risks to their information and systems.</w:t>
      </w:r>
    </w:p>
    <w:p w14:paraId="5B04C907" w14:textId="77777777" w:rsidR="00443278" w:rsidRDefault="00215226" w:rsidP="00443278">
      <w:r w:rsidRPr="00385EF4">
        <w:t>Service Providers who apply for Gatekeeper Accreditation undergo rigorous evaluation of all aspects of their PKI operations, including compliance with Australian Government protective security requirements outlined in the PSPF and ISM.</w:t>
      </w:r>
    </w:p>
    <w:p w14:paraId="61A102FC" w14:textId="77777777" w:rsidR="00443278" w:rsidRDefault="00443278" w:rsidP="00D825A0">
      <w:r>
        <w:br w:type="page"/>
      </w:r>
    </w:p>
    <w:p w14:paraId="78FC5788" w14:textId="77777777" w:rsidR="00215226" w:rsidRPr="00F00731" w:rsidRDefault="00215226" w:rsidP="00443278">
      <w:pPr>
        <w:pStyle w:val="Heading2Numbered"/>
      </w:pPr>
      <w:bookmarkStart w:id="94" w:name="_Toc426636659"/>
      <w:bookmarkStart w:id="95" w:name="_Toc426639943"/>
      <w:bookmarkStart w:id="96" w:name="_Toc430268914"/>
      <w:r w:rsidRPr="00F00731">
        <w:lastRenderedPageBreak/>
        <w:t>Accreditation Process</w:t>
      </w:r>
      <w:bookmarkEnd w:id="94"/>
      <w:bookmarkEnd w:id="95"/>
      <w:bookmarkEnd w:id="96"/>
    </w:p>
    <w:p w14:paraId="03B70262" w14:textId="77777777" w:rsidR="00215226" w:rsidRPr="00F00731" w:rsidRDefault="00215226" w:rsidP="00443278">
      <w:pPr>
        <w:pStyle w:val="Heading3Numbered"/>
      </w:pPr>
      <w:bookmarkStart w:id="97" w:name="_Toc426636660"/>
      <w:bookmarkStart w:id="98" w:name="_Toc426636777"/>
      <w:bookmarkStart w:id="99" w:name="_Toc426639944"/>
      <w:r w:rsidRPr="00F00731">
        <w:t>Obtain and maintain accreditation</w:t>
      </w:r>
      <w:bookmarkEnd w:id="97"/>
      <w:bookmarkEnd w:id="98"/>
      <w:bookmarkEnd w:id="99"/>
    </w:p>
    <w:p w14:paraId="1EE31463" w14:textId="6C6A5D7C" w:rsidR="00215226" w:rsidRPr="00DB230F" w:rsidRDefault="00215226" w:rsidP="00443278">
      <w:r w:rsidRPr="00DB230F">
        <w:t xml:space="preserve">The Accreditation Process is outlined in </w:t>
      </w:r>
      <w:r w:rsidR="000A710E">
        <w:fldChar w:fldCharType="begin"/>
      </w:r>
      <w:r w:rsidR="000A710E">
        <w:instrText xml:space="preserve"> REF _Ref430784961 \h </w:instrText>
      </w:r>
      <w:r w:rsidR="000A710E">
        <w:fldChar w:fldCharType="separate"/>
      </w:r>
      <w:r w:rsidR="005E404C">
        <w:t xml:space="preserve">Figure </w:t>
      </w:r>
      <w:r w:rsidR="005E404C">
        <w:rPr>
          <w:noProof/>
        </w:rPr>
        <w:t>4</w:t>
      </w:r>
      <w:r w:rsidR="000A710E">
        <w:fldChar w:fldCharType="end"/>
      </w:r>
      <w:r w:rsidRPr="00DB230F">
        <w:t xml:space="preserve"> below:</w:t>
      </w:r>
    </w:p>
    <w:p w14:paraId="0891E8F1" w14:textId="79E2C453" w:rsidR="00215226" w:rsidRDefault="00443278" w:rsidP="00443278">
      <w:pPr>
        <w:pStyle w:val="Caption"/>
      </w:pPr>
      <w:bookmarkStart w:id="100" w:name="_Ref430784961"/>
      <w:bookmarkStart w:id="101" w:name="_Toc430268969"/>
      <w:r>
        <w:t xml:space="preserve">Figure </w:t>
      </w:r>
      <w:fldSimple w:instr=" SEQ Figure \* ARABIC ">
        <w:r w:rsidR="005E404C">
          <w:rPr>
            <w:noProof/>
          </w:rPr>
          <w:t>4</w:t>
        </w:r>
      </w:fldSimple>
      <w:bookmarkEnd w:id="100"/>
      <w:r>
        <w:t xml:space="preserve"> </w:t>
      </w:r>
      <w:r w:rsidRPr="00E64190">
        <w:t>Accreditation Process</w:t>
      </w:r>
      <w:bookmarkEnd w:id="101"/>
    </w:p>
    <w:p w14:paraId="60A22A42" w14:textId="77777777" w:rsidR="000A710E" w:rsidRDefault="002A216F" w:rsidP="000A710E">
      <w:pPr>
        <w:keepNext/>
        <w:jc w:val="center"/>
      </w:pPr>
      <w:r w:rsidRPr="00DB230F">
        <w:object w:dxaOrig="11310" w:dyaOrig="15390" w14:anchorId="173170EA">
          <v:shape id="_x0000_i1026" type="#_x0000_t75" alt="Figure 4: Accreditation Process is described at 5.6.1." style="width:395pt;height:539pt" o:ole="">
            <v:imagedata r:id="rId23" o:title=""/>
          </v:shape>
          <o:OLEObject Type="Embed" ProgID="Visio.Drawing.11" ShapeID="_x0000_i1026" DrawAspect="Content" ObjectID="_1510492128" r:id="rId24"/>
        </w:object>
      </w:r>
    </w:p>
    <w:p w14:paraId="483C1578" w14:textId="77777777" w:rsidR="000A710E" w:rsidRDefault="000A710E">
      <w:pPr>
        <w:suppressAutoHyphens w:val="0"/>
        <w:spacing w:before="0" w:line="440" w:lineRule="atLeast"/>
      </w:pPr>
      <w:r>
        <w:br w:type="page"/>
      </w:r>
    </w:p>
    <w:p w14:paraId="44108139" w14:textId="2313B6C0" w:rsidR="00215226" w:rsidRPr="008E6537" w:rsidRDefault="00215226" w:rsidP="00443278">
      <w:pPr>
        <w:pStyle w:val="Bullet1"/>
      </w:pPr>
      <w:r w:rsidRPr="008E6537">
        <w:lastRenderedPageBreak/>
        <w:t>The Applicant submits a formal request in writing to the Gatekeeper Competent Authority (</w:t>
      </w:r>
      <w:hyperlink r:id="rId25" w:tooltip="Email the Digital Transformation Office" w:history="1">
        <w:r w:rsidR="009B5866" w:rsidRPr="00BD2B67">
          <w:rPr>
            <w:rStyle w:val="Hyperlink"/>
            <w:rFonts w:cstheme="minorBidi"/>
          </w:rPr>
          <w:t>authentication@dto.gov.au</w:t>
        </w:r>
      </w:hyperlink>
      <w:r w:rsidRPr="008E6537">
        <w:t>) seeking Gatekeeper accreditation to a defined LOA as a RA, CA, VA or a combination of these.</w:t>
      </w:r>
    </w:p>
    <w:p w14:paraId="483A3F5F" w14:textId="77777777" w:rsidR="00215226" w:rsidRPr="008E6537" w:rsidRDefault="00215226" w:rsidP="00443278">
      <w:pPr>
        <w:pStyle w:val="Bullet1"/>
      </w:pPr>
      <w:r w:rsidRPr="008E6537">
        <w:t>The Gatekeeper Competent Authority formally responds to the request and an initial meeting with the Applicant is convened to discuss the accreditation process.</w:t>
      </w:r>
    </w:p>
    <w:p w14:paraId="7D9E0D47" w14:textId="77777777" w:rsidR="00215226" w:rsidRPr="008E6537" w:rsidRDefault="00215226" w:rsidP="00443278">
      <w:pPr>
        <w:pStyle w:val="Bullet1"/>
      </w:pPr>
      <w:r w:rsidRPr="008E6537">
        <w:t>The Applicant drafts its documentation and organises independent evaluations of its operations for compliance with Gatekeeper Policies and Criteria. For Service Providers this includes an IRAP evaluation and a Privacy Impact Assessment (PIA).</w:t>
      </w:r>
    </w:p>
    <w:p w14:paraId="337060F8" w14:textId="5E3AE97F" w:rsidR="00215226" w:rsidRPr="008E6537" w:rsidRDefault="00215226" w:rsidP="00443278">
      <w:pPr>
        <w:pStyle w:val="Bullet1"/>
      </w:pPr>
      <w:r w:rsidRPr="008E6537">
        <w:t xml:space="preserve">The </w:t>
      </w:r>
      <w:r w:rsidR="009B5866">
        <w:t>Digital Transformation Office</w:t>
      </w:r>
      <w:r w:rsidRPr="008E6537">
        <w:t xml:space="preserve"> commences its evaluation of the Applicant’s documents for compliance with Gatekeeper Policies and Criteria. Once </w:t>
      </w:r>
      <w:r w:rsidR="009B5866">
        <w:t>the DTO</w:t>
      </w:r>
      <w:r w:rsidR="009B5866" w:rsidRPr="008E6537">
        <w:t xml:space="preserve"> </w:t>
      </w:r>
      <w:r w:rsidRPr="008E6537">
        <w:t>is satisfied the documents meet the requirement for Gatekeeper Accreditation they are considered Approved Documents for the purposes of accreditation.</w:t>
      </w:r>
    </w:p>
    <w:p w14:paraId="7944CD73" w14:textId="0569D45B" w:rsidR="00215226" w:rsidRPr="008E6537" w:rsidRDefault="00215226" w:rsidP="00443278">
      <w:pPr>
        <w:pStyle w:val="Bullet1"/>
      </w:pPr>
      <w:r w:rsidRPr="008E6537">
        <w:t xml:space="preserve">Following successful completion of the evaluation process, </w:t>
      </w:r>
      <w:r w:rsidR="009B5866">
        <w:t>the DTO</w:t>
      </w:r>
      <w:r w:rsidR="009B5866" w:rsidRPr="008E6537">
        <w:t xml:space="preserve"> </w:t>
      </w:r>
      <w:r w:rsidRPr="008E6537">
        <w:t xml:space="preserve">recommends accreditation to the Gatekeeper Competent Authority and a Head Agreement or Memorandum of Agreement between </w:t>
      </w:r>
      <w:r w:rsidR="009B5866">
        <w:t>the DTO</w:t>
      </w:r>
      <w:r w:rsidR="009B5866" w:rsidRPr="008E6537">
        <w:t xml:space="preserve"> </w:t>
      </w:r>
      <w:r w:rsidRPr="008E6537">
        <w:t>and the Service Provider is negotiated and signed and a Certificate of Accreditation is presented to the Service Provider. The Agreement will include the list of Approved Documents.</w:t>
      </w:r>
    </w:p>
    <w:p w14:paraId="5F8AC04B" w14:textId="78BD5E9E" w:rsidR="00215226" w:rsidRDefault="00215226" w:rsidP="00443278">
      <w:pPr>
        <w:pStyle w:val="Bullet1"/>
      </w:pPr>
      <w:r w:rsidRPr="008E6537">
        <w:t xml:space="preserve">The Service Provider’s details are listed on the </w:t>
      </w:r>
      <w:r w:rsidR="009B5866">
        <w:t>DTO</w:t>
      </w:r>
      <w:r w:rsidR="009B5866" w:rsidRPr="008E6537">
        <w:t xml:space="preserve"> </w:t>
      </w:r>
      <w:r w:rsidRPr="008E6537">
        <w:t>website.</w:t>
      </w:r>
    </w:p>
    <w:p w14:paraId="68FFDF7A" w14:textId="77777777" w:rsidR="00215226" w:rsidRDefault="00215226" w:rsidP="00443278">
      <w:pPr>
        <w:pStyle w:val="Bullet1"/>
      </w:pPr>
      <w:r w:rsidRPr="008E6537">
        <w:t>The Service Provider maintains accreditation by providing its services in accordance with its Approved Documents.</w:t>
      </w:r>
    </w:p>
    <w:p w14:paraId="3B2D2A2E" w14:textId="086B3147" w:rsidR="00215226" w:rsidRPr="008E6537" w:rsidRDefault="00215226" w:rsidP="00443278">
      <w:pPr>
        <w:pStyle w:val="Bullet1"/>
      </w:pPr>
      <w:r w:rsidRPr="008E6537">
        <w:t>The Service Provider submits itself to an annual compliance audit on the anniversary of their accreditation date in accordance with the Gatekeeper Compliance Audit Program.</w:t>
      </w:r>
      <w:r>
        <w:t xml:space="preserve"> </w:t>
      </w:r>
      <w:r w:rsidRPr="008E6537">
        <w:t>The audit findings are provided to the</w:t>
      </w:r>
      <w:r w:rsidR="00BD2B67">
        <w:t xml:space="preserve"> </w:t>
      </w:r>
      <w:r w:rsidR="009B5866">
        <w:t>Digital Transformation Office</w:t>
      </w:r>
      <w:r w:rsidRPr="008E6537">
        <w:t>.</w:t>
      </w:r>
      <w:r>
        <w:t xml:space="preserve"> </w:t>
      </w:r>
      <w:r w:rsidRPr="008E6537">
        <w:t xml:space="preserve">The Gatekeeper Competent Authority will accept the audit findings (and work with the Service Provider to resolve any identified issues) and the </w:t>
      </w:r>
      <w:r w:rsidR="009B5866">
        <w:t>DTO</w:t>
      </w:r>
      <w:r w:rsidR="009B5866" w:rsidRPr="008E6537">
        <w:t xml:space="preserve"> </w:t>
      </w:r>
      <w:r w:rsidRPr="008E6537">
        <w:t>website will be updated to reflect the Service Provider’s accreditation status.</w:t>
      </w:r>
    </w:p>
    <w:p w14:paraId="4EB7FEE7" w14:textId="77777777" w:rsidR="00215226" w:rsidRPr="00F00731" w:rsidRDefault="00215226" w:rsidP="00443278">
      <w:pPr>
        <w:pStyle w:val="Heading3Numbered"/>
      </w:pPr>
      <w:bookmarkStart w:id="102" w:name="_Toc426636661"/>
      <w:bookmarkStart w:id="103" w:name="_Toc426636778"/>
      <w:bookmarkStart w:id="104" w:name="_Toc426639945"/>
      <w:r w:rsidRPr="00F00731">
        <w:t>Gatekeeper Accreditation Disclaimer</w:t>
      </w:r>
      <w:bookmarkEnd w:id="102"/>
      <w:bookmarkEnd w:id="103"/>
      <w:bookmarkEnd w:id="104"/>
    </w:p>
    <w:p w14:paraId="03BAB5BE" w14:textId="77777777" w:rsidR="00215226" w:rsidRPr="00443278" w:rsidRDefault="00215226" w:rsidP="00443278">
      <w:pPr>
        <w:pStyle w:val="BoxText"/>
        <w:rPr>
          <w:rStyle w:val="Strong"/>
        </w:rPr>
      </w:pPr>
      <w:r w:rsidRPr="00443278">
        <w:rPr>
          <w:rStyle w:val="Strong"/>
        </w:rPr>
        <w:t>GATEKEEPER ACCREDITATION DISCLAIMER</w:t>
      </w:r>
    </w:p>
    <w:p w14:paraId="2CDAFAFD" w14:textId="77777777" w:rsidR="00215226" w:rsidRPr="008E6537" w:rsidRDefault="00215226" w:rsidP="00443278">
      <w:pPr>
        <w:pStyle w:val="BoxText"/>
      </w:pPr>
      <w:r w:rsidRPr="008E6537">
        <w:rPr>
          <w:bCs/>
        </w:rPr>
        <w:t>The Gatekeeper Co</w:t>
      </w:r>
      <w:r w:rsidRPr="008E6537">
        <w:t>mpetent Authority is responsible for ensuring that the accreditation process is conducted with due care and in accordance with published Gatekeeper Criteria and Policies.</w:t>
      </w:r>
    </w:p>
    <w:p w14:paraId="67DB81E4" w14:textId="77777777" w:rsidR="00215226" w:rsidRPr="008E6537" w:rsidRDefault="00215226" w:rsidP="00443278">
      <w:pPr>
        <w:pStyle w:val="BoxText"/>
      </w:pPr>
      <w:r w:rsidRPr="008E6537">
        <w:t>The Gatekeeper Competent Authority is not liable for any errors and/or omissions in the final Approved Documents, which remain the responsibility of the accredited Service Provider.</w:t>
      </w:r>
    </w:p>
    <w:p w14:paraId="6B12FAB1" w14:textId="7ED36537" w:rsidR="00215226" w:rsidRPr="008E6537" w:rsidRDefault="00215226" w:rsidP="00443278">
      <w:pPr>
        <w:pStyle w:val="BoxText"/>
      </w:pPr>
      <w:r w:rsidRPr="008E6537">
        <w:t xml:space="preserve">The </w:t>
      </w:r>
      <w:r w:rsidR="009B5866">
        <w:t>Digital Transformation Office</w:t>
      </w:r>
      <w:r w:rsidRPr="008E6537">
        <w:t xml:space="preserve"> is not responsible and cannot be held liable for any loss of any kind in relation to the use of digital keys and certificates issued by a Gatekeeper accredited Service Provider. By granting a Service Provider Gatekeeper Accreditation the </w:t>
      </w:r>
      <w:r w:rsidR="009B5866">
        <w:t>Digital Transformation Office</w:t>
      </w:r>
      <w:r w:rsidR="009B5866" w:rsidRPr="008E6537">
        <w:t xml:space="preserve"> </w:t>
      </w:r>
      <w:r w:rsidRPr="008E6537">
        <w:t>makes no representation and gives no warranty as to the:</w:t>
      </w:r>
    </w:p>
    <w:p w14:paraId="52284399" w14:textId="77777777" w:rsidR="00215226" w:rsidRPr="008E6537" w:rsidRDefault="00215226" w:rsidP="00443278">
      <w:pPr>
        <w:pStyle w:val="BoxBullet1"/>
        <w:rPr>
          <w:bCs/>
        </w:rPr>
      </w:pPr>
      <w:r w:rsidRPr="008E6537">
        <w:rPr>
          <w:lang w:val="en-US"/>
        </w:rPr>
        <w:t>Accuracy of any statements or representations made in, or suitability of, the Approved Documents of a Gatekeeper accredited Service Provider;</w:t>
      </w:r>
    </w:p>
    <w:p w14:paraId="6DB6229D" w14:textId="77777777" w:rsidR="00215226" w:rsidRPr="008E6537" w:rsidRDefault="00215226" w:rsidP="00443278">
      <w:pPr>
        <w:pStyle w:val="BoxBullet1"/>
        <w:rPr>
          <w:bCs/>
        </w:rPr>
      </w:pPr>
      <w:r w:rsidRPr="008E6537">
        <w:rPr>
          <w:lang w:val="en-US"/>
        </w:rPr>
        <w:t>Accuracy of any statement or representation made in, or suitability of, the documentation of a Service Provider in a Gatekeeper recognised PKI domain; or</w:t>
      </w:r>
    </w:p>
    <w:p w14:paraId="7F5ADFA9" w14:textId="77777777" w:rsidR="00215226" w:rsidRPr="008E6537" w:rsidRDefault="00215226" w:rsidP="00443278">
      <w:pPr>
        <w:pStyle w:val="BoxBullet1"/>
        <w:rPr>
          <w:bCs/>
        </w:rPr>
      </w:pPr>
      <w:r w:rsidRPr="008E6537">
        <w:rPr>
          <w:lang w:val="en-US"/>
        </w:rPr>
        <w:t>Standard or suitability of any services thereby provided by any Subscriber or Relying Party or application.</w:t>
      </w:r>
    </w:p>
    <w:p w14:paraId="5C4355B2" w14:textId="77777777" w:rsidR="00215226" w:rsidRPr="00F00731" w:rsidRDefault="00215226" w:rsidP="00443278">
      <w:pPr>
        <w:pStyle w:val="Heading3Numbered"/>
      </w:pPr>
      <w:bookmarkStart w:id="105" w:name="_Toc426636662"/>
      <w:bookmarkStart w:id="106" w:name="_Toc426636779"/>
      <w:bookmarkStart w:id="107" w:name="_Toc426639946"/>
      <w:r w:rsidRPr="00F00731">
        <w:lastRenderedPageBreak/>
        <w:t>Variation to accreditation</w:t>
      </w:r>
      <w:bookmarkEnd w:id="105"/>
      <w:bookmarkEnd w:id="106"/>
      <w:bookmarkEnd w:id="107"/>
    </w:p>
    <w:p w14:paraId="1E3B7EE2" w14:textId="1FC4D03D" w:rsidR="00215226" w:rsidRPr="00DB230F" w:rsidRDefault="00215226" w:rsidP="00BD2B67">
      <w:pPr>
        <w:keepNext/>
      </w:pPr>
      <w:r w:rsidRPr="00DB230F">
        <w:t xml:space="preserve">The accreditation variation process is outlined in </w:t>
      </w:r>
      <w:r w:rsidR="000A710E">
        <w:fldChar w:fldCharType="begin"/>
      </w:r>
      <w:r w:rsidR="000A710E">
        <w:instrText xml:space="preserve"> REF _Ref430785004 \h </w:instrText>
      </w:r>
      <w:r w:rsidR="000A710E">
        <w:fldChar w:fldCharType="separate"/>
      </w:r>
      <w:r w:rsidR="005E404C">
        <w:t xml:space="preserve">Figure </w:t>
      </w:r>
      <w:r w:rsidR="005E404C">
        <w:rPr>
          <w:noProof/>
        </w:rPr>
        <w:t>5</w:t>
      </w:r>
      <w:r w:rsidR="000A710E">
        <w:fldChar w:fldCharType="end"/>
      </w:r>
      <w:r w:rsidRPr="00DB230F">
        <w:t xml:space="preserve"> below:</w:t>
      </w:r>
    </w:p>
    <w:p w14:paraId="6B7F692F" w14:textId="45509D37" w:rsidR="00215226" w:rsidRDefault="00443278" w:rsidP="00443278">
      <w:pPr>
        <w:pStyle w:val="Caption"/>
      </w:pPr>
      <w:bookmarkStart w:id="108" w:name="_Ref430785004"/>
      <w:bookmarkStart w:id="109" w:name="_Toc430268970"/>
      <w:r>
        <w:t xml:space="preserve">Figure </w:t>
      </w:r>
      <w:fldSimple w:instr=" SEQ Figure \* ARABIC ">
        <w:r w:rsidR="005E404C">
          <w:rPr>
            <w:noProof/>
          </w:rPr>
          <w:t>5</w:t>
        </w:r>
      </w:fldSimple>
      <w:bookmarkEnd w:id="108"/>
      <w:r>
        <w:t xml:space="preserve"> </w:t>
      </w:r>
      <w:r w:rsidRPr="00E64190">
        <w:t>Accreditation Variation Process</w:t>
      </w:r>
      <w:bookmarkEnd w:id="109"/>
    </w:p>
    <w:p w14:paraId="11F31C0D" w14:textId="77777777" w:rsidR="000A710E" w:rsidRDefault="002A216F" w:rsidP="000A710E">
      <w:pPr>
        <w:keepNext/>
        <w:jc w:val="center"/>
      </w:pPr>
      <w:r w:rsidRPr="00DB230F">
        <w:object w:dxaOrig="11625" w:dyaOrig="10470" w14:anchorId="5EC56ECA">
          <v:shape id="_x0000_i1027" type="#_x0000_t75" alt="Figure 5: Accreditation Variation Process is outlined at 5.6.3." style="width:395pt;height:352pt" o:ole="">
            <v:imagedata r:id="rId26" o:title=""/>
          </v:shape>
          <o:OLEObject Type="Embed" ProgID="Visio.Drawing.11" ShapeID="_x0000_i1027" DrawAspect="Content" ObjectID="_1510492129" r:id="rId27"/>
        </w:object>
      </w:r>
    </w:p>
    <w:p w14:paraId="3687C875" w14:textId="77777777" w:rsidR="000A710E" w:rsidRPr="000A710E" w:rsidRDefault="000A710E" w:rsidP="000A710E"/>
    <w:p w14:paraId="12221104" w14:textId="44EDFB3C" w:rsidR="00215226" w:rsidRPr="008E6537" w:rsidRDefault="00215226" w:rsidP="00443278">
      <w:pPr>
        <w:pStyle w:val="Bullet1"/>
      </w:pPr>
      <w:r w:rsidRPr="008E6537">
        <w:t xml:space="preserve">The accredited Service Provider advises the </w:t>
      </w:r>
      <w:r w:rsidR="00EA43EB">
        <w:t>Digital Transformation Office</w:t>
      </w:r>
      <w:r w:rsidRPr="008E6537">
        <w:t xml:space="preserve"> of a need to vary the terms of its accreditation.</w:t>
      </w:r>
      <w:r>
        <w:t xml:space="preserve"> </w:t>
      </w:r>
      <w:r w:rsidRPr="008E6537">
        <w:t>A typical variation is a change to an Approved Document as a result of an adverse audit finding.</w:t>
      </w:r>
    </w:p>
    <w:p w14:paraId="3FF37822" w14:textId="78CC122C" w:rsidR="00215226" w:rsidRPr="008E6537" w:rsidRDefault="00215226" w:rsidP="00443278">
      <w:pPr>
        <w:pStyle w:val="Bullet1"/>
      </w:pPr>
      <w:r w:rsidRPr="008E6537">
        <w:t xml:space="preserve">The </w:t>
      </w:r>
      <w:r w:rsidR="00EA43EB">
        <w:t>Digital Transformation Office</w:t>
      </w:r>
      <w:r w:rsidR="00EA43EB" w:rsidRPr="008E6537">
        <w:t xml:space="preserve"> </w:t>
      </w:r>
      <w:r w:rsidRPr="008E6537">
        <w:t>will discuss the proposed changes with the Service Provider.</w:t>
      </w:r>
    </w:p>
    <w:p w14:paraId="7A54743C" w14:textId="47E4CD04" w:rsidR="00215226" w:rsidRPr="008E6537" w:rsidRDefault="00215226" w:rsidP="00443278">
      <w:pPr>
        <w:pStyle w:val="Bullet1"/>
      </w:pPr>
      <w:r w:rsidRPr="008E6537">
        <w:t xml:space="preserve">Depending on the nature of the proposed change, Approved Documents may need to be revised and submitted to the </w:t>
      </w:r>
      <w:r w:rsidR="00EA43EB">
        <w:t>Digital Transformation Office</w:t>
      </w:r>
      <w:r w:rsidRPr="008E6537">
        <w:t xml:space="preserve"> for review and endorsement.</w:t>
      </w:r>
      <w:r>
        <w:t xml:space="preserve"> </w:t>
      </w:r>
      <w:r w:rsidRPr="008E6537">
        <w:t xml:space="preserve">Similarly, for proposed changes with possible significant impacts, the </w:t>
      </w:r>
      <w:r w:rsidR="00EA43EB">
        <w:t>Digital Transformation Office</w:t>
      </w:r>
      <w:r w:rsidRPr="008E6537">
        <w:t xml:space="preserve"> may direct the Service Provider to organise independent evaluations (i.e. IRAP, PIA) of its operations.</w:t>
      </w:r>
    </w:p>
    <w:p w14:paraId="14FC115E" w14:textId="2F99F403" w:rsidR="00215226" w:rsidRPr="008E6537" w:rsidRDefault="00215226" w:rsidP="00443278">
      <w:pPr>
        <w:pStyle w:val="Bullet1"/>
      </w:pPr>
      <w:r w:rsidRPr="008E6537">
        <w:t xml:space="preserve">Following successful completion of the documentation review and possible operational evaluations, the </w:t>
      </w:r>
      <w:r w:rsidR="00EA43EB">
        <w:t>Digital Transformation Office</w:t>
      </w:r>
      <w:r w:rsidRPr="008E6537">
        <w:t xml:space="preserve"> will recommend to the Gatekeeper Competent Authority that a variation to the accredited Service Provider’s Head Agreement or Memorandum of Agreement be granted.</w:t>
      </w:r>
    </w:p>
    <w:p w14:paraId="25330876" w14:textId="4032DD99" w:rsidR="00215226" w:rsidRPr="008E6537" w:rsidRDefault="00215226" w:rsidP="00443278">
      <w:pPr>
        <w:pStyle w:val="Bullet1"/>
      </w:pPr>
      <w:r w:rsidRPr="008E6537">
        <w:t xml:space="preserve">Once granted, the details of the variation will be reflected on the </w:t>
      </w:r>
      <w:r w:rsidR="003B00C4">
        <w:t>Digital Transformation Office</w:t>
      </w:r>
      <w:r w:rsidR="003B00C4" w:rsidRPr="008E6537">
        <w:t xml:space="preserve"> </w:t>
      </w:r>
      <w:r w:rsidRPr="008E6537">
        <w:t>website.</w:t>
      </w:r>
    </w:p>
    <w:p w14:paraId="31D84B05" w14:textId="08AB1F9F" w:rsidR="000A710E" w:rsidRDefault="00215226" w:rsidP="00443278">
      <w:pPr>
        <w:pStyle w:val="Bullet1"/>
      </w:pPr>
      <w:r w:rsidRPr="008E6537">
        <w:t xml:space="preserve">The accredited Service Provider will maintain its accreditation by providing its services in accordance with its Approved Documents and undertake annual compliance audits as shown in step 10 of </w:t>
      </w:r>
      <w:r w:rsidR="00496C05">
        <w:fldChar w:fldCharType="begin"/>
      </w:r>
      <w:r w:rsidR="00496C05">
        <w:instrText xml:space="preserve"> REF _Ref430784961 \h </w:instrText>
      </w:r>
      <w:r w:rsidR="00496C05">
        <w:fldChar w:fldCharType="separate"/>
      </w:r>
      <w:r w:rsidR="005E404C">
        <w:t xml:space="preserve">Figure </w:t>
      </w:r>
      <w:r w:rsidR="005E404C">
        <w:rPr>
          <w:noProof/>
        </w:rPr>
        <w:t>4</w:t>
      </w:r>
      <w:r w:rsidR="00496C05">
        <w:fldChar w:fldCharType="end"/>
      </w:r>
      <w:r w:rsidRPr="008E6537">
        <w:t>.</w:t>
      </w:r>
    </w:p>
    <w:p w14:paraId="37AB9CFC" w14:textId="77777777" w:rsidR="00215226" w:rsidRPr="00F00731" w:rsidRDefault="00215226" w:rsidP="00443278">
      <w:pPr>
        <w:pStyle w:val="Heading2Numbered"/>
      </w:pPr>
      <w:bookmarkStart w:id="110" w:name="_Toc426636663"/>
      <w:bookmarkStart w:id="111" w:name="_Toc426639947"/>
      <w:bookmarkStart w:id="112" w:name="_Toc430268915"/>
      <w:r w:rsidRPr="00F00731">
        <w:lastRenderedPageBreak/>
        <w:t>Accreditation Requirements</w:t>
      </w:r>
      <w:bookmarkEnd w:id="110"/>
      <w:bookmarkEnd w:id="111"/>
      <w:bookmarkEnd w:id="112"/>
    </w:p>
    <w:p w14:paraId="4DB24125" w14:textId="77777777" w:rsidR="00215226" w:rsidRDefault="00215226" w:rsidP="00DA53F3">
      <w:r w:rsidRPr="008E6537">
        <w:t>Gatekeeper Accreditation provides participants in Gatekeeper PKI deployments with assurance as to the operational competence and protective security of the organisations responsible for the registration, generation, issuance, storage and management of digital keys and certificates.</w:t>
      </w:r>
    </w:p>
    <w:p w14:paraId="4A79FADD" w14:textId="77777777" w:rsidR="00215226" w:rsidRPr="008E6537" w:rsidRDefault="00215226" w:rsidP="00DA53F3">
      <w:r w:rsidRPr="008E6537">
        <w:t>Ongoing compliance with Gatekeeper Policies, Criteria and Approved Documents is mandatory for Service Providers to achieve and maintain Gatekeeper Accreditation.</w:t>
      </w:r>
      <w:r>
        <w:t xml:space="preserve"> </w:t>
      </w:r>
      <w:r w:rsidRPr="008E6537">
        <w:t>The following table lists compliance obligations and to whom they apply.</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5566"/>
        <w:gridCol w:w="636"/>
        <w:gridCol w:w="636"/>
        <w:gridCol w:w="636"/>
        <w:gridCol w:w="1586"/>
      </w:tblGrid>
      <w:tr w:rsidR="00215226" w:rsidRPr="00E9625B" w14:paraId="09F971FD" w14:textId="77777777" w:rsidTr="00DA53F3">
        <w:trPr>
          <w:cnfStyle w:val="100000000000" w:firstRow="1" w:lastRow="0" w:firstColumn="0" w:lastColumn="0" w:oddVBand="0" w:evenVBand="0" w:oddHBand="0" w:evenHBand="0" w:firstRowFirstColumn="0" w:firstRowLastColumn="0" w:lastRowFirstColumn="0" w:lastRowLastColumn="0"/>
          <w:tblHeader/>
        </w:trPr>
        <w:tc>
          <w:tcPr>
            <w:tcW w:w="3072" w:type="pct"/>
          </w:tcPr>
          <w:p w14:paraId="4499C2A2" w14:textId="77777777" w:rsidR="00215226" w:rsidRPr="00E9625B" w:rsidRDefault="00215226" w:rsidP="00FF121B">
            <w:pPr>
              <w:pStyle w:val="Normal-TableText"/>
              <w:spacing w:after="120"/>
            </w:pPr>
            <w:r w:rsidRPr="00E9625B">
              <w:t>Requirement</w:t>
            </w:r>
          </w:p>
        </w:tc>
        <w:tc>
          <w:tcPr>
            <w:tcW w:w="351" w:type="pct"/>
          </w:tcPr>
          <w:p w14:paraId="59CC8C3A" w14:textId="77777777" w:rsidR="00215226" w:rsidRPr="00E9625B" w:rsidRDefault="00215226" w:rsidP="00FF121B">
            <w:pPr>
              <w:pStyle w:val="Normal-TableText"/>
              <w:spacing w:after="120"/>
            </w:pPr>
            <w:bookmarkStart w:id="113" w:name="_Toc426636781"/>
            <w:r w:rsidRPr="00E9625B">
              <w:t>RA</w:t>
            </w:r>
            <w:bookmarkEnd w:id="113"/>
          </w:p>
        </w:tc>
        <w:tc>
          <w:tcPr>
            <w:tcW w:w="351" w:type="pct"/>
          </w:tcPr>
          <w:p w14:paraId="172C82EF" w14:textId="77777777" w:rsidR="00215226" w:rsidRPr="00E9625B" w:rsidRDefault="00215226" w:rsidP="00FF121B">
            <w:pPr>
              <w:pStyle w:val="Normal-TableText"/>
              <w:spacing w:after="120"/>
            </w:pPr>
            <w:bookmarkStart w:id="114" w:name="_Toc426636782"/>
            <w:r w:rsidRPr="00E9625B">
              <w:t>CA</w:t>
            </w:r>
            <w:bookmarkEnd w:id="114"/>
          </w:p>
        </w:tc>
        <w:tc>
          <w:tcPr>
            <w:tcW w:w="351" w:type="pct"/>
          </w:tcPr>
          <w:p w14:paraId="21A7D9F3" w14:textId="77777777" w:rsidR="00215226" w:rsidRPr="00E9625B" w:rsidRDefault="00215226" w:rsidP="00FF121B">
            <w:pPr>
              <w:pStyle w:val="Normal-TableText"/>
              <w:spacing w:after="120"/>
            </w:pPr>
            <w:bookmarkStart w:id="115" w:name="_Toc426636783"/>
            <w:r w:rsidRPr="00E9625B">
              <w:t>VA</w:t>
            </w:r>
            <w:bookmarkEnd w:id="115"/>
          </w:p>
        </w:tc>
        <w:tc>
          <w:tcPr>
            <w:tcW w:w="876" w:type="pct"/>
          </w:tcPr>
          <w:p w14:paraId="3F6111EC" w14:textId="77777777" w:rsidR="00215226" w:rsidRPr="00E9625B" w:rsidRDefault="00215226" w:rsidP="00FF121B">
            <w:pPr>
              <w:pStyle w:val="Normal-TableText"/>
              <w:spacing w:after="120"/>
            </w:pPr>
            <w:r w:rsidRPr="00E9625B">
              <w:t>Section</w:t>
            </w:r>
          </w:p>
        </w:tc>
      </w:tr>
      <w:tr w:rsidR="00215226" w:rsidRPr="00E9625B" w14:paraId="4DCE15B8" w14:textId="77777777" w:rsidTr="00BD2B67">
        <w:tc>
          <w:tcPr>
            <w:tcW w:w="5000" w:type="pct"/>
            <w:gridSpan w:val="5"/>
            <w:shd w:val="clear" w:color="auto" w:fill="DEEAF6" w:themeFill="accent1" w:themeFillTint="33"/>
          </w:tcPr>
          <w:p w14:paraId="4196B5ED" w14:textId="77777777" w:rsidR="00215226" w:rsidRPr="00E9625B" w:rsidRDefault="00215226" w:rsidP="00FF121B">
            <w:pPr>
              <w:pStyle w:val="Normal-TableText"/>
              <w:spacing w:after="120"/>
            </w:pPr>
            <w:r w:rsidRPr="00E9625B">
              <w:t>Gatekeeper Policies</w:t>
            </w:r>
          </w:p>
        </w:tc>
      </w:tr>
      <w:tr w:rsidR="00215226" w:rsidRPr="00E9625B" w14:paraId="74675B16" w14:textId="77777777" w:rsidTr="00DA53F3">
        <w:tc>
          <w:tcPr>
            <w:tcW w:w="3072" w:type="pct"/>
          </w:tcPr>
          <w:p w14:paraId="76241EC3" w14:textId="77777777" w:rsidR="00215226" w:rsidRPr="00E9625B" w:rsidRDefault="00215226" w:rsidP="00FF121B">
            <w:pPr>
              <w:pStyle w:val="Normal-TableText"/>
              <w:spacing w:after="120"/>
            </w:pPr>
            <w:r w:rsidRPr="00E9625B">
              <w:t>Core Obligations Policy</w:t>
            </w:r>
          </w:p>
        </w:tc>
        <w:tc>
          <w:tcPr>
            <w:tcW w:w="351" w:type="pct"/>
          </w:tcPr>
          <w:p w14:paraId="62BD26C2" w14:textId="77777777" w:rsidR="00215226" w:rsidRPr="00E9625B" w:rsidRDefault="00215226" w:rsidP="00FF121B">
            <w:pPr>
              <w:pStyle w:val="Normal-TableText"/>
              <w:spacing w:after="120"/>
            </w:pPr>
            <w:r w:rsidRPr="00E9625B">
              <w:t>X</w:t>
            </w:r>
          </w:p>
        </w:tc>
        <w:tc>
          <w:tcPr>
            <w:tcW w:w="351" w:type="pct"/>
          </w:tcPr>
          <w:p w14:paraId="0D84CD80" w14:textId="77777777" w:rsidR="00215226" w:rsidRPr="00E9625B" w:rsidRDefault="00215226" w:rsidP="00FF121B">
            <w:pPr>
              <w:pStyle w:val="Normal-TableText"/>
              <w:spacing w:after="120"/>
            </w:pPr>
            <w:r w:rsidRPr="00E9625B">
              <w:t>X</w:t>
            </w:r>
          </w:p>
        </w:tc>
        <w:tc>
          <w:tcPr>
            <w:tcW w:w="351" w:type="pct"/>
          </w:tcPr>
          <w:p w14:paraId="3ACC65FE" w14:textId="77777777" w:rsidR="00215226" w:rsidRPr="00E9625B" w:rsidRDefault="00215226" w:rsidP="00FF121B">
            <w:pPr>
              <w:pStyle w:val="Normal-TableText"/>
              <w:spacing w:after="120"/>
            </w:pPr>
            <w:r w:rsidRPr="00E9625B">
              <w:t>X</w:t>
            </w:r>
          </w:p>
        </w:tc>
        <w:tc>
          <w:tcPr>
            <w:tcW w:w="876" w:type="pct"/>
          </w:tcPr>
          <w:p w14:paraId="4E71877B" w14:textId="77777777" w:rsidR="00215226" w:rsidRPr="00E9625B" w:rsidRDefault="00215226" w:rsidP="00FF121B">
            <w:pPr>
              <w:pStyle w:val="Normal-TableText"/>
              <w:spacing w:after="120"/>
            </w:pPr>
            <w:r w:rsidRPr="00E9625B">
              <w:t>6</w:t>
            </w:r>
          </w:p>
        </w:tc>
      </w:tr>
      <w:tr w:rsidR="00215226" w:rsidRPr="00E9625B" w14:paraId="1CC28B16" w14:textId="77777777" w:rsidTr="00DA53F3">
        <w:tc>
          <w:tcPr>
            <w:tcW w:w="3072" w:type="pct"/>
          </w:tcPr>
          <w:p w14:paraId="3C1E604A" w14:textId="77777777" w:rsidR="00215226" w:rsidRPr="00E9625B" w:rsidRDefault="00215226" w:rsidP="00FF121B">
            <w:pPr>
              <w:pStyle w:val="Normal-TableText"/>
              <w:spacing w:after="120"/>
            </w:pPr>
            <w:r w:rsidRPr="00E9625B">
              <w:t>Gatekeeper Mandatory Security Requirements</w:t>
            </w:r>
          </w:p>
        </w:tc>
        <w:tc>
          <w:tcPr>
            <w:tcW w:w="351" w:type="pct"/>
          </w:tcPr>
          <w:p w14:paraId="7460D61D" w14:textId="77777777" w:rsidR="00215226" w:rsidRPr="00E9625B" w:rsidRDefault="00215226" w:rsidP="00FF121B">
            <w:pPr>
              <w:pStyle w:val="Normal-TableText"/>
              <w:spacing w:after="120"/>
            </w:pPr>
            <w:r w:rsidRPr="00E9625B">
              <w:t>X</w:t>
            </w:r>
          </w:p>
        </w:tc>
        <w:tc>
          <w:tcPr>
            <w:tcW w:w="351" w:type="pct"/>
          </w:tcPr>
          <w:p w14:paraId="42031191" w14:textId="77777777" w:rsidR="00215226" w:rsidRPr="00E9625B" w:rsidRDefault="00215226" w:rsidP="00FF121B">
            <w:pPr>
              <w:pStyle w:val="Normal-TableText"/>
              <w:spacing w:after="120"/>
            </w:pPr>
            <w:r w:rsidRPr="00E9625B">
              <w:t>X</w:t>
            </w:r>
          </w:p>
        </w:tc>
        <w:tc>
          <w:tcPr>
            <w:tcW w:w="351" w:type="pct"/>
          </w:tcPr>
          <w:p w14:paraId="0AC5CB69" w14:textId="77777777" w:rsidR="00215226" w:rsidRPr="00E9625B" w:rsidRDefault="00215226" w:rsidP="00FF121B">
            <w:pPr>
              <w:pStyle w:val="Normal-TableText"/>
              <w:spacing w:after="120"/>
            </w:pPr>
            <w:r w:rsidRPr="00E9625B">
              <w:t>X</w:t>
            </w:r>
          </w:p>
        </w:tc>
        <w:tc>
          <w:tcPr>
            <w:tcW w:w="876" w:type="pct"/>
          </w:tcPr>
          <w:p w14:paraId="6119258D" w14:textId="77777777" w:rsidR="00215226" w:rsidRPr="00E9625B" w:rsidRDefault="00215226" w:rsidP="00FF121B">
            <w:pPr>
              <w:pStyle w:val="Normal-TableText"/>
              <w:spacing w:after="120"/>
            </w:pPr>
            <w:r w:rsidRPr="00E9625B">
              <w:t>7</w:t>
            </w:r>
          </w:p>
        </w:tc>
      </w:tr>
      <w:tr w:rsidR="00215226" w:rsidRPr="00E9625B" w14:paraId="65CD65B2" w14:textId="77777777" w:rsidTr="00DA53F3">
        <w:tc>
          <w:tcPr>
            <w:tcW w:w="3072" w:type="pct"/>
          </w:tcPr>
          <w:p w14:paraId="6E5E7DF1" w14:textId="77777777" w:rsidR="00215226" w:rsidRPr="00E9625B" w:rsidRDefault="00215226" w:rsidP="00FF121B">
            <w:pPr>
              <w:pStyle w:val="Normal-TableText"/>
              <w:spacing w:after="120"/>
            </w:pPr>
            <w:r w:rsidRPr="00E9625B">
              <w:t xml:space="preserve">Identity Proofing </w:t>
            </w:r>
          </w:p>
        </w:tc>
        <w:tc>
          <w:tcPr>
            <w:tcW w:w="351" w:type="pct"/>
          </w:tcPr>
          <w:p w14:paraId="3A12742C" w14:textId="77777777" w:rsidR="00215226" w:rsidRPr="00E9625B" w:rsidRDefault="00215226" w:rsidP="00FF121B">
            <w:pPr>
              <w:pStyle w:val="Normal-TableText"/>
              <w:spacing w:after="120"/>
            </w:pPr>
            <w:r w:rsidRPr="00E9625B">
              <w:t>X</w:t>
            </w:r>
          </w:p>
        </w:tc>
        <w:tc>
          <w:tcPr>
            <w:tcW w:w="351" w:type="pct"/>
          </w:tcPr>
          <w:p w14:paraId="70FF8BEE" w14:textId="77777777" w:rsidR="00215226" w:rsidRPr="00E9625B" w:rsidRDefault="00215226" w:rsidP="00FF121B">
            <w:pPr>
              <w:pStyle w:val="Normal-TableText"/>
              <w:spacing w:after="120"/>
            </w:pPr>
          </w:p>
        </w:tc>
        <w:tc>
          <w:tcPr>
            <w:tcW w:w="351" w:type="pct"/>
          </w:tcPr>
          <w:p w14:paraId="16A82266" w14:textId="77777777" w:rsidR="00215226" w:rsidRPr="00E9625B" w:rsidRDefault="00215226" w:rsidP="00FF121B">
            <w:pPr>
              <w:pStyle w:val="Normal-TableText"/>
              <w:spacing w:after="120"/>
            </w:pPr>
          </w:p>
        </w:tc>
        <w:tc>
          <w:tcPr>
            <w:tcW w:w="876" w:type="pct"/>
          </w:tcPr>
          <w:p w14:paraId="4B3C5D20" w14:textId="77777777" w:rsidR="00215226" w:rsidRPr="00E9625B" w:rsidRDefault="00215226" w:rsidP="00FF121B">
            <w:pPr>
              <w:pStyle w:val="Normal-TableText"/>
              <w:spacing w:after="120"/>
            </w:pPr>
            <w:r w:rsidRPr="00E9625B">
              <w:t>10.6 &amp; 10.7</w:t>
            </w:r>
          </w:p>
        </w:tc>
      </w:tr>
      <w:tr w:rsidR="00215226" w:rsidRPr="00E9625B" w14:paraId="4648BE1A" w14:textId="77777777" w:rsidTr="009A65CF">
        <w:tc>
          <w:tcPr>
            <w:tcW w:w="5000" w:type="pct"/>
            <w:gridSpan w:val="5"/>
            <w:shd w:val="clear" w:color="auto" w:fill="DEEAF6" w:themeFill="accent1" w:themeFillTint="33"/>
          </w:tcPr>
          <w:p w14:paraId="13C34C09" w14:textId="42226C7F" w:rsidR="00215226" w:rsidRPr="00E9625B" w:rsidRDefault="00215226" w:rsidP="00FF121B">
            <w:pPr>
              <w:pStyle w:val="Normal-TableText"/>
              <w:spacing w:after="120"/>
            </w:pPr>
            <w:r w:rsidRPr="00E9625B">
              <w:t xml:space="preserve">Gatekeeper Criteria </w:t>
            </w:r>
          </w:p>
        </w:tc>
      </w:tr>
      <w:tr w:rsidR="00215226" w:rsidRPr="00E9625B" w14:paraId="7DF43F65" w14:textId="77777777" w:rsidTr="00DA53F3">
        <w:tc>
          <w:tcPr>
            <w:tcW w:w="3072" w:type="pct"/>
          </w:tcPr>
          <w:p w14:paraId="6FB1B433" w14:textId="77777777" w:rsidR="00215226" w:rsidRPr="00E9625B" w:rsidRDefault="00215226" w:rsidP="00FF121B">
            <w:pPr>
              <w:pStyle w:val="Normal-TableText"/>
              <w:spacing w:after="120"/>
            </w:pPr>
            <w:r w:rsidRPr="00E9625B">
              <w:t>Privacy Impact Assessment</w:t>
            </w:r>
          </w:p>
        </w:tc>
        <w:tc>
          <w:tcPr>
            <w:tcW w:w="351" w:type="pct"/>
          </w:tcPr>
          <w:p w14:paraId="0F5AF0AE" w14:textId="77777777" w:rsidR="00215226" w:rsidRPr="00E9625B" w:rsidRDefault="00215226" w:rsidP="00FF121B">
            <w:pPr>
              <w:pStyle w:val="Normal-TableText"/>
              <w:spacing w:after="120"/>
            </w:pPr>
            <w:r w:rsidRPr="00E9625B">
              <w:t>X</w:t>
            </w:r>
          </w:p>
        </w:tc>
        <w:tc>
          <w:tcPr>
            <w:tcW w:w="351" w:type="pct"/>
          </w:tcPr>
          <w:p w14:paraId="2ED00945" w14:textId="77777777" w:rsidR="00215226" w:rsidRPr="00E9625B" w:rsidRDefault="00215226" w:rsidP="00FF121B">
            <w:pPr>
              <w:pStyle w:val="Normal-TableText"/>
              <w:spacing w:after="120"/>
            </w:pPr>
            <w:r w:rsidRPr="00E9625B">
              <w:t>X</w:t>
            </w:r>
          </w:p>
        </w:tc>
        <w:tc>
          <w:tcPr>
            <w:tcW w:w="351" w:type="pct"/>
          </w:tcPr>
          <w:p w14:paraId="7E006F88" w14:textId="77777777" w:rsidR="00215226" w:rsidRPr="00E9625B" w:rsidRDefault="00215226" w:rsidP="00FF121B">
            <w:pPr>
              <w:pStyle w:val="Normal-TableText"/>
              <w:spacing w:after="120"/>
            </w:pPr>
            <w:r w:rsidRPr="00E9625B">
              <w:t>X</w:t>
            </w:r>
          </w:p>
        </w:tc>
        <w:tc>
          <w:tcPr>
            <w:tcW w:w="876" w:type="pct"/>
          </w:tcPr>
          <w:p w14:paraId="71C3C1F1" w14:textId="77777777" w:rsidR="00215226" w:rsidRPr="00E9625B" w:rsidRDefault="00215226" w:rsidP="00FF121B">
            <w:pPr>
              <w:pStyle w:val="Normal-TableText"/>
              <w:spacing w:after="120"/>
            </w:pPr>
            <w:r w:rsidRPr="00E9625B">
              <w:t>8.2</w:t>
            </w:r>
          </w:p>
        </w:tc>
      </w:tr>
      <w:tr w:rsidR="00215226" w:rsidRPr="00E9625B" w14:paraId="47E17288" w14:textId="77777777" w:rsidTr="00DA53F3">
        <w:tc>
          <w:tcPr>
            <w:tcW w:w="3072" w:type="pct"/>
          </w:tcPr>
          <w:p w14:paraId="1E3107D8" w14:textId="77777777" w:rsidR="00215226" w:rsidRPr="00E9625B" w:rsidRDefault="00215226" w:rsidP="00FF121B">
            <w:pPr>
              <w:pStyle w:val="Normal-TableText"/>
              <w:spacing w:after="120"/>
            </w:pPr>
            <w:r w:rsidRPr="00E9625B">
              <w:t>Information Security Registered Assessors Program</w:t>
            </w:r>
          </w:p>
        </w:tc>
        <w:tc>
          <w:tcPr>
            <w:tcW w:w="351" w:type="pct"/>
          </w:tcPr>
          <w:p w14:paraId="5A06B093" w14:textId="77777777" w:rsidR="00215226" w:rsidRPr="00E9625B" w:rsidRDefault="00215226" w:rsidP="00FF121B">
            <w:pPr>
              <w:pStyle w:val="Normal-TableText"/>
              <w:spacing w:after="120"/>
            </w:pPr>
            <w:r w:rsidRPr="00E9625B">
              <w:t>X</w:t>
            </w:r>
          </w:p>
        </w:tc>
        <w:tc>
          <w:tcPr>
            <w:tcW w:w="351" w:type="pct"/>
          </w:tcPr>
          <w:p w14:paraId="4DB0DFB4" w14:textId="77777777" w:rsidR="00215226" w:rsidRPr="00E9625B" w:rsidRDefault="00215226" w:rsidP="00FF121B">
            <w:pPr>
              <w:pStyle w:val="Normal-TableText"/>
              <w:spacing w:after="120"/>
            </w:pPr>
            <w:r w:rsidRPr="00E9625B">
              <w:t>X</w:t>
            </w:r>
          </w:p>
        </w:tc>
        <w:tc>
          <w:tcPr>
            <w:tcW w:w="351" w:type="pct"/>
          </w:tcPr>
          <w:p w14:paraId="1582D03D" w14:textId="77777777" w:rsidR="00215226" w:rsidRPr="00E9625B" w:rsidRDefault="00215226" w:rsidP="00FF121B">
            <w:pPr>
              <w:pStyle w:val="Normal-TableText"/>
              <w:spacing w:after="120"/>
            </w:pPr>
            <w:r w:rsidRPr="00E9625B">
              <w:t>X</w:t>
            </w:r>
          </w:p>
        </w:tc>
        <w:tc>
          <w:tcPr>
            <w:tcW w:w="876" w:type="pct"/>
          </w:tcPr>
          <w:p w14:paraId="567B7173" w14:textId="77777777" w:rsidR="00215226" w:rsidRPr="00E9625B" w:rsidRDefault="00215226" w:rsidP="00FF121B">
            <w:pPr>
              <w:pStyle w:val="Normal-TableText"/>
              <w:spacing w:after="120"/>
            </w:pPr>
            <w:r w:rsidRPr="00E9625B">
              <w:t>8.1</w:t>
            </w:r>
          </w:p>
          <w:p w14:paraId="58BC38F2" w14:textId="77777777" w:rsidR="00215226" w:rsidRPr="00E9625B" w:rsidRDefault="00215226" w:rsidP="00FF121B">
            <w:pPr>
              <w:pStyle w:val="Normal-TableText"/>
              <w:spacing w:after="120"/>
            </w:pPr>
            <w:r w:rsidRPr="00E9625B">
              <w:t>See [IRAP]</w:t>
            </w:r>
          </w:p>
        </w:tc>
      </w:tr>
      <w:tr w:rsidR="00215226" w:rsidRPr="00E9625B" w14:paraId="2D4D1174" w14:textId="77777777" w:rsidTr="00DA53F3">
        <w:tc>
          <w:tcPr>
            <w:tcW w:w="3072" w:type="pct"/>
          </w:tcPr>
          <w:p w14:paraId="2EF3A459" w14:textId="77777777" w:rsidR="00215226" w:rsidRPr="00E9625B" w:rsidRDefault="00215226" w:rsidP="00FF121B">
            <w:pPr>
              <w:pStyle w:val="Normal-TableText"/>
              <w:spacing w:after="120"/>
            </w:pPr>
            <w:r w:rsidRPr="00E9625B">
              <w:t>Annual Compliance Audits</w:t>
            </w:r>
          </w:p>
        </w:tc>
        <w:tc>
          <w:tcPr>
            <w:tcW w:w="351" w:type="pct"/>
          </w:tcPr>
          <w:p w14:paraId="53F4B51C" w14:textId="77777777" w:rsidR="00215226" w:rsidRPr="00E9625B" w:rsidRDefault="00215226" w:rsidP="00FF121B">
            <w:pPr>
              <w:pStyle w:val="Normal-TableText"/>
              <w:spacing w:after="120"/>
            </w:pPr>
            <w:r w:rsidRPr="00E9625B">
              <w:t>X</w:t>
            </w:r>
          </w:p>
        </w:tc>
        <w:tc>
          <w:tcPr>
            <w:tcW w:w="351" w:type="pct"/>
          </w:tcPr>
          <w:p w14:paraId="6DD4D7A6" w14:textId="77777777" w:rsidR="00215226" w:rsidRPr="00E9625B" w:rsidRDefault="00215226" w:rsidP="00FF121B">
            <w:pPr>
              <w:pStyle w:val="Normal-TableText"/>
              <w:spacing w:after="120"/>
            </w:pPr>
            <w:r w:rsidRPr="00E9625B">
              <w:t>X</w:t>
            </w:r>
          </w:p>
        </w:tc>
        <w:tc>
          <w:tcPr>
            <w:tcW w:w="351" w:type="pct"/>
          </w:tcPr>
          <w:p w14:paraId="1961EB66" w14:textId="77777777" w:rsidR="00215226" w:rsidRPr="00E9625B" w:rsidRDefault="00215226" w:rsidP="00FF121B">
            <w:pPr>
              <w:pStyle w:val="Normal-TableText"/>
              <w:spacing w:after="120"/>
            </w:pPr>
            <w:r w:rsidRPr="00E9625B">
              <w:t>X</w:t>
            </w:r>
          </w:p>
        </w:tc>
        <w:tc>
          <w:tcPr>
            <w:tcW w:w="876" w:type="pct"/>
          </w:tcPr>
          <w:p w14:paraId="5C9077B4" w14:textId="77777777" w:rsidR="00215226" w:rsidRPr="00E9625B" w:rsidRDefault="00215226" w:rsidP="00FF121B">
            <w:pPr>
              <w:pStyle w:val="Normal-TableText"/>
              <w:spacing w:after="120"/>
            </w:pPr>
            <w:r w:rsidRPr="00E9625B">
              <w:t>See [GCAP]</w:t>
            </w:r>
          </w:p>
        </w:tc>
      </w:tr>
      <w:tr w:rsidR="00215226" w:rsidRPr="00E9625B" w14:paraId="15AF1180" w14:textId="77777777" w:rsidTr="00BD2B67">
        <w:tc>
          <w:tcPr>
            <w:tcW w:w="5000" w:type="pct"/>
            <w:gridSpan w:val="5"/>
            <w:shd w:val="clear" w:color="auto" w:fill="DEEAF6" w:themeFill="accent1" w:themeFillTint="33"/>
          </w:tcPr>
          <w:p w14:paraId="00A3598C" w14:textId="77777777" w:rsidR="00215226" w:rsidRPr="00E9625B" w:rsidRDefault="00215226" w:rsidP="00FF121B">
            <w:pPr>
              <w:pStyle w:val="Normal-TableText"/>
              <w:spacing w:after="120"/>
            </w:pPr>
            <w:r w:rsidRPr="00E9625B">
              <w:t>Gatekeeper Approved Documents</w:t>
            </w:r>
          </w:p>
        </w:tc>
      </w:tr>
      <w:tr w:rsidR="00215226" w:rsidRPr="00E9625B" w14:paraId="59B76414" w14:textId="77777777" w:rsidTr="00DA53F3">
        <w:tc>
          <w:tcPr>
            <w:tcW w:w="3072" w:type="pct"/>
          </w:tcPr>
          <w:p w14:paraId="783F1378" w14:textId="77777777" w:rsidR="00215226" w:rsidRPr="00E9625B" w:rsidRDefault="00215226" w:rsidP="00FF121B">
            <w:pPr>
              <w:pStyle w:val="Normal-TableText"/>
              <w:spacing w:after="120"/>
            </w:pPr>
            <w:r w:rsidRPr="00E9625B">
              <w:t>Information Security Policy</w:t>
            </w:r>
          </w:p>
        </w:tc>
        <w:tc>
          <w:tcPr>
            <w:tcW w:w="351" w:type="pct"/>
          </w:tcPr>
          <w:p w14:paraId="26DAE23C" w14:textId="77777777" w:rsidR="00215226" w:rsidRPr="00E9625B" w:rsidRDefault="00215226" w:rsidP="00FF121B">
            <w:pPr>
              <w:pStyle w:val="Normal-TableText"/>
              <w:spacing w:after="120"/>
            </w:pPr>
            <w:r w:rsidRPr="00E9625B">
              <w:t>X</w:t>
            </w:r>
          </w:p>
        </w:tc>
        <w:tc>
          <w:tcPr>
            <w:tcW w:w="351" w:type="pct"/>
          </w:tcPr>
          <w:p w14:paraId="3625EECA" w14:textId="77777777" w:rsidR="00215226" w:rsidRPr="00E9625B" w:rsidRDefault="00215226" w:rsidP="00FF121B">
            <w:pPr>
              <w:pStyle w:val="Normal-TableText"/>
              <w:spacing w:after="120"/>
            </w:pPr>
            <w:r w:rsidRPr="00E9625B">
              <w:t>X</w:t>
            </w:r>
          </w:p>
        </w:tc>
        <w:tc>
          <w:tcPr>
            <w:tcW w:w="351" w:type="pct"/>
          </w:tcPr>
          <w:p w14:paraId="684690CD" w14:textId="77777777" w:rsidR="00215226" w:rsidRPr="00E9625B" w:rsidRDefault="00215226" w:rsidP="00FF121B">
            <w:pPr>
              <w:pStyle w:val="Normal-TableText"/>
              <w:spacing w:after="120"/>
            </w:pPr>
            <w:r w:rsidRPr="00E9625B">
              <w:t>X</w:t>
            </w:r>
          </w:p>
        </w:tc>
        <w:tc>
          <w:tcPr>
            <w:tcW w:w="876" w:type="pct"/>
          </w:tcPr>
          <w:p w14:paraId="762DE502" w14:textId="77777777" w:rsidR="00215226" w:rsidRPr="00E9625B" w:rsidRDefault="00215226" w:rsidP="00FF121B">
            <w:pPr>
              <w:pStyle w:val="Normal-TableText"/>
              <w:spacing w:after="120"/>
            </w:pPr>
            <w:r w:rsidRPr="00E9625B">
              <w:t>9.2</w:t>
            </w:r>
          </w:p>
        </w:tc>
      </w:tr>
      <w:tr w:rsidR="00215226" w:rsidRPr="00E9625B" w14:paraId="5223E56B" w14:textId="77777777" w:rsidTr="00DA53F3">
        <w:tc>
          <w:tcPr>
            <w:tcW w:w="3072" w:type="pct"/>
          </w:tcPr>
          <w:p w14:paraId="6B8731E6" w14:textId="77777777" w:rsidR="00215226" w:rsidRPr="00E9625B" w:rsidRDefault="00215226" w:rsidP="00FF121B">
            <w:pPr>
              <w:pStyle w:val="Normal-TableText"/>
              <w:spacing w:after="120"/>
            </w:pPr>
            <w:r w:rsidRPr="00E9625B">
              <w:t>Protective Security Risk Review</w:t>
            </w:r>
          </w:p>
        </w:tc>
        <w:tc>
          <w:tcPr>
            <w:tcW w:w="351" w:type="pct"/>
          </w:tcPr>
          <w:p w14:paraId="3C922E34" w14:textId="77777777" w:rsidR="00215226" w:rsidRPr="00E9625B" w:rsidRDefault="00215226" w:rsidP="00FF121B">
            <w:pPr>
              <w:pStyle w:val="Normal-TableText"/>
              <w:spacing w:after="120"/>
            </w:pPr>
            <w:r w:rsidRPr="00E9625B">
              <w:t>X</w:t>
            </w:r>
          </w:p>
        </w:tc>
        <w:tc>
          <w:tcPr>
            <w:tcW w:w="351" w:type="pct"/>
          </w:tcPr>
          <w:p w14:paraId="4F035F3A" w14:textId="77777777" w:rsidR="00215226" w:rsidRPr="00E9625B" w:rsidRDefault="00215226" w:rsidP="00FF121B">
            <w:pPr>
              <w:pStyle w:val="Normal-TableText"/>
              <w:spacing w:after="120"/>
            </w:pPr>
            <w:r w:rsidRPr="00E9625B">
              <w:t>X</w:t>
            </w:r>
          </w:p>
        </w:tc>
        <w:tc>
          <w:tcPr>
            <w:tcW w:w="351" w:type="pct"/>
          </w:tcPr>
          <w:p w14:paraId="4F6901D8" w14:textId="77777777" w:rsidR="00215226" w:rsidRPr="00E9625B" w:rsidRDefault="00215226" w:rsidP="00FF121B">
            <w:pPr>
              <w:pStyle w:val="Normal-TableText"/>
              <w:spacing w:after="120"/>
            </w:pPr>
            <w:r w:rsidRPr="00E9625B">
              <w:t>X</w:t>
            </w:r>
          </w:p>
        </w:tc>
        <w:tc>
          <w:tcPr>
            <w:tcW w:w="876" w:type="pct"/>
          </w:tcPr>
          <w:p w14:paraId="0A78AA24" w14:textId="77777777" w:rsidR="00215226" w:rsidRPr="00E9625B" w:rsidRDefault="00215226" w:rsidP="00FF121B">
            <w:pPr>
              <w:pStyle w:val="Normal-TableText"/>
              <w:spacing w:after="120"/>
            </w:pPr>
            <w:r w:rsidRPr="00E9625B">
              <w:t>9.3</w:t>
            </w:r>
          </w:p>
        </w:tc>
      </w:tr>
      <w:tr w:rsidR="00215226" w:rsidRPr="00E9625B" w14:paraId="3D6D9682" w14:textId="77777777" w:rsidTr="00DA53F3">
        <w:tc>
          <w:tcPr>
            <w:tcW w:w="3072" w:type="pct"/>
          </w:tcPr>
          <w:p w14:paraId="46251881" w14:textId="77777777" w:rsidR="00215226" w:rsidRPr="00E9625B" w:rsidRDefault="00215226" w:rsidP="00FF121B">
            <w:pPr>
              <w:pStyle w:val="Normal-TableText"/>
              <w:spacing w:after="120"/>
            </w:pPr>
            <w:r w:rsidRPr="00E9625B">
              <w:t>Security Risk Management Plan</w:t>
            </w:r>
          </w:p>
        </w:tc>
        <w:tc>
          <w:tcPr>
            <w:tcW w:w="351" w:type="pct"/>
          </w:tcPr>
          <w:p w14:paraId="1829F684" w14:textId="77777777" w:rsidR="00215226" w:rsidRPr="00E9625B" w:rsidRDefault="00215226" w:rsidP="00FF121B">
            <w:pPr>
              <w:pStyle w:val="Normal-TableText"/>
              <w:spacing w:after="120"/>
            </w:pPr>
            <w:r w:rsidRPr="00E9625B">
              <w:t>X</w:t>
            </w:r>
          </w:p>
        </w:tc>
        <w:tc>
          <w:tcPr>
            <w:tcW w:w="351" w:type="pct"/>
          </w:tcPr>
          <w:p w14:paraId="1CE2DDC7" w14:textId="77777777" w:rsidR="00215226" w:rsidRPr="00E9625B" w:rsidRDefault="00215226" w:rsidP="00FF121B">
            <w:pPr>
              <w:pStyle w:val="Normal-TableText"/>
              <w:spacing w:after="120"/>
            </w:pPr>
            <w:r w:rsidRPr="00E9625B">
              <w:t>X</w:t>
            </w:r>
          </w:p>
        </w:tc>
        <w:tc>
          <w:tcPr>
            <w:tcW w:w="351" w:type="pct"/>
          </w:tcPr>
          <w:p w14:paraId="4662DB22" w14:textId="77777777" w:rsidR="00215226" w:rsidRPr="00E9625B" w:rsidRDefault="00215226" w:rsidP="00FF121B">
            <w:pPr>
              <w:pStyle w:val="Normal-TableText"/>
              <w:spacing w:after="120"/>
            </w:pPr>
            <w:r w:rsidRPr="00E9625B">
              <w:t>X</w:t>
            </w:r>
          </w:p>
        </w:tc>
        <w:tc>
          <w:tcPr>
            <w:tcW w:w="876" w:type="pct"/>
          </w:tcPr>
          <w:p w14:paraId="597D77E6" w14:textId="77777777" w:rsidR="00215226" w:rsidRPr="00E9625B" w:rsidRDefault="00215226" w:rsidP="00FF121B">
            <w:pPr>
              <w:pStyle w:val="Normal-TableText"/>
              <w:spacing w:after="120"/>
            </w:pPr>
            <w:r w:rsidRPr="00E9625B">
              <w:t>9.4</w:t>
            </w:r>
          </w:p>
        </w:tc>
      </w:tr>
      <w:tr w:rsidR="00215226" w:rsidRPr="00E9625B" w14:paraId="020222F7" w14:textId="77777777" w:rsidTr="00DA53F3">
        <w:tc>
          <w:tcPr>
            <w:tcW w:w="3072" w:type="pct"/>
          </w:tcPr>
          <w:p w14:paraId="3033DEE8" w14:textId="77777777" w:rsidR="00215226" w:rsidRPr="00E9625B" w:rsidRDefault="00215226" w:rsidP="00FF121B">
            <w:pPr>
              <w:pStyle w:val="Normal-TableText"/>
              <w:spacing w:after="120"/>
            </w:pPr>
            <w:r w:rsidRPr="00E9625B">
              <w:t>System Security Plan</w:t>
            </w:r>
          </w:p>
        </w:tc>
        <w:tc>
          <w:tcPr>
            <w:tcW w:w="351" w:type="pct"/>
          </w:tcPr>
          <w:p w14:paraId="50FB306A" w14:textId="77777777" w:rsidR="00215226" w:rsidRPr="00E9625B" w:rsidRDefault="00215226" w:rsidP="00FF121B">
            <w:pPr>
              <w:pStyle w:val="Normal-TableText"/>
              <w:spacing w:after="120"/>
            </w:pPr>
            <w:r w:rsidRPr="00E9625B">
              <w:t>X</w:t>
            </w:r>
          </w:p>
        </w:tc>
        <w:tc>
          <w:tcPr>
            <w:tcW w:w="351" w:type="pct"/>
          </w:tcPr>
          <w:p w14:paraId="4F7D2CF2" w14:textId="77777777" w:rsidR="00215226" w:rsidRPr="00E9625B" w:rsidRDefault="00215226" w:rsidP="00FF121B">
            <w:pPr>
              <w:pStyle w:val="Normal-TableText"/>
              <w:spacing w:after="120"/>
            </w:pPr>
            <w:r w:rsidRPr="00E9625B">
              <w:t>X</w:t>
            </w:r>
          </w:p>
        </w:tc>
        <w:tc>
          <w:tcPr>
            <w:tcW w:w="351" w:type="pct"/>
          </w:tcPr>
          <w:p w14:paraId="103222F9" w14:textId="77777777" w:rsidR="00215226" w:rsidRPr="00E9625B" w:rsidRDefault="00215226" w:rsidP="00FF121B">
            <w:pPr>
              <w:pStyle w:val="Normal-TableText"/>
              <w:spacing w:after="120"/>
            </w:pPr>
            <w:r w:rsidRPr="00E9625B">
              <w:t>X</w:t>
            </w:r>
          </w:p>
        </w:tc>
        <w:tc>
          <w:tcPr>
            <w:tcW w:w="876" w:type="pct"/>
          </w:tcPr>
          <w:p w14:paraId="6E7462E0" w14:textId="77777777" w:rsidR="00215226" w:rsidRPr="00E9625B" w:rsidRDefault="00215226" w:rsidP="00FF121B">
            <w:pPr>
              <w:pStyle w:val="Normal-TableText"/>
              <w:spacing w:after="120"/>
            </w:pPr>
            <w:r w:rsidRPr="00E9625B">
              <w:t>9.5</w:t>
            </w:r>
          </w:p>
        </w:tc>
      </w:tr>
      <w:tr w:rsidR="00215226" w:rsidRPr="00E9625B" w14:paraId="5F8A460E" w14:textId="77777777" w:rsidTr="00DA53F3">
        <w:tc>
          <w:tcPr>
            <w:tcW w:w="3072" w:type="pct"/>
          </w:tcPr>
          <w:p w14:paraId="27040D50" w14:textId="77777777" w:rsidR="00215226" w:rsidRPr="00E9625B" w:rsidRDefault="00215226" w:rsidP="00FF121B">
            <w:pPr>
              <w:pStyle w:val="Normal-TableText"/>
              <w:spacing w:after="120"/>
            </w:pPr>
            <w:r w:rsidRPr="00E9625B">
              <w:t>Physical and Environmental Security Plan</w:t>
            </w:r>
          </w:p>
        </w:tc>
        <w:tc>
          <w:tcPr>
            <w:tcW w:w="351" w:type="pct"/>
          </w:tcPr>
          <w:p w14:paraId="617F76A7" w14:textId="77777777" w:rsidR="00215226" w:rsidRPr="00E9625B" w:rsidRDefault="00215226" w:rsidP="00FF121B">
            <w:pPr>
              <w:pStyle w:val="Normal-TableText"/>
              <w:spacing w:after="120"/>
            </w:pPr>
            <w:r w:rsidRPr="00E9625B">
              <w:t>X</w:t>
            </w:r>
          </w:p>
        </w:tc>
        <w:tc>
          <w:tcPr>
            <w:tcW w:w="351" w:type="pct"/>
          </w:tcPr>
          <w:p w14:paraId="71F7C52C" w14:textId="77777777" w:rsidR="00215226" w:rsidRPr="00E9625B" w:rsidRDefault="00215226" w:rsidP="00FF121B">
            <w:pPr>
              <w:pStyle w:val="Normal-TableText"/>
              <w:spacing w:after="120"/>
            </w:pPr>
            <w:r w:rsidRPr="00E9625B">
              <w:t>X</w:t>
            </w:r>
          </w:p>
        </w:tc>
        <w:tc>
          <w:tcPr>
            <w:tcW w:w="351" w:type="pct"/>
          </w:tcPr>
          <w:p w14:paraId="49542763" w14:textId="77777777" w:rsidR="00215226" w:rsidRPr="00E9625B" w:rsidRDefault="00215226" w:rsidP="00FF121B">
            <w:pPr>
              <w:pStyle w:val="Normal-TableText"/>
              <w:spacing w:after="120"/>
            </w:pPr>
            <w:r w:rsidRPr="00E9625B">
              <w:t>X</w:t>
            </w:r>
          </w:p>
        </w:tc>
        <w:tc>
          <w:tcPr>
            <w:tcW w:w="876" w:type="pct"/>
          </w:tcPr>
          <w:p w14:paraId="3C77EB4A" w14:textId="77777777" w:rsidR="00215226" w:rsidRPr="00E9625B" w:rsidRDefault="00215226" w:rsidP="00FF121B">
            <w:pPr>
              <w:pStyle w:val="Normal-TableText"/>
              <w:spacing w:after="120"/>
            </w:pPr>
            <w:r w:rsidRPr="00E9625B">
              <w:t>9.6</w:t>
            </w:r>
          </w:p>
        </w:tc>
      </w:tr>
      <w:tr w:rsidR="00215226" w:rsidRPr="00E9625B" w14:paraId="210C9727" w14:textId="77777777" w:rsidTr="00DA53F3">
        <w:tc>
          <w:tcPr>
            <w:tcW w:w="3072" w:type="pct"/>
          </w:tcPr>
          <w:p w14:paraId="56AE6E90" w14:textId="77777777" w:rsidR="00215226" w:rsidRPr="00E9625B" w:rsidRDefault="00215226" w:rsidP="00FF121B">
            <w:pPr>
              <w:pStyle w:val="Normal-TableText"/>
              <w:spacing w:after="120"/>
            </w:pPr>
            <w:r w:rsidRPr="00E9625B">
              <w:t>Personnel Security Plan</w:t>
            </w:r>
          </w:p>
        </w:tc>
        <w:tc>
          <w:tcPr>
            <w:tcW w:w="351" w:type="pct"/>
          </w:tcPr>
          <w:p w14:paraId="7CD45E3B" w14:textId="77777777" w:rsidR="00215226" w:rsidRPr="00E9625B" w:rsidRDefault="00215226" w:rsidP="00FF121B">
            <w:pPr>
              <w:pStyle w:val="Normal-TableText"/>
              <w:spacing w:after="120"/>
            </w:pPr>
            <w:r w:rsidRPr="00E9625B">
              <w:t>X</w:t>
            </w:r>
          </w:p>
        </w:tc>
        <w:tc>
          <w:tcPr>
            <w:tcW w:w="351" w:type="pct"/>
          </w:tcPr>
          <w:p w14:paraId="7A2FE80E" w14:textId="77777777" w:rsidR="00215226" w:rsidRPr="00E9625B" w:rsidRDefault="00215226" w:rsidP="00FF121B">
            <w:pPr>
              <w:pStyle w:val="Normal-TableText"/>
              <w:spacing w:after="120"/>
            </w:pPr>
            <w:r w:rsidRPr="00E9625B">
              <w:t>X</w:t>
            </w:r>
          </w:p>
        </w:tc>
        <w:tc>
          <w:tcPr>
            <w:tcW w:w="351" w:type="pct"/>
          </w:tcPr>
          <w:p w14:paraId="1AE64D36" w14:textId="77777777" w:rsidR="00215226" w:rsidRPr="00E9625B" w:rsidRDefault="00215226" w:rsidP="00FF121B">
            <w:pPr>
              <w:pStyle w:val="Normal-TableText"/>
              <w:spacing w:after="120"/>
            </w:pPr>
            <w:r w:rsidRPr="00E9625B">
              <w:t>X</w:t>
            </w:r>
          </w:p>
        </w:tc>
        <w:tc>
          <w:tcPr>
            <w:tcW w:w="876" w:type="pct"/>
          </w:tcPr>
          <w:p w14:paraId="102CC84B" w14:textId="77777777" w:rsidR="00215226" w:rsidRPr="00E9625B" w:rsidRDefault="00215226" w:rsidP="00FF121B">
            <w:pPr>
              <w:pStyle w:val="Normal-TableText"/>
              <w:spacing w:after="120"/>
            </w:pPr>
            <w:r w:rsidRPr="00E9625B">
              <w:t>9.7</w:t>
            </w:r>
          </w:p>
        </w:tc>
      </w:tr>
      <w:tr w:rsidR="00215226" w:rsidRPr="00E9625B" w14:paraId="4D8D7F25" w14:textId="77777777" w:rsidTr="00DA53F3">
        <w:tc>
          <w:tcPr>
            <w:tcW w:w="3072" w:type="pct"/>
          </w:tcPr>
          <w:p w14:paraId="7B0F6597" w14:textId="77777777" w:rsidR="00215226" w:rsidRPr="00E9625B" w:rsidRDefault="00215226" w:rsidP="00FF121B">
            <w:pPr>
              <w:pStyle w:val="Normal-TableText"/>
              <w:spacing w:after="120"/>
            </w:pPr>
            <w:r w:rsidRPr="00E9625B">
              <w:t>Incident Response Plan</w:t>
            </w:r>
          </w:p>
        </w:tc>
        <w:tc>
          <w:tcPr>
            <w:tcW w:w="351" w:type="pct"/>
          </w:tcPr>
          <w:p w14:paraId="18B95B6D" w14:textId="77777777" w:rsidR="00215226" w:rsidRPr="00E9625B" w:rsidRDefault="00215226" w:rsidP="00FF121B">
            <w:pPr>
              <w:pStyle w:val="Normal-TableText"/>
              <w:spacing w:after="120"/>
            </w:pPr>
            <w:r w:rsidRPr="00E9625B">
              <w:t>X</w:t>
            </w:r>
          </w:p>
        </w:tc>
        <w:tc>
          <w:tcPr>
            <w:tcW w:w="351" w:type="pct"/>
          </w:tcPr>
          <w:p w14:paraId="19F52AF5" w14:textId="77777777" w:rsidR="00215226" w:rsidRPr="00E9625B" w:rsidRDefault="00215226" w:rsidP="00FF121B">
            <w:pPr>
              <w:pStyle w:val="Normal-TableText"/>
              <w:spacing w:after="120"/>
            </w:pPr>
            <w:r w:rsidRPr="00E9625B">
              <w:t>X</w:t>
            </w:r>
          </w:p>
        </w:tc>
        <w:tc>
          <w:tcPr>
            <w:tcW w:w="351" w:type="pct"/>
          </w:tcPr>
          <w:p w14:paraId="6D7DC1FB" w14:textId="77777777" w:rsidR="00215226" w:rsidRPr="00E9625B" w:rsidRDefault="00215226" w:rsidP="00FF121B">
            <w:pPr>
              <w:pStyle w:val="Normal-TableText"/>
              <w:spacing w:after="120"/>
            </w:pPr>
            <w:r w:rsidRPr="00E9625B">
              <w:t>X</w:t>
            </w:r>
          </w:p>
        </w:tc>
        <w:tc>
          <w:tcPr>
            <w:tcW w:w="876" w:type="pct"/>
          </w:tcPr>
          <w:p w14:paraId="0C87B73E" w14:textId="77777777" w:rsidR="00215226" w:rsidRPr="00E9625B" w:rsidRDefault="00215226" w:rsidP="00FF121B">
            <w:pPr>
              <w:pStyle w:val="Normal-TableText"/>
              <w:spacing w:after="120"/>
            </w:pPr>
            <w:r w:rsidRPr="00E9625B">
              <w:t>9.8</w:t>
            </w:r>
          </w:p>
        </w:tc>
      </w:tr>
      <w:tr w:rsidR="00215226" w:rsidRPr="00E9625B" w14:paraId="7A9965E8" w14:textId="77777777" w:rsidTr="00DA53F3">
        <w:tc>
          <w:tcPr>
            <w:tcW w:w="3072" w:type="pct"/>
          </w:tcPr>
          <w:p w14:paraId="48537C11" w14:textId="77777777" w:rsidR="00215226" w:rsidRPr="00E9625B" w:rsidRDefault="00215226" w:rsidP="00FF121B">
            <w:pPr>
              <w:pStyle w:val="Normal-TableText"/>
              <w:spacing w:after="120"/>
            </w:pPr>
            <w:r w:rsidRPr="00E9625B">
              <w:t>Cryptographic Key Management Plan</w:t>
            </w:r>
          </w:p>
        </w:tc>
        <w:tc>
          <w:tcPr>
            <w:tcW w:w="351" w:type="pct"/>
          </w:tcPr>
          <w:p w14:paraId="45CB78E8" w14:textId="77777777" w:rsidR="00215226" w:rsidRPr="00E9625B" w:rsidRDefault="00215226" w:rsidP="00FF121B">
            <w:pPr>
              <w:pStyle w:val="Normal-TableText"/>
              <w:spacing w:after="120"/>
            </w:pPr>
            <w:r w:rsidRPr="00E9625B">
              <w:t>X</w:t>
            </w:r>
          </w:p>
        </w:tc>
        <w:tc>
          <w:tcPr>
            <w:tcW w:w="351" w:type="pct"/>
          </w:tcPr>
          <w:p w14:paraId="29EA493B" w14:textId="77777777" w:rsidR="00215226" w:rsidRPr="00E9625B" w:rsidRDefault="00215226" w:rsidP="00FF121B">
            <w:pPr>
              <w:pStyle w:val="Normal-TableText"/>
              <w:spacing w:after="120"/>
            </w:pPr>
            <w:r w:rsidRPr="00E9625B">
              <w:t>X</w:t>
            </w:r>
          </w:p>
        </w:tc>
        <w:tc>
          <w:tcPr>
            <w:tcW w:w="351" w:type="pct"/>
          </w:tcPr>
          <w:p w14:paraId="1C0813F5" w14:textId="77777777" w:rsidR="00215226" w:rsidRPr="00E9625B" w:rsidRDefault="00215226" w:rsidP="00FF121B">
            <w:pPr>
              <w:pStyle w:val="Normal-TableText"/>
              <w:spacing w:after="120"/>
            </w:pPr>
            <w:r w:rsidRPr="00E9625B">
              <w:t>X</w:t>
            </w:r>
          </w:p>
        </w:tc>
        <w:tc>
          <w:tcPr>
            <w:tcW w:w="876" w:type="pct"/>
          </w:tcPr>
          <w:p w14:paraId="7CF26854" w14:textId="77777777" w:rsidR="00215226" w:rsidRPr="00E9625B" w:rsidRDefault="00215226" w:rsidP="00FF121B">
            <w:pPr>
              <w:pStyle w:val="Normal-TableText"/>
              <w:spacing w:after="120"/>
            </w:pPr>
            <w:r w:rsidRPr="00E9625B">
              <w:t>9.9</w:t>
            </w:r>
          </w:p>
        </w:tc>
      </w:tr>
      <w:tr w:rsidR="00215226" w:rsidRPr="00E9625B" w14:paraId="6AB6C519" w14:textId="77777777" w:rsidTr="00DA53F3">
        <w:tc>
          <w:tcPr>
            <w:tcW w:w="3072" w:type="pct"/>
          </w:tcPr>
          <w:p w14:paraId="69E77E2C" w14:textId="77777777" w:rsidR="00215226" w:rsidRPr="00E9625B" w:rsidRDefault="00215226" w:rsidP="00FF121B">
            <w:pPr>
              <w:pStyle w:val="Normal-TableText"/>
              <w:spacing w:after="120"/>
            </w:pPr>
            <w:r w:rsidRPr="00E9625B">
              <w:t>Disaster Recovery and Business Continuity Plan</w:t>
            </w:r>
          </w:p>
        </w:tc>
        <w:tc>
          <w:tcPr>
            <w:tcW w:w="351" w:type="pct"/>
          </w:tcPr>
          <w:p w14:paraId="70E058CA" w14:textId="77777777" w:rsidR="00215226" w:rsidRPr="00E9625B" w:rsidRDefault="00215226" w:rsidP="00FF121B">
            <w:pPr>
              <w:pStyle w:val="Normal-TableText"/>
              <w:spacing w:after="120"/>
            </w:pPr>
            <w:r w:rsidRPr="00E9625B">
              <w:t>X</w:t>
            </w:r>
          </w:p>
        </w:tc>
        <w:tc>
          <w:tcPr>
            <w:tcW w:w="351" w:type="pct"/>
          </w:tcPr>
          <w:p w14:paraId="69BB326B" w14:textId="77777777" w:rsidR="00215226" w:rsidRPr="00E9625B" w:rsidRDefault="00215226" w:rsidP="00FF121B">
            <w:pPr>
              <w:pStyle w:val="Normal-TableText"/>
              <w:spacing w:after="120"/>
            </w:pPr>
            <w:r w:rsidRPr="00E9625B">
              <w:t>X</w:t>
            </w:r>
          </w:p>
        </w:tc>
        <w:tc>
          <w:tcPr>
            <w:tcW w:w="351" w:type="pct"/>
          </w:tcPr>
          <w:p w14:paraId="4D8A2895" w14:textId="77777777" w:rsidR="00215226" w:rsidRPr="00E9625B" w:rsidRDefault="00215226" w:rsidP="00FF121B">
            <w:pPr>
              <w:pStyle w:val="Normal-TableText"/>
              <w:spacing w:after="120"/>
            </w:pPr>
            <w:r w:rsidRPr="00E9625B">
              <w:t>X</w:t>
            </w:r>
          </w:p>
        </w:tc>
        <w:tc>
          <w:tcPr>
            <w:tcW w:w="876" w:type="pct"/>
          </w:tcPr>
          <w:p w14:paraId="4843C3AE" w14:textId="77777777" w:rsidR="00215226" w:rsidRPr="00E9625B" w:rsidRDefault="00215226" w:rsidP="00FF121B">
            <w:pPr>
              <w:pStyle w:val="Normal-TableText"/>
              <w:spacing w:after="120"/>
            </w:pPr>
            <w:r w:rsidRPr="00E9625B">
              <w:t>9.10</w:t>
            </w:r>
          </w:p>
        </w:tc>
      </w:tr>
      <w:tr w:rsidR="00215226" w:rsidRPr="00E9625B" w14:paraId="2812BDDC" w14:textId="77777777" w:rsidTr="00DA53F3">
        <w:tc>
          <w:tcPr>
            <w:tcW w:w="3072" w:type="pct"/>
          </w:tcPr>
          <w:p w14:paraId="00B43697" w14:textId="77777777" w:rsidR="00215226" w:rsidRPr="00E9625B" w:rsidRDefault="00215226" w:rsidP="00FF121B">
            <w:pPr>
              <w:pStyle w:val="Normal-TableText"/>
              <w:spacing w:after="120"/>
            </w:pPr>
            <w:r w:rsidRPr="00E9625B">
              <w:t>Certification Practice Statement</w:t>
            </w:r>
          </w:p>
        </w:tc>
        <w:tc>
          <w:tcPr>
            <w:tcW w:w="351" w:type="pct"/>
          </w:tcPr>
          <w:p w14:paraId="1C9EDE8D" w14:textId="77777777" w:rsidR="00215226" w:rsidRPr="00E9625B" w:rsidRDefault="00215226" w:rsidP="00FF121B">
            <w:pPr>
              <w:pStyle w:val="Normal-TableText"/>
              <w:spacing w:after="120"/>
            </w:pPr>
          </w:p>
        </w:tc>
        <w:tc>
          <w:tcPr>
            <w:tcW w:w="351" w:type="pct"/>
          </w:tcPr>
          <w:p w14:paraId="15CC9AB2" w14:textId="77777777" w:rsidR="00215226" w:rsidRPr="00E9625B" w:rsidRDefault="00215226" w:rsidP="00FF121B">
            <w:pPr>
              <w:pStyle w:val="Normal-TableText"/>
              <w:spacing w:after="120"/>
            </w:pPr>
            <w:r w:rsidRPr="00E9625B">
              <w:t>X</w:t>
            </w:r>
          </w:p>
        </w:tc>
        <w:tc>
          <w:tcPr>
            <w:tcW w:w="351" w:type="pct"/>
          </w:tcPr>
          <w:p w14:paraId="65576AFA" w14:textId="77777777" w:rsidR="00215226" w:rsidRPr="00E9625B" w:rsidRDefault="00215226" w:rsidP="00FF121B">
            <w:pPr>
              <w:pStyle w:val="Normal-TableText"/>
              <w:spacing w:after="120"/>
            </w:pPr>
          </w:p>
        </w:tc>
        <w:tc>
          <w:tcPr>
            <w:tcW w:w="876" w:type="pct"/>
          </w:tcPr>
          <w:p w14:paraId="65AFE5E0" w14:textId="77777777" w:rsidR="00215226" w:rsidRPr="00E9625B" w:rsidRDefault="00215226" w:rsidP="00FF121B">
            <w:pPr>
              <w:pStyle w:val="Normal-TableText"/>
              <w:spacing w:after="120"/>
            </w:pPr>
            <w:r w:rsidRPr="00E9625B">
              <w:t>11.1</w:t>
            </w:r>
          </w:p>
        </w:tc>
      </w:tr>
      <w:tr w:rsidR="00215226" w:rsidRPr="00E9625B" w14:paraId="17219F60" w14:textId="77777777" w:rsidTr="00DA53F3">
        <w:tc>
          <w:tcPr>
            <w:tcW w:w="3072" w:type="pct"/>
          </w:tcPr>
          <w:p w14:paraId="720A6195" w14:textId="77777777" w:rsidR="00215226" w:rsidRPr="00E9625B" w:rsidRDefault="00215226" w:rsidP="00FF121B">
            <w:pPr>
              <w:pStyle w:val="Normal-TableText"/>
              <w:spacing w:after="120"/>
            </w:pPr>
            <w:r w:rsidRPr="00E9625B">
              <w:t>Certificate Policy</w:t>
            </w:r>
          </w:p>
        </w:tc>
        <w:tc>
          <w:tcPr>
            <w:tcW w:w="351" w:type="pct"/>
          </w:tcPr>
          <w:p w14:paraId="134E87F8" w14:textId="77777777" w:rsidR="00215226" w:rsidRPr="00E9625B" w:rsidRDefault="00215226" w:rsidP="00FF121B">
            <w:pPr>
              <w:pStyle w:val="Normal-TableText"/>
              <w:spacing w:after="120"/>
            </w:pPr>
          </w:p>
        </w:tc>
        <w:tc>
          <w:tcPr>
            <w:tcW w:w="351" w:type="pct"/>
          </w:tcPr>
          <w:p w14:paraId="46C2EBDE" w14:textId="77777777" w:rsidR="00215226" w:rsidRPr="00E9625B" w:rsidRDefault="00215226" w:rsidP="00FF121B">
            <w:pPr>
              <w:pStyle w:val="Normal-TableText"/>
              <w:spacing w:after="120"/>
            </w:pPr>
            <w:r w:rsidRPr="00E9625B">
              <w:t>X</w:t>
            </w:r>
          </w:p>
        </w:tc>
        <w:tc>
          <w:tcPr>
            <w:tcW w:w="351" w:type="pct"/>
          </w:tcPr>
          <w:p w14:paraId="3EDF7505" w14:textId="77777777" w:rsidR="00215226" w:rsidRPr="00E9625B" w:rsidRDefault="00215226" w:rsidP="00FF121B">
            <w:pPr>
              <w:pStyle w:val="Normal-TableText"/>
              <w:spacing w:after="120"/>
            </w:pPr>
          </w:p>
        </w:tc>
        <w:tc>
          <w:tcPr>
            <w:tcW w:w="876" w:type="pct"/>
          </w:tcPr>
          <w:p w14:paraId="1D9924B3" w14:textId="77777777" w:rsidR="00215226" w:rsidRPr="00E9625B" w:rsidRDefault="00215226" w:rsidP="00FF121B">
            <w:pPr>
              <w:pStyle w:val="Normal-TableText"/>
              <w:spacing w:after="120"/>
            </w:pPr>
            <w:r w:rsidRPr="00E9625B">
              <w:t>11.1</w:t>
            </w:r>
          </w:p>
        </w:tc>
      </w:tr>
      <w:tr w:rsidR="00215226" w:rsidRPr="00E9625B" w14:paraId="1386594B" w14:textId="77777777" w:rsidTr="00DA53F3">
        <w:tc>
          <w:tcPr>
            <w:tcW w:w="3072" w:type="pct"/>
          </w:tcPr>
          <w:p w14:paraId="7FEBF020" w14:textId="77777777" w:rsidR="00215226" w:rsidRPr="00E9625B" w:rsidRDefault="00215226" w:rsidP="00FF121B">
            <w:pPr>
              <w:pStyle w:val="Normal-TableText"/>
              <w:spacing w:after="120"/>
            </w:pPr>
            <w:r w:rsidRPr="00E9625B">
              <w:t>Operations Manual</w:t>
            </w:r>
          </w:p>
        </w:tc>
        <w:tc>
          <w:tcPr>
            <w:tcW w:w="351" w:type="pct"/>
          </w:tcPr>
          <w:p w14:paraId="1967FC0E" w14:textId="77777777" w:rsidR="00215226" w:rsidRPr="00E9625B" w:rsidRDefault="00215226" w:rsidP="00FF121B">
            <w:pPr>
              <w:pStyle w:val="Normal-TableText"/>
              <w:spacing w:after="120"/>
            </w:pPr>
            <w:r w:rsidRPr="00E9625B">
              <w:t>X</w:t>
            </w:r>
          </w:p>
        </w:tc>
        <w:tc>
          <w:tcPr>
            <w:tcW w:w="351" w:type="pct"/>
          </w:tcPr>
          <w:p w14:paraId="453D6573" w14:textId="77777777" w:rsidR="00215226" w:rsidRPr="00E9625B" w:rsidRDefault="00215226" w:rsidP="00FF121B">
            <w:pPr>
              <w:pStyle w:val="Normal-TableText"/>
              <w:spacing w:after="120"/>
            </w:pPr>
          </w:p>
        </w:tc>
        <w:tc>
          <w:tcPr>
            <w:tcW w:w="351" w:type="pct"/>
          </w:tcPr>
          <w:p w14:paraId="5F69C7BD" w14:textId="77777777" w:rsidR="00215226" w:rsidRPr="00E9625B" w:rsidRDefault="00215226" w:rsidP="00FF121B">
            <w:pPr>
              <w:pStyle w:val="Normal-TableText"/>
              <w:spacing w:after="120"/>
            </w:pPr>
          </w:p>
        </w:tc>
        <w:tc>
          <w:tcPr>
            <w:tcW w:w="876" w:type="pct"/>
          </w:tcPr>
          <w:p w14:paraId="78208B21" w14:textId="77777777" w:rsidR="00215226" w:rsidRPr="00E9625B" w:rsidRDefault="00215226" w:rsidP="00FF121B">
            <w:pPr>
              <w:pStyle w:val="Normal-TableText"/>
              <w:spacing w:after="120"/>
            </w:pPr>
            <w:r w:rsidRPr="00E9625B">
              <w:t>11.3</w:t>
            </w:r>
          </w:p>
        </w:tc>
      </w:tr>
    </w:tbl>
    <w:p w14:paraId="6AC5A639" w14:textId="77777777" w:rsidR="000A710E" w:rsidRDefault="000A710E" w:rsidP="000A710E">
      <w:pPr>
        <w:rPr>
          <w:rFonts w:asciiTheme="majorHAnsi" w:eastAsiaTheme="majorEastAsia" w:hAnsiTheme="majorHAnsi" w:cstheme="majorBidi"/>
          <w:sz w:val="40"/>
          <w:szCs w:val="26"/>
        </w:rPr>
      </w:pPr>
      <w:bookmarkStart w:id="116" w:name="_Toc426636664"/>
      <w:bookmarkStart w:id="117" w:name="_Toc426639948"/>
      <w:bookmarkStart w:id="118" w:name="_Toc430268916"/>
      <w:r>
        <w:br w:type="page"/>
      </w:r>
    </w:p>
    <w:p w14:paraId="3B86C8E0" w14:textId="77777777" w:rsidR="00215226" w:rsidRPr="00F00731" w:rsidRDefault="00215226" w:rsidP="00DA53F3">
      <w:pPr>
        <w:pStyle w:val="Heading2Numbered"/>
      </w:pPr>
      <w:r w:rsidRPr="00F00731">
        <w:lastRenderedPageBreak/>
        <w:t>Mandatory Requirements</w:t>
      </w:r>
      <w:bookmarkEnd w:id="116"/>
      <w:bookmarkEnd w:id="117"/>
      <w:bookmarkEnd w:id="118"/>
    </w:p>
    <w:p w14:paraId="3CD51011" w14:textId="77777777" w:rsidR="00215226" w:rsidRPr="00DB230F" w:rsidRDefault="00215226" w:rsidP="00DA53F3">
      <w:r w:rsidRPr="00DB230F">
        <w:t>The Framework requires compliance with the following regimes:</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7616"/>
        <w:gridCol w:w="1444"/>
      </w:tblGrid>
      <w:tr w:rsidR="00215226" w:rsidRPr="00E9625B" w14:paraId="5D296B28" w14:textId="77777777" w:rsidTr="00DA53F3">
        <w:trPr>
          <w:cnfStyle w:val="100000000000" w:firstRow="1" w:lastRow="0" w:firstColumn="0" w:lastColumn="0" w:oddVBand="0" w:evenVBand="0" w:oddHBand="0" w:evenHBand="0" w:firstRowFirstColumn="0" w:firstRowLastColumn="0" w:lastRowFirstColumn="0" w:lastRowLastColumn="0"/>
          <w:tblHeader/>
        </w:trPr>
        <w:tc>
          <w:tcPr>
            <w:tcW w:w="4203" w:type="pct"/>
          </w:tcPr>
          <w:p w14:paraId="54D63C15" w14:textId="77777777" w:rsidR="00215226" w:rsidRPr="00E9625B" w:rsidRDefault="00215226" w:rsidP="00FF121B">
            <w:pPr>
              <w:pStyle w:val="Normal-TableText"/>
              <w:spacing w:after="120"/>
            </w:pPr>
            <w:r w:rsidRPr="00E9625B">
              <w:t>Regulatory Regime</w:t>
            </w:r>
          </w:p>
        </w:tc>
        <w:tc>
          <w:tcPr>
            <w:tcW w:w="797" w:type="pct"/>
          </w:tcPr>
          <w:p w14:paraId="39CBDEA6" w14:textId="77777777" w:rsidR="00215226" w:rsidRPr="00E9625B" w:rsidRDefault="00215226" w:rsidP="00FF121B">
            <w:pPr>
              <w:pStyle w:val="Normal-TableText"/>
              <w:spacing w:after="120"/>
            </w:pPr>
            <w:r w:rsidRPr="00E9625B">
              <w:t>Reference</w:t>
            </w:r>
          </w:p>
        </w:tc>
      </w:tr>
      <w:tr w:rsidR="00215226" w:rsidRPr="00E9625B" w14:paraId="5A6A1221" w14:textId="77777777" w:rsidTr="00DA53F3">
        <w:tc>
          <w:tcPr>
            <w:tcW w:w="4203" w:type="pct"/>
          </w:tcPr>
          <w:p w14:paraId="1900CA1B" w14:textId="77777777" w:rsidR="00215226" w:rsidRPr="00E9625B" w:rsidRDefault="00215226" w:rsidP="00FF121B">
            <w:pPr>
              <w:pStyle w:val="Normal-TableText"/>
              <w:spacing w:after="120"/>
            </w:pPr>
            <w:r w:rsidRPr="00E9625B">
              <w:t>Protective Security Policy Framework</w:t>
            </w:r>
          </w:p>
        </w:tc>
        <w:tc>
          <w:tcPr>
            <w:tcW w:w="797" w:type="pct"/>
          </w:tcPr>
          <w:p w14:paraId="4E5628DA" w14:textId="77777777" w:rsidR="00215226" w:rsidRPr="00E9625B" w:rsidRDefault="00215226" w:rsidP="00FF121B">
            <w:pPr>
              <w:pStyle w:val="Normal-TableText"/>
              <w:spacing w:after="120"/>
            </w:pPr>
            <w:r w:rsidRPr="00E9625B">
              <w:t>[PSPF]</w:t>
            </w:r>
          </w:p>
        </w:tc>
      </w:tr>
      <w:tr w:rsidR="00215226" w:rsidRPr="00E9625B" w14:paraId="7F1ED28F" w14:textId="77777777" w:rsidTr="00DA53F3">
        <w:tc>
          <w:tcPr>
            <w:tcW w:w="4203" w:type="pct"/>
          </w:tcPr>
          <w:p w14:paraId="32465B26" w14:textId="77777777" w:rsidR="00215226" w:rsidRPr="00E9625B" w:rsidRDefault="00215226" w:rsidP="00FF121B">
            <w:pPr>
              <w:pStyle w:val="Normal-TableText"/>
              <w:spacing w:after="120"/>
            </w:pPr>
            <w:r w:rsidRPr="00E9625B">
              <w:t xml:space="preserve">Agency personnel security management guidelines </w:t>
            </w:r>
          </w:p>
        </w:tc>
        <w:tc>
          <w:tcPr>
            <w:tcW w:w="797" w:type="pct"/>
          </w:tcPr>
          <w:p w14:paraId="50238E81" w14:textId="77777777" w:rsidR="00215226" w:rsidRPr="00E9625B" w:rsidRDefault="00215226" w:rsidP="00FF121B">
            <w:pPr>
              <w:pStyle w:val="Normal-TableText"/>
              <w:spacing w:after="120"/>
            </w:pPr>
            <w:r w:rsidRPr="00E9625B">
              <w:t>[APSG]</w:t>
            </w:r>
          </w:p>
        </w:tc>
      </w:tr>
      <w:tr w:rsidR="00215226" w:rsidRPr="00E9625B" w14:paraId="4DF8887F" w14:textId="77777777" w:rsidTr="00DA53F3">
        <w:tc>
          <w:tcPr>
            <w:tcW w:w="4203" w:type="pct"/>
          </w:tcPr>
          <w:p w14:paraId="5C80C723" w14:textId="77777777" w:rsidR="00215226" w:rsidRPr="00E9625B" w:rsidRDefault="00215226" w:rsidP="00FF121B">
            <w:pPr>
              <w:pStyle w:val="Normal-TableText"/>
              <w:spacing w:after="120"/>
            </w:pPr>
            <w:r w:rsidRPr="00E9625B">
              <w:t xml:space="preserve">Australian Government personnel security management protocol </w:t>
            </w:r>
          </w:p>
        </w:tc>
        <w:tc>
          <w:tcPr>
            <w:tcW w:w="797" w:type="pct"/>
          </w:tcPr>
          <w:p w14:paraId="5364680C" w14:textId="77777777" w:rsidR="00215226" w:rsidRPr="00E9625B" w:rsidRDefault="00215226" w:rsidP="00FF121B">
            <w:pPr>
              <w:pStyle w:val="Normal-TableText"/>
              <w:spacing w:after="120"/>
            </w:pPr>
            <w:r w:rsidRPr="00E9625B">
              <w:t>[AGPSP]</w:t>
            </w:r>
          </w:p>
        </w:tc>
      </w:tr>
      <w:tr w:rsidR="00215226" w:rsidRPr="00E9625B" w14:paraId="2FCA31C5" w14:textId="77777777" w:rsidTr="00DA53F3">
        <w:tc>
          <w:tcPr>
            <w:tcW w:w="4203" w:type="pct"/>
          </w:tcPr>
          <w:p w14:paraId="52995ECE" w14:textId="77777777" w:rsidR="00215226" w:rsidRPr="00E9625B" w:rsidRDefault="00215226" w:rsidP="00FF121B">
            <w:pPr>
              <w:pStyle w:val="Normal-TableText"/>
              <w:spacing w:after="120"/>
            </w:pPr>
            <w:r w:rsidRPr="00E9625B">
              <w:t xml:space="preserve">Information security management guidelines – Australian Government classification system </w:t>
            </w:r>
          </w:p>
        </w:tc>
        <w:tc>
          <w:tcPr>
            <w:tcW w:w="797" w:type="pct"/>
          </w:tcPr>
          <w:p w14:paraId="60D6E98A" w14:textId="77777777" w:rsidR="00215226" w:rsidRPr="00E9625B" w:rsidRDefault="00215226" w:rsidP="00FF121B">
            <w:pPr>
              <w:pStyle w:val="Normal-TableText"/>
              <w:spacing w:after="120"/>
            </w:pPr>
            <w:r w:rsidRPr="00E9625B">
              <w:t>[ISMG1]</w:t>
            </w:r>
          </w:p>
        </w:tc>
      </w:tr>
      <w:tr w:rsidR="00215226" w:rsidRPr="00E9625B" w14:paraId="4891B184" w14:textId="77777777" w:rsidTr="00DA53F3">
        <w:tc>
          <w:tcPr>
            <w:tcW w:w="4203" w:type="pct"/>
          </w:tcPr>
          <w:p w14:paraId="7AE415D9" w14:textId="77777777" w:rsidR="00215226" w:rsidRPr="00E9625B" w:rsidRDefault="00215226" w:rsidP="00FF121B">
            <w:pPr>
              <w:pStyle w:val="Normal-TableText"/>
              <w:spacing w:after="120"/>
            </w:pPr>
            <w:r w:rsidRPr="00E9625B">
              <w:t>Information security management guidelines – Management of aggregated information</w:t>
            </w:r>
          </w:p>
        </w:tc>
        <w:tc>
          <w:tcPr>
            <w:tcW w:w="797" w:type="pct"/>
          </w:tcPr>
          <w:p w14:paraId="1B272A62" w14:textId="77777777" w:rsidR="00215226" w:rsidRPr="00E9625B" w:rsidRDefault="00215226" w:rsidP="00FF121B">
            <w:pPr>
              <w:pStyle w:val="Normal-TableText"/>
              <w:spacing w:after="120"/>
            </w:pPr>
            <w:r w:rsidRPr="00E9625B">
              <w:t>[ISMG2]</w:t>
            </w:r>
          </w:p>
        </w:tc>
      </w:tr>
      <w:tr w:rsidR="00215226" w:rsidRPr="00E9625B" w14:paraId="2CF516A7" w14:textId="77777777" w:rsidTr="00DA53F3">
        <w:tc>
          <w:tcPr>
            <w:tcW w:w="4203" w:type="pct"/>
          </w:tcPr>
          <w:p w14:paraId="1853EC79" w14:textId="77777777" w:rsidR="00215226" w:rsidRPr="00E9625B" w:rsidRDefault="00215226" w:rsidP="00FF121B">
            <w:pPr>
              <w:pStyle w:val="Normal-TableText"/>
              <w:spacing w:after="120"/>
            </w:pPr>
            <w:r w:rsidRPr="00E9625B">
              <w:t>Physical security management guidelines – Physical security of ICT equipment, systems and facilities</w:t>
            </w:r>
          </w:p>
        </w:tc>
        <w:tc>
          <w:tcPr>
            <w:tcW w:w="797" w:type="pct"/>
          </w:tcPr>
          <w:p w14:paraId="66A3976D" w14:textId="77777777" w:rsidR="00215226" w:rsidRPr="00E9625B" w:rsidRDefault="00215226" w:rsidP="00FF121B">
            <w:pPr>
              <w:pStyle w:val="Normal-TableText"/>
              <w:spacing w:after="120"/>
            </w:pPr>
            <w:r w:rsidRPr="00E9625B">
              <w:t>[PSMG1]</w:t>
            </w:r>
          </w:p>
        </w:tc>
      </w:tr>
      <w:tr w:rsidR="00215226" w:rsidRPr="00E9625B" w14:paraId="1B0500D7" w14:textId="77777777" w:rsidTr="00DA53F3">
        <w:tc>
          <w:tcPr>
            <w:tcW w:w="4203" w:type="pct"/>
          </w:tcPr>
          <w:p w14:paraId="5172C747" w14:textId="77777777" w:rsidR="00215226" w:rsidRPr="00E9625B" w:rsidRDefault="00215226" w:rsidP="00FF121B">
            <w:pPr>
              <w:pStyle w:val="Normal-TableText"/>
              <w:spacing w:after="120"/>
            </w:pPr>
            <w:r w:rsidRPr="00E9625B">
              <w:t>Physical security management guidelines – Security zones and risk mitigation control measures</w:t>
            </w:r>
          </w:p>
        </w:tc>
        <w:tc>
          <w:tcPr>
            <w:tcW w:w="797" w:type="pct"/>
          </w:tcPr>
          <w:p w14:paraId="3B53DAFD" w14:textId="77777777" w:rsidR="00215226" w:rsidRPr="00E9625B" w:rsidRDefault="00215226" w:rsidP="00FF121B">
            <w:pPr>
              <w:pStyle w:val="Normal-TableText"/>
              <w:spacing w:after="120"/>
            </w:pPr>
            <w:r w:rsidRPr="00E9625B">
              <w:t>[PSMG2]</w:t>
            </w:r>
          </w:p>
        </w:tc>
      </w:tr>
      <w:tr w:rsidR="00215226" w:rsidRPr="00E9625B" w14:paraId="32A2665C" w14:textId="77777777" w:rsidTr="00DA53F3">
        <w:tc>
          <w:tcPr>
            <w:tcW w:w="4203" w:type="pct"/>
          </w:tcPr>
          <w:p w14:paraId="29FE0549" w14:textId="77777777" w:rsidR="00215226" w:rsidRPr="00E9625B" w:rsidRDefault="00215226" w:rsidP="00FF121B">
            <w:pPr>
              <w:pStyle w:val="Normal-TableText"/>
              <w:spacing w:after="120"/>
            </w:pPr>
            <w:r w:rsidRPr="00E9625B">
              <w:t>Protective security governance guidelines</w:t>
            </w:r>
            <w:r w:rsidR="00897FA3">
              <w:t xml:space="preserve"> – </w:t>
            </w:r>
            <w:r w:rsidRPr="00E9625B">
              <w:t>Business impact levels</w:t>
            </w:r>
          </w:p>
        </w:tc>
        <w:tc>
          <w:tcPr>
            <w:tcW w:w="797" w:type="pct"/>
          </w:tcPr>
          <w:p w14:paraId="111D7872" w14:textId="77777777" w:rsidR="00215226" w:rsidRPr="00E9625B" w:rsidRDefault="00215226" w:rsidP="00FF121B">
            <w:pPr>
              <w:pStyle w:val="Normal-TableText"/>
              <w:spacing w:after="120"/>
            </w:pPr>
            <w:r w:rsidRPr="00E9625B">
              <w:t>[BIL]</w:t>
            </w:r>
          </w:p>
        </w:tc>
      </w:tr>
      <w:tr w:rsidR="00215226" w:rsidRPr="00E9625B" w14:paraId="2BBA1EDB" w14:textId="77777777" w:rsidTr="00DA53F3">
        <w:tc>
          <w:tcPr>
            <w:tcW w:w="4203" w:type="pct"/>
          </w:tcPr>
          <w:p w14:paraId="1B3DB310" w14:textId="77777777" w:rsidR="00215226" w:rsidRPr="00E9625B" w:rsidRDefault="00215226" w:rsidP="00FF121B">
            <w:pPr>
              <w:pStyle w:val="Normal-TableText"/>
              <w:spacing w:after="120"/>
            </w:pPr>
            <w:r w:rsidRPr="00E9625B">
              <w:t>Securing government business – Protective security guidance for executives</w:t>
            </w:r>
          </w:p>
        </w:tc>
        <w:tc>
          <w:tcPr>
            <w:tcW w:w="797" w:type="pct"/>
          </w:tcPr>
          <w:p w14:paraId="290B25E9" w14:textId="77777777" w:rsidR="00215226" w:rsidRPr="00E9625B" w:rsidRDefault="00215226" w:rsidP="00FF121B">
            <w:pPr>
              <w:pStyle w:val="Normal-TableText"/>
              <w:spacing w:after="120"/>
            </w:pPr>
            <w:r w:rsidRPr="00E9625B">
              <w:t>[SGB]</w:t>
            </w:r>
          </w:p>
        </w:tc>
      </w:tr>
      <w:tr w:rsidR="00215226" w:rsidRPr="00E9625B" w14:paraId="2BC689CA" w14:textId="77777777" w:rsidTr="00DA53F3">
        <w:tc>
          <w:tcPr>
            <w:tcW w:w="4203" w:type="pct"/>
          </w:tcPr>
          <w:p w14:paraId="1E3E8EC7" w14:textId="77777777" w:rsidR="00215226" w:rsidRPr="00E9625B" w:rsidRDefault="00215226" w:rsidP="00FF121B">
            <w:pPr>
              <w:pStyle w:val="Normal-TableText"/>
              <w:spacing w:after="120"/>
            </w:pPr>
            <w:r w:rsidRPr="00E9625B">
              <w:t>Australian Government Information Security Manual</w:t>
            </w:r>
          </w:p>
        </w:tc>
        <w:tc>
          <w:tcPr>
            <w:tcW w:w="797" w:type="pct"/>
          </w:tcPr>
          <w:p w14:paraId="60F82C40" w14:textId="77777777" w:rsidR="00215226" w:rsidRPr="00E9625B" w:rsidRDefault="00215226" w:rsidP="00FF121B">
            <w:pPr>
              <w:pStyle w:val="Normal-TableText"/>
              <w:spacing w:after="120"/>
            </w:pPr>
            <w:r w:rsidRPr="00E9625B">
              <w:t>[ISM]</w:t>
            </w:r>
          </w:p>
        </w:tc>
      </w:tr>
      <w:tr w:rsidR="00215226" w:rsidRPr="00E9625B" w14:paraId="236852B6" w14:textId="77777777" w:rsidTr="00DA53F3">
        <w:tc>
          <w:tcPr>
            <w:tcW w:w="4203" w:type="pct"/>
          </w:tcPr>
          <w:p w14:paraId="7AA0CB7E" w14:textId="77777777" w:rsidR="00215226" w:rsidRPr="00C6440C" w:rsidRDefault="00215226" w:rsidP="00FF121B">
            <w:pPr>
              <w:pStyle w:val="Normal-TableText"/>
              <w:spacing w:after="120"/>
              <w:rPr>
                <w:rStyle w:val="Emphasis"/>
              </w:rPr>
            </w:pPr>
            <w:r w:rsidRPr="00C6440C">
              <w:rPr>
                <w:rStyle w:val="Emphasis"/>
              </w:rPr>
              <w:t xml:space="preserve">Archives Act 1983 </w:t>
            </w:r>
          </w:p>
        </w:tc>
        <w:tc>
          <w:tcPr>
            <w:tcW w:w="797" w:type="pct"/>
          </w:tcPr>
          <w:p w14:paraId="05AB9B0F" w14:textId="77777777" w:rsidR="00215226" w:rsidRPr="00E9625B" w:rsidRDefault="00215226" w:rsidP="00FF121B">
            <w:pPr>
              <w:pStyle w:val="Normal-TableText"/>
              <w:spacing w:after="120"/>
            </w:pPr>
            <w:r w:rsidRPr="00E9625B">
              <w:t>[AA1983]</w:t>
            </w:r>
          </w:p>
        </w:tc>
      </w:tr>
      <w:tr w:rsidR="00215226" w:rsidRPr="00E9625B" w14:paraId="4FD4DAB9" w14:textId="77777777" w:rsidTr="00DA53F3">
        <w:tc>
          <w:tcPr>
            <w:tcW w:w="4203" w:type="pct"/>
          </w:tcPr>
          <w:p w14:paraId="7439D5CC" w14:textId="77777777" w:rsidR="00215226" w:rsidRPr="00E9625B" w:rsidRDefault="00215226" w:rsidP="00FF121B">
            <w:pPr>
              <w:pStyle w:val="Normal-TableText"/>
              <w:spacing w:after="120"/>
            </w:pPr>
            <w:r w:rsidRPr="00E9625B">
              <w:t>National Archives of Australia – Administrative Functions Disposal Authority</w:t>
            </w:r>
          </w:p>
        </w:tc>
        <w:tc>
          <w:tcPr>
            <w:tcW w:w="797" w:type="pct"/>
          </w:tcPr>
          <w:p w14:paraId="69CBF076" w14:textId="77777777" w:rsidR="00215226" w:rsidRPr="00E9625B" w:rsidRDefault="00215226" w:rsidP="00FF121B">
            <w:pPr>
              <w:pStyle w:val="Normal-TableText"/>
              <w:spacing w:after="120"/>
            </w:pPr>
            <w:r w:rsidRPr="00E9625B">
              <w:t>[AFDA]</w:t>
            </w:r>
          </w:p>
        </w:tc>
      </w:tr>
      <w:tr w:rsidR="00215226" w:rsidRPr="00E9625B" w14:paraId="28277B31" w14:textId="77777777" w:rsidTr="00DA53F3">
        <w:tc>
          <w:tcPr>
            <w:tcW w:w="4203" w:type="pct"/>
          </w:tcPr>
          <w:p w14:paraId="33D7CEB6" w14:textId="77777777" w:rsidR="00215226" w:rsidRPr="00E9625B" w:rsidRDefault="00215226" w:rsidP="00FF121B">
            <w:pPr>
              <w:pStyle w:val="Normal-TableText"/>
              <w:spacing w:after="120"/>
            </w:pPr>
            <w:r w:rsidRPr="00E9625B">
              <w:t>Gatekeeper PKI Framework Information Security Registered Assessors Program</w:t>
            </w:r>
            <w:r w:rsidRPr="00C6440C">
              <w:rPr>
                <w:rStyle w:val="Emphasis"/>
              </w:rPr>
              <w:t xml:space="preserve"> </w:t>
            </w:r>
            <w:r w:rsidRPr="00E9625B">
              <w:t>Guide</w:t>
            </w:r>
          </w:p>
        </w:tc>
        <w:tc>
          <w:tcPr>
            <w:tcW w:w="797" w:type="pct"/>
          </w:tcPr>
          <w:p w14:paraId="7921FE58" w14:textId="77777777" w:rsidR="00215226" w:rsidRPr="00E9625B" w:rsidRDefault="00215226" w:rsidP="00FF121B">
            <w:pPr>
              <w:pStyle w:val="Normal-TableText"/>
              <w:spacing w:after="120"/>
            </w:pPr>
            <w:r w:rsidRPr="00E9625B">
              <w:t>[IRAP]</w:t>
            </w:r>
          </w:p>
        </w:tc>
      </w:tr>
      <w:tr w:rsidR="00215226" w:rsidRPr="00E9625B" w14:paraId="230EBBD4" w14:textId="77777777" w:rsidTr="00DA53F3">
        <w:tc>
          <w:tcPr>
            <w:tcW w:w="4203" w:type="pct"/>
          </w:tcPr>
          <w:p w14:paraId="0DADDF25" w14:textId="77777777" w:rsidR="00215226" w:rsidRPr="00E9625B" w:rsidRDefault="00215226" w:rsidP="00FF121B">
            <w:pPr>
              <w:pStyle w:val="Normal-TableText"/>
              <w:spacing w:after="120"/>
            </w:pPr>
            <w:r w:rsidRPr="00E9625B">
              <w:t>Gatekeeper PKI Framework Compliance Audit Program</w:t>
            </w:r>
          </w:p>
        </w:tc>
        <w:tc>
          <w:tcPr>
            <w:tcW w:w="797" w:type="pct"/>
          </w:tcPr>
          <w:p w14:paraId="625647D6" w14:textId="77777777" w:rsidR="00215226" w:rsidRPr="00E9625B" w:rsidRDefault="00215226" w:rsidP="00FF121B">
            <w:pPr>
              <w:pStyle w:val="Normal-TableText"/>
              <w:spacing w:after="120"/>
            </w:pPr>
            <w:r w:rsidRPr="00E9625B">
              <w:t>[GCAP]</w:t>
            </w:r>
          </w:p>
        </w:tc>
      </w:tr>
      <w:tr w:rsidR="00215226" w:rsidRPr="00E9625B" w14:paraId="63C822B4" w14:textId="77777777" w:rsidTr="00DA53F3">
        <w:tc>
          <w:tcPr>
            <w:tcW w:w="4203" w:type="pct"/>
          </w:tcPr>
          <w:p w14:paraId="07487AC0" w14:textId="77777777" w:rsidR="00215226" w:rsidRPr="00E9625B" w:rsidRDefault="00215226" w:rsidP="00FF121B">
            <w:pPr>
              <w:pStyle w:val="Normal-TableText"/>
              <w:spacing w:after="120"/>
            </w:pPr>
            <w:r w:rsidRPr="00E9625B">
              <w:t>ITU-T X.500 (10/12) Information technology – Open Systems Interconnect – The Directory: Overview of concepts, models and services</w:t>
            </w:r>
          </w:p>
        </w:tc>
        <w:tc>
          <w:tcPr>
            <w:tcW w:w="797" w:type="pct"/>
          </w:tcPr>
          <w:p w14:paraId="0299DD36" w14:textId="77777777" w:rsidR="00215226" w:rsidRPr="00E9625B" w:rsidRDefault="00215226" w:rsidP="00FF121B">
            <w:pPr>
              <w:pStyle w:val="Normal-TableText"/>
              <w:spacing w:after="120"/>
            </w:pPr>
            <w:r w:rsidRPr="00E9625B">
              <w:t>[X.500]</w:t>
            </w:r>
          </w:p>
        </w:tc>
      </w:tr>
      <w:tr w:rsidR="00215226" w:rsidRPr="00E9625B" w14:paraId="4F23EFE8" w14:textId="77777777" w:rsidTr="00DA53F3">
        <w:tc>
          <w:tcPr>
            <w:tcW w:w="4203" w:type="pct"/>
          </w:tcPr>
          <w:p w14:paraId="0FE8352D" w14:textId="77777777" w:rsidR="00215226" w:rsidRPr="00E9625B" w:rsidRDefault="00215226" w:rsidP="00FF121B">
            <w:pPr>
              <w:pStyle w:val="Normal-TableText"/>
              <w:spacing w:after="120"/>
            </w:pPr>
            <w:r w:rsidRPr="00E9625B">
              <w:t xml:space="preserve">National </w:t>
            </w:r>
            <w:r w:rsidR="00897FA3">
              <w:t>e</w:t>
            </w:r>
            <w:r w:rsidR="00897FA3">
              <w:noBreakHyphen/>
            </w:r>
            <w:r w:rsidRPr="00E9625B">
              <w:t>Authentication Framework</w:t>
            </w:r>
          </w:p>
        </w:tc>
        <w:tc>
          <w:tcPr>
            <w:tcW w:w="797" w:type="pct"/>
          </w:tcPr>
          <w:p w14:paraId="5A4CCB66" w14:textId="77777777" w:rsidR="00215226" w:rsidRPr="00E9625B" w:rsidRDefault="00215226" w:rsidP="00FF121B">
            <w:pPr>
              <w:pStyle w:val="Normal-TableText"/>
              <w:spacing w:after="120"/>
            </w:pPr>
            <w:r w:rsidRPr="00E9625B">
              <w:t>[NeAF]</w:t>
            </w:r>
          </w:p>
        </w:tc>
      </w:tr>
      <w:tr w:rsidR="00215226" w:rsidRPr="00E9625B" w14:paraId="3ED922FE" w14:textId="77777777" w:rsidTr="00DA53F3">
        <w:tc>
          <w:tcPr>
            <w:tcW w:w="4203" w:type="pct"/>
          </w:tcPr>
          <w:p w14:paraId="30B767AE" w14:textId="77777777" w:rsidR="00215226" w:rsidRPr="00E9625B" w:rsidRDefault="00215226" w:rsidP="00FF121B">
            <w:pPr>
              <w:pStyle w:val="Normal-TableText"/>
              <w:spacing w:after="120"/>
            </w:pPr>
            <w:r w:rsidRPr="00E9625B">
              <w:t>National Identity Proofing Guidelines</w:t>
            </w:r>
          </w:p>
        </w:tc>
        <w:tc>
          <w:tcPr>
            <w:tcW w:w="797" w:type="pct"/>
          </w:tcPr>
          <w:p w14:paraId="0711543B" w14:textId="77777777" w:rsidR="00215226" w:rsidRPr="00E9625B" w:rsidRDefault="00215226" w:rsidP="00FF121B">
            <w:pPr>
              <w:pStyle w:val="Normal-TableText"/>
              <w:spacing w:after="120"/>
            </w:pPr>
            <w:r w:rsidRPr="00E9625B">
              <w:t>[NIPG]</w:t>
            </w:r>
          </w:p>
        </w:tc>
      </w:tr>
      <w:tr w:rsidR="00215226" w:rsidRPr="00E9625B" w14:paraId="4DFF847E" w14:textId="77777777" w:rsidTr="00DA53F3">
        <w:tc>
          <w:tcPr>
            <w:tcW w:w="4203" w:type="pct"/>
          </w:tcPr>
          <w:p w14:paraId="2B202FA9" w14:textId="77777777" w:rsidR="00215226" w:rsidRPr="00C6440C" w:rsidRDefault="00215226" w:rsidP="00FF121B">
            <w:pPr>
              <w:pStyle w:val="Normal-TableText"/>
              <w:spacing w:after="120"/>
              <w:rPr>
                <w:rStyle w:val="Emphasis"/>
              </w:rPr>
            </w:pPr>
            <w:r w:rsidRPr="00C6440C">
              <w:rPr>
                <w:rStyle w:val="Emphasis"/>
              </w:rPr>
              <w:t xml:space="preserve">Privacy Act 1988 </w:t>
            </w:r>
          </w:p>
        </w:tc>
        <w:tc>
          <w:tcPr>
            <w:tcW w:w="797" w:type="pct"/>
          </w:tcPr>
          <w:p w14:paraId="0CD12184" w14:textId="77777777" w:rsidR="00215226" w:rsidRPr="00E9625B" w:rsidRDefault="00215226" w:rsidP="00FF121B">
            <w:pPr>
              <w:pStyle w:val="Normal-TableText"/>
              <w:spacing w:after="120"/>
            </w:pPr>
            <w:r w:rsidRPr="00E9625B">
              <w:t>[PA1988]</w:t>
            </w:r>
          </w:p>
        </w:tc>
      </w:tr>
      <w:tr w:rsidR="00215226" w:rsidRPr="00E9625B" w14:paraId="6FE8F664" w14:textId="77777777" w:rsidTr="00DA53F3">
        <w:tc>
          <w:tcPr>
            <w:tcW w:w="4203" w:type="pct"/>
          </w:tcPr>
          <w:p w14:paraId="5E8AB0CF" w14:textId="77777777" w:rsidR="00215226" w:rsidRPr="00E9625B" w:rsidRDefault="00BA3063" w:rsidP="00FF121B">
            <w:pPr>
              <w:pStyle w:val="Normal-TableText"/>
              <w:spacing w:after="120"/>
              <w:rPr>
                <w:i/>
              </w:rPr>
            </w:pPr>
            <w:hyperlink r:id="rId28" w:history="1">
              <w:r w:rsidR="00215226" w:rsidRPr="00E9625B">
                <w:rPr>
                  <w:i/>
                </w:rPr>
                <w:t>Privacy Amendment (Enhancing Privacy Protection) Act</w:t>
              </w:r>
              <w:r w:rsidR="00215226">
                <w:rPr>
                  <w:i/>
                </w:rPr>
                <w:t> 201</w:t>
              </w:r>
              <w:r w:rsidR="00215226" w:rsidRPr="00E9625B">
                <w:rPr>
                  <w:i/>
                </w:rPr>
                <w:t>2</w:t>
              </w:r>
            </w:hyperlink>
          </w:p>
        </w:tc>
        <w:tc>
          <w:tcPr>
            <w:tcW w:w="797" w:type="pct"/>
          </w:tcPr>
          <w:p w14:paraId="09ADE9A4" w14:textId="77777777" w:rsidR="00215226" w:rsidRPr="00E9625B" w:rsidRDefault="00215226" w:rsidP="00FF121B">
            <w:pPr>
              <w:pStyle w:val="Normal-TableText"/>
              <w:spacing w:after="120"/>
            </w:pPr>
            <w:r w:rsidRPr="00E9625B">
              <w:t>[PA2012]</w:t>
            </w:r>
          </w:p>
        </w:tc>
      </w:tr>
      <w:tr w:rsidR="00215226" w:rsidRPr="00E9625B" w14:paraId="7CD203DA" w14:textId="77777777" w:rsidTr="00DA53F3">
        <w:tc>
          <w:tcPr>
            <w:tcW w:w="4203" w:type="pct"/>
          </w:tcPr>
          <w:p w14:paraId="574154E9" w14:textId="77777777" w:rsidR="00215226" w:rsidRPr="00E9625B" w:rsidRDefault="00215226" w:rsidP="00FF121B">
            <w:pPr>
              <w:pStyle w:val="Normal-TableText"/>
              <w:spacing w:after="120"/>
            </w:pPr>
            <w:r w:rsidRPr="00E9625B">
              <w:t>RFC3647 Internet X.509 Public Key Infrastructure Certificate Policy and Certification Practices Framework</w:t>
            </w:r>
          </w:p>
        </w:tc>
        <w:tc>
          <w:tcPr>
            <w:tcW w:w="797" w:type="pct"/>
          </w:tcPr>
          <w:p w14:paraId="00634EC8" w14:textId="77777777" w:rsidR="00215226" w:rsidRPr="00E9625B" w:rsidRDefault="00215226" w:rsidP="00FF121B">
            <w:pPr>
              <w:pStyle w:val="Normal-TableText"/>
              <w:spacing w:after="120"/>
            </w:pPr>
            <w:r w:rsidRPr="00E9625B">
              <w:t>[RFC3647]</w:t>
            </w:r>
          </w:p>
        </w:tc>
      </w:tr>
      <w:tr w:rsidR="00215226" w:rsidRPr="00E9625B" w14:paraId="7FFDD1F7" w14:textId="77777777" w:rsidTr="00DA53F3">
        <w:tc>
          <w:tcPr>
            <w:tcW w:w="4203" w:type="pct"/>
          </w:tcPr>
          <w:p w14:paraId="1FEAC10D" w14:textId="77777777" w:rsidR="00215226" w:rsidRPr="00E9625B" w:rsidRDefault="00215226" w:rsidP="00FF121B">
            <w:pPr>
              <w:pStyle w:val="Normal-TableText"/>
              <w:spacing w:after="120"/>
            </w:pPr>
            <w:r w:rsidRPr="00E9625B">
              <w:t>RFC 5280 Internet X.509 Public Key Infrastructure and Certificate Revocation List (CRL) Profile</w:t>
            </w:r>
          </w:p>
        </w:tc>
        <w:tc>
          <w:tcPr>
            <w:tcW w:w="797" w:type="pct"/>
          </w:tcPr>
          <w:p w14:paraId="0BFCE585" w14:textId="77777777" w:rsidR="00215226" w:rsidRPr="00E9625B" w:rsidRDefault="00215226" w:rsidP="00FF121B">
            <w:pPr>
              <w:pStyle w:val="Normal-TableText"/>
              <w:spacing w:after="120"/>
            </w:pPr>
            <w:r w:rsidRPr="00E9625B">
              <w:t>[RFC5280]</w:t>
            </w:r>
          </w:p>
        </w:tc>
      </w:tr>
      <w:tr w:rsidR="00215226" w:rsidRPr="00E9625B" w14:paraId="3FDD5F35" w14:textId="77777777" w:rsidTr="00DA53F3">
        <w:tc>
          <w:tcPr>
            <w:tcW w:w="4203" w:type="pct"/>
          </w:tcPr>
          <w:p w14:paraId="476CE8D7" w14:textId="77777777" w:rsidR="00215226" w:rsidRPr="00E9625B" w:rsidRDefault="00215226" w:rsidP="00FF121B">
            <w:pPr>
              <w:pStyle w:val="Normal-TableText"/>
              <w:spacing w:after="120"/>
            </w:pPr>
            <w:r w:rsidRPr="00E9625B">
              <w:t>Telecommunications Cabling Provider Rules</w:t>
            </w:r>
            <w:r>
              <w:t> 200</w:t>
            </w:r>
            <w:r w:rsidRPr="00E9625B">
              <w:t xml:space="preserve">0 </w:t>
            </w:r>
          </w:p>
        </w:tc>
        <w:tc>
          <w:tcPr>
            <w:tcW w:w="797" w:type="pct"/>
          </w:tcPr>
          <w:p w14:paraId="382D608A" w14:textId="77777777" w:rsidR="00215226" w:rsidRPr="00E9625B" w:rsidRDefault="00215226" w:rsidP="00FF121B">
            <w:pPr>
              <w:pStyle w:val="Normal-TableText"/>
              <w:spacing w:after="120"/>
            </w:pPr>
            <w:r w:rsidRPr="00E9625B">
              <w:t>[TCPR]</w:t>
            </w:r>
          </w:p>
        </w:tc>
      </w:tr>
    </w:tbl>
    <w:p w14:paraId="2A9A3C43" w14:textId="77777777" w:rsidR="00215226" w:rsidRPr="00F00731" w:rsidRDefault="00215226" w:rsidP="00DA53F3">
      <w:pPr>
        <w:pStyle w:val="Heading2Numbered"/>
      </w:pPr>
      <w:bookmarkStart w:id="119" w:name="_Toc426636665"/>
      <w:bookmarkStart w:id="120" w:name="_Toc426639949"/>
      <w:bookmarkStart w:id="121" w:name="_Toc430268917"/>
      <w:r w:rsidRPr="00F00731">
        <w:lastRenderedPageBreak/>
        <w:t>Recommended Standards and Guides</w:t>
      </w:r>
      <w:bookmarkEnd w:id="119"/>
      <w:bookmarkEnd w:id="120"/>
      <w:bookmarkEnd w:id="121"/>
    </w:p>
    <w:p w14:paraId="7A069F2B" w14:textId="77777777" w:rsidR="00215226" w:rsidRPr="00DB230F" w:rsidRDefault="00215226" w:rsidP="00DA53F3">
      <w:r w:rsidRPr="00DB230F">
        <w:t xml:space="preserve">To assist with meeting the compliance obligations of the Framework Applicants </w:t>
      </w:r>
      <w:r w:rsidRPr="00D825A0">
        <w:rPr>
          <w:rStyle w:val="Strong"/>
        </w:rPr>
        <w:t>SHOULD</w:t>
      </w:r>
      <w:r w:rsidRPr="00DB230F">
        <w:t xml:space="preserve"> consider the following standards and guides:</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7565"/>
        <w:gridCol w:w="1495"/>
      </w:tblGrid>
      <w:tr w:rsidR="00215226" w:rsidRPr="00DB230F" w14:paraId="63345E6A" w14:textId="77777777" w:rsidTr="00DA53F3">
        <w:trPr>
          <w:cnfStyle w:val="100000000000" w:firstRow="1" w:lastRow="0" w:firstColumn="0" w:lastColumn="0" w:oddVBand="0" w:evenVBand="0" w:oddHBand="0" w:evenHBand="0" w:firstRowFirstColumn="0" w:firstRowLastColumn="0" w:lastRowFirstColumn="0" w:lastRowLastColumn="0"/>
          <w:tblHeader/>
        </w:trPr>
        <w:tc>
          <w:tcPr>
            <w:tcW w:w="4175" w:type="pct"/>
          </w:tcPr>
          <w:p w14:paraId="6B1523BD" w14:textId="77777777" w:rsidR="00215226" w:rsidRPr="00DB230F" w:rsidRDefault="00215226" w:rsidP="00FF121B">
            <w:pPr>
              <w:pStyle w:val="Normal-TableText"/>
              <w:spacing w:after="120"/>
            </w:pPr>
            <w:r w:rsidRPr="00DB230F">
              <w:t>Recommended Standards and Guides</w:t>
            </w:r>
          </w:p>
        </w:tc>
        <w:tc>
          <w:tcPr>
            <w:tcW w:w="825" w:type="pct"/>
          </w:tcPr>
          <w:p w14:paraId="2508F1E3" w14:textId="77777777" w:rsidR="00215226" w:rsidRPr="00DB230F" w:rsidRDefault="00215226" w:rsidP="00FF121B">
            <w:pPr>
              <w:pStyle w:val="Normal-TableText"/>
              <w:spacing w:after="120"/>
            </w:pPr>
            <w:r w:rsidRPr="00DB230F">
              <w:t>Reference</w:t>
            </w:r>
          </w:p>
        </w:tc>
      </w:tr>
      <w:tr w:rsidR="00215226" w:rsidRPr="00DB230F" w14:paraId="1C0C6153" w14:textId="77777777" w:rsidTr="00DA53F3">
        <w:tc>
          <w:tcPr>
            <w:tcW w:w="4175" w:type="pct"/>
          </w:tcPr>
          <w:p w14:paraId="6B16F740" w14:textId="77777777" w:rsidR="00215226" w:rsidRPr="00DB230F" w:rsidRDefault="00215226" w:rsidP="00FF121B">
            <w:pPr>
              <w:pStyle w:val="Normal-TableText"/>
              <w:spacing w:after="120"/>
            </w:pPr>
            <w:r w:rsidRPr="00DB230F">
              <w:t>Australian National Audit Office Business Continuity Management – Building resilience in public sector entities</w:t>
            </w:r>
          </w:p>
        </w:tc>
        <w:tc>
          <w:tcPr>
            <w:tcW w:w="825" w:type="pct"/>
          </w:tcPr>
          <w:p w14:paraId="6B183DEB" w14:textId="77777777" w:rsidR="00215226" w:rsidRPr="00DB230F" w:rsidRDefault="00215226" w:rsidP="00FF121B">
            <w:pPr>
              <w:pStyle w:val="Normal-TableText"/>
              <w:spacing w:after="120"/>
            </w:pPr>
            <w:r w:rsidRPr="00DB230F">
              <w:t>[ANAO]</w:t>
            </w:r>
          </w:p>
        </w:tc>
      </w:tr>
      <w:tr w:rsidR="00215226" w:rsidRPr="00DB230F" w14:paraId="1A488264" w14:textId="77777777" w:rsidTr="00DA53F3">
        <w:tc>
          <w:tcPr>
            <w:tcW w:w="4175" w:type="pct"/>
          </w:tcPr>
          <w:p w14:paraId="21FE77DC" w14:textId="77777777" w:rsidR="00215226" w:rsidRPr="00DB230F" w:rsidRDefault="00215226" w:rsidP="00FF121B">
            <w:pPr>
              <w:pStyle w:val="Normal-TableText"/>
              <w:spacing w:after="120"/>
            </w:pPr>
            <w:r w:rsidRPr="00DB230F">
              <w:t>AS/NZS 5050:2010 Business Continuity – Managing disruption-related risk.</w:t>
            </w:r>
          </w:p>
        </w:tc>
        <w:tc>
          <w:tcPr>
            <w:tcW w:w="825" w:type="pct"/>
          </w:tcPr>
          <w:p w14:paraId="3A48EA12" w14:textId="77777777" w:rsidR="00215226" w:rsidRPr="00DB230F" w:rsidRDefault="00215226" w:rsidP="00FF121B">
            <w:pPr>
              <w:pStyle w:val="Normal-TableText"/>
              <w:spacing w:after="120"/>
            </w:pPr>
            <w:r w:rsidRPr="00DB230F">
              <w:t>[ANZ5050]</w:t>
            </w:r>
          </w:p>
        </w:tc>
      </w:tr>
      <w:tr w:rsidR="00215226" w:rsidRPr="00DB230F" w14:paraId="5F14AB0D" w14:textId="77777777" w:rsidTr="00DA53F3">
        <w:tc>
          <w:tcPr>
            <w:tcW w:w="4175" w:type="pct"/>
          </w:tcPr>
          <w:p w14:paraId="6ABF059A" w14:textId="77777777" w:rsidR="00215226" w:rsidRPr="00DB230F" w:rsidRDefault="00215226" w:rsidP="00FF121B">
            <w:pPr>
              <w:pStyle w:val="Normal-TableText"/>
              <w:spacing w:after="120"/>
            </w:pPr>
            <w:r w:rsidRPr="00DB230F">
              <w:t>AS/NZS ISO 31000:2009 Risk Management Principles and Guidelines</w:t>
            </w:r>
          </w:p>
        </w:tc>
        <w:tc>
          <w:tcPr>
            <w:tcW w:w="825" w:type="pct"/>
          </w:tcPr>
          <w:p w14:paraId="3D46C587" w14:textId="77777777" w:rsidR="00215226" w:rsidRPr="00DB230F" w:rsidRDefault="00215226" w:rsidP="00FF121B">
            <w:pPr>
              <w:pStyle w:val="Normal-TableText"/>
              <w:spacing w:after="120"/>
            </w:pPr>
            <w:r w:rsidRPr="00DB230F">
              <w:t>[ANZ2009]</w:t>
            </w:r>
          </w:p>
        </w:tc>
      </w:tr>
      <w:tr w:rsidR="00215226" w:rsidRPr="00DB230F" w14:paraId="0804A702" w14:textId="77777777" w:rsidTr="00DA53F3">
        <w:tc>
          <w:tcPr>
            <w:tcW w:w="4175" w:type="pct"/>
          </w:tcPr>
          <w:p w14:paraId="36F2F7DA" w14:textId="77777777" w:rsidR="00215226" w:rsidRPr="00DB230F" w:rsidRDefault="00215226" w:rsidP="00FF121B">
            <w:pPr>
              <w:pStyle w:val="Normal-TableText"/>
              <w:spacing w:after="120"/>
            </w:pPr>
            <w:r w:rsidRPr="00DB230F">
              <w:t>Australian Standard HB 167:2006 Security Risk Management</w:t>
            </w:r>
          </w:p>
        </w:tc>
        <w:tc>
          <w:tcPr>
            <w:tcW w:w="825" w:type="pct"/>
          </w:tcPr>
          <w:p w14:paraId="221B2FC7" w14:textId="77777777" w:rsidR="00215226" w:rsidRPr="00DB230F" w:rsidRDefault="00215226" w:rsidP="00FF121B">
            <w:pPr>
              <w:pStyle w:val="Normal-TableText"/>
              <w:spacing w:after="120"/>
            </w:pPr>
            <w:r w:rsidRPr="00DB230F">
              <w:t>[HB167]</w:t>
            </w:r>
          </w:p>
        </w:tc>
      </w:tr>
      <w:tr w:rsidR="00215226" w:rsidRPr="00DB230F" w14:paraId="2EA0A5FA" w14:textId="77777777" w:rsidTr="00DA53F3">
        <w:tc>
          <w:tcPr>
            <w:tcW w:w="4175" w:type="pct"/>
          </w:tcPr>
          <w:p w14:paraId="3587B6AB" w14:textId="77777777" w:rsidR="00215226" w:rsidRPr="00DB230F" w:rsidRDefault="00215226" w:rsidP="00FF121B">
            <w:pPr>
              <w:pStyle w:val="Normal-TableText"/>
              <w:spacing w:after="120"/>
            </w:pPr>
            <w:r w:rsidRPr="00DB230F">
              <w:t>CA/Browser Forum Baseline Requirements for the Issuance and Management of Publicly-Trusted Certificates</w:t>
            </w:r>
          </w:p>
        </w:tc>
        <w:tc>
          <w:tcPr>
            <w:tcW w:w="825" w:type="pct"/>
          </w:tcPr>
          <w:p w14:paraId="327787C7" w14:textId="77777777" w:rsidR="00215226" w:rsidRPr="00DB230F" w:rsidRDefault="00215226" w:rsidP="00FF121B">
            <w:pPr>
              <w:pStyle w:val="Normal-TableText"/>
              <w:spacing w:after="120"/>
            </w:pPr>
            <w:r w:rsidRPr="00DB230F">
              <w:t>[CABF]</w:t>
            </w:r>
          </w:p>
        </w:tc>
      </w:tr>
      <w:tr w:rsidR="00215226" w:rsidRPr="00DB230F" w14:paraId="6425A0D4" w14:textId="77777777" w:rsidTr="00DA53F3">
        <w:tc>
          <w:tcPr>
            <w:tcW w:w="4175" w:type="pct"/>
          </w:tcPr>
          <w:p w14:paraId="640C22A3" w14:textId="77777777" w:rsidR="00215226" w:rsidRPr="00DB230F" w:rsidRDefault="00215226" w:rsidP="00FF121B">
            <w:pPr>
              <w:pStyle w:val="Normal-TableText"/>
              <w:spacing w:after="120"/>
            </w:pPr>
            <w:r w:rsidRPr="00DB230F">
              <w:t>Canada Institute of Chartered Accountants,</w:t>
            </w:r>
            <w:r>
              <w:t> 201</w:t>
            </w:r>
            <w:r w:rsidRPr="00DB230F">
              <w:t xml:space="preserve">1, </w:t>
            </w:r>
            <w:r w:rsidRPr="00996BAC">
              <w:t>Trust Service Principles and Criteria for Certification Authorities, Version 2.0</w:t>
            </w:r>
            <w:r w:rsidRPr="003C6D6E">
              <w:t>, Canada Institute of Chartered Accountants, Canada</w:t>
            </w:r>
            <w:r w:rsidRPr="00DB230F">
              <w:t xml:space="preserve"> </w:t>
            </w:r>
          </w:p>
        </w:tc>
        <w:tc>
          <w:tcPr>
            <w:tcW w:w="825" w:type="pct"/>
          </w:tcPr>
          <w:p w14:paraId="4099B79C" w14:textId="77777777" w:rsidR="00215226" w:rsidRPr="00DB230F" w:rsidRDefault="00215226" w:rsidP="00FF121B">
            <w:pPr>
              <w:pStyle w:val="Normal-TableText"/>
              <w:spacing w:after="120"/>
            </w:pPr>
            <w:r w:rsidRPr="00DB230F">
              <w:t>[WebTrust]</w:t>
            </w:r>
          </w:p>
        </w:tc>
      </w:tr>
      <w:tr w:rsidR="00215226" w:rsidRPr="00DB230F" w14:paraId="716AA731" w14:textId="77777777" w:rsidTr="00DA53F3">
        <w:tc>
          <w:tcPr>
            <w:tcW w:w="4175" w:type="pct"/>
          </w:tcPr>
          <w:p w14:paraId="1297D7F5" w14:textId="77777777" w:rsidR="00215226" w:rsidRPr="00DB230F" w:rsidRDefault="00215226" w:rsidP="00FF121B">
            <w:pPr>
              <w:pStyle w:val="Normal-TableText"/>
              <w:spacing w:after="120"/>
            </w:pPr>
            <w:r w:rsidRPr="00DB230F">
              <w:t>European Telecommunications Standards Institute, Electronic Signature and Infrastructure (ESI); Policy requirements for certification authorities issuing public key certificates,</w:t>
            </w:r>
            <w:r w:rsidRPr="00C6440C">
              <w:rPr>
                <w:rStyle w:val="Emphasis"/>
              </w:rPr>
              <w:t xml:space="preserve"> </w:t>
            </w:r>
            <w:r w:rsidRPr="00DB230F">
              <w:t>(ETSI TS 102 O42)</w:t>
            </w:r>
          </w:p>
        </w:tc>
        <w:tc>
          <w:tcPr>
            <w:tcW w:w="825" w:type="pct"/>
          </w:tcPr>
          <w:p w14:paraId="66449DE7" w14:textId="77777777" w:rsidR="00215226" w:rsidRPr="00DB230F" w:rsidRDefault="00215226" w:rsidP="00FF121B">
            <w:pPr>
              <w:pStyle w:val="Normal-TableText"/>
              <w:spacing w:after="120"/>
            </w:pPr>
            <w:r w:rsidRPr="00DB230F">
              <w:t>[ETSI]</w:t>
            </w:r>
          </w:p>
        </w:tc>
      </w:tr>
      <w:tr w:rsidR="00215226" w:rsidRPr="00DB230F" w14:paraId="15AEE748" w14:textId="77777777" w:rsidTr="00DA53F3">
        <w:tc>
          <w:tcPr>
            <w:tcW w:w="4175" w:type="pct"/>
          </w:tcPr>
          <w:p w14:paraId="239D01CE" w14:textId="77777777" w:rsidR="00215226" w:rsidRPr="00DB230F" w:rsidRDefault="00215226" w:rsidP="00FF121B">
            <w:pPr>
              <w:pStyle w:val="Normal-TableText"/>
              <w:spacing w:after="120"/>
            </w:pPr>
            <w:r w:rsidRPr="00DB230F">
              <w:t>Federal Information Processing Standard (FIPS) 140</w:t>
            </w:r>
            <w:r>
              <w:t>–2</w:t>
            </w:r>
            <w:r w:rsidRPr="00DB230F">
              <w:t xml:space="preserve"> Security Requirements for Cryptographic Modules</w:t>
            </w:r>
          </w:p>
        </w:tc>
        <w:tc>
          <w:tcPr>
            <w:tcW w:w="825" w:type="pct"/>
          </w:tcPr>
          <w:p w14:paraId="595B112E" w14:textId="77777777" w:rsidR="00215226" w:rsidRPr="00DB230F" w:rsidRDefault="00215226" w:rsidP="00FF121B">
            <w:pPr>
              <w:pStyle w:val="Normal-TableText"/>
              <w:spacing w:after="120"/>
            </w:pPr>
            <w:r w:rsidRPr="00DB230F">
              <w:t>[FIPS]</w:t>
            </w:r>
          </w:p>
        </w:tc>
      </w:tr>
      <w:tr w:rsidR="00215226" w:rsidRPr="00DB230F" w14:paraId="6FD721CB" w14:textId="77777777" w:rsidTr="00DA53F3">
        <w:tc>
          <w:tcPr>
            <w:tcW w:w="4175" w:type="pct"/>
          </w:tcPr>
          <w:p w14:paraId="71EB7943" w14:textId="77777777" w:rsidR="00215226" w:rsidRPr="00DB230F" w:rsidRDefault="00215226" w:rsidP="00FF121B">
            <w:pPr>
              <w:pStyle w:val="Normal-TableText"/>
              <w:spacing w:after="120"/>
            </w:pPr>
            <w:r w:rsidRPr="00DB230F">
              <w:t>ISO/IEC 27005:2011 Information Technology – Security Techniques – Information Security Risk Management</w:t>
            </w:r>
          </w:p>
        </w:tc>
        <w:tc>
          <w:tcPr>
            <w:tcW w:w="825" w:type="pct"/>
          </w:tcPr>
          <w:p w14:paraId="719803CF" w14:textId="77777777" w:rsidR="00215226" w:rsidRPr="00DB230F" w:rsidRDefault="00215226" w:rsidP="00FF121B">
            <w:pPr>
              <w:pStyle w:val="Normal-TableText"/>
              <w:spacing w:after="120"/>
            </w:pPr>
            <w:r w:rsidRPr="00DB230F">
              <w:t>[27005]</w:t>
            </w:r>
          </w:p>
        </w:tc>
      </w:tr>
      <w:tr w:rsidR="00215226" w:rsidRPr="00DB230F" w14:paraId="2C3619F9" w14:textId="77777777" w:rsidTr="00DA53F3">
        <w:tc>
          <w:tcPr>
            <w:tcW w:w="4175" w:type="pct"/>
          </w:tcPr>
          <w:p w14:paraId="2B3863DB" w14:textId="77777777" w:rsidR="00215226" w:rsidRPr="00DB230F" w:rsidRDefault="00215226" w:rsidP="00FF121B">
            <w:pPr>
              <w:pStyle w:val="Normal-TableText"/>
              <w:spacing w:after="120"/>
            </w:pPr>
            <w:r w:rsidRPr="00DB230F">
              <w:t>National Institutes of Standards and Technology Special Publication 800</w:t>
            </w:r>
            <w:r>
              <w:t>–5</w:t>
            </w:r>
            <w:r w:rsidRPr="00DB230F">
              <w:t>7 Part 1 Recommendation for Key Management Part 1: General (Revision 3)</w:t>
            </w:r>
          </w:p>
        </w:tc>
        <w:tc>
          <w:tcPr>
            <w:tcW w:w="825" w:type="pct"/>
          </w:tcPr>
          <w:p w14:paraId="2D5B8CD2" w14:textId="77777777" w:rsidR="00215226" w:rsidRPr="00DB230F" w:rsidRDefault="00215226" w:rsidP="00FF121B">
            <w:pPr>
              <w:pStyle w:val="Normal-TableText"/>
              <w:spacing w:after="120"/>
            </w:pPr>
            <w:r w:rsidRPr="00DB230F">
              <w:t>[800</w:t>
            </w:r>
            <w:r>
              <w:t>–5</w:t>
            </w:r>
            <w:r w:rsidRPr="00DB230F">
              <w:t>7]</w:t>
            </w:r>
          </w:p>
        </w:tc>
      </w:tr>
      <w:tr w:rsidR="00215226" w:rsidRPr="00DB230F" w14:paraId="2148A3B4" w14:textId="77777777" w:rsidTr="00DA53F3">
        <w:tc>
          <w:tcPr>
            <w:tcW w:w="4175" w:type="pct"/>
          </w:tcPr>
          <w:p w14:paraId="328F3C73" w14:textId="77777777" w:rsidR="00215226" w:rsidRPr="00DB230F" w:rsidRDefault="00215226" w:rsidP="00FF121B">
            <w:pPr>
              <w:pStyle w:val="Normal-TableText"/>
              <w:spacing w:after="120"/>
            </w:pPr>
            <w:r w:rsidRPr="00DB230F">
              <w:t>Office of the Australian Information Commissioner</w:t>
            </w:r>
            <w:r>
              <w:t xml:space="preserve"> </w:t>
            </w:r>
            <w:r w:rsidRPr="00DB230F">
              <w:t>Data Breach Notification</w:t>
            </w:r>
          </w:p>
        </w:tc>
        <w:tc>
          <w:tcPr>
            <w:tcW w:w="825" w:type="pct"/>
          </w:tcPr>
          <w:p w14:paraId="3C0EDD32" w14:textId="77777777" w:rsidR="00215226" w:rsidRPr="00DB230F" w:rsidRDefault="00215226" w:rsidP="00FF121B">
            <w:pPr>
              <w:pStyle w:val="Normal-TableText"/>
              <w:spacing w:after="120"/>
            </w:pPr>
            <w:r w:rsidRPr="00DB230F">
              <w:t>[DBN]</w:t>
            </w:r>
          </w:p>
        </w:tc>
      </w:tr>
      <w:tr w:rsidR="00215226" w:rsidRPr="00DB230F" w14:paraId="70EF6FFE" w14:textId="77777777" w:rsidTr="00DA53F3">
        <w:tc>
          <w:tcPr>
            <w:tcW w:w="4175" w:type="pct"/>
          </w:tcPr>
          <w:p w14:paraId="7ABCF060" w14:textId="77777777" w:rsidR="00215226" w:rsidRPr="00DB230F" w:rsidRDefault="00215226" w:rsidP="00FF121B">
            <w:pPr>
              <w:pStyle w:val="Normal-TableText"/>
              <w:spacing w:after="120"/>
            </w:pPr>
            <w:r w:rsidRPr="00DB230F">
              <w:t>Office of the Australian Information Commissioner Guide to Undertake Privacy Impact Assessments</w:t>
            </w:r>
          </w:p>
        </w:tc>
        <w:tc>
          <w:tcPr>
            <w:tcW w:w="825" w:type="pct"/>
          </w:tcPr>
          <w:p w14:paraId="3D5E97B9" w14:textId="77777777" w:rsidR="00215226" w:rsidRPr="00DB230F" w:rsidRDefault="00215226" w:rsidP="00FF121B">
            <w:pPr>
              <w:pStyle w:val="Normal-TableText"/>
              <w:spacing w:after="120"/>
            </w:pPr>
            <w:r w:rsidRPr="00DB230F">
              <w:t>[PIA]</w:t>
            </w:r>
          </w:p>
        </w:tc>
      </w:tr>
      <w:tr w:rsidR="00215226" w:rsidRPr="00DB230F" w14:paraId="3277E71C" w14:textId="77777777" w:rsidTr="00DA53F3">
        <w:tc>
          <w:tcPr>
            <w:tcW w:w="4175" w:type="pct"/>
          </w:tcPr>
          <w:p w14:paraId="2CA850AC" w14:textId="77777777" w:rsidR="00215226" w:rsidRPr="00DB230F" w:rsidRDefault="00215226" w:rsidP="00FF121B">
            <w:pPr>
              <w:pStyle w:val="Normal-TableText"/>
              <w:spacing w:after="120"/>
            </w:pPr>
            <w:r w:rsidRPr="00DB230F">
              <w:t>RFC 6960 X.509 Internet Public Key Infrastructure Online Certificate Status Protocol – OCSP</w:t>
            </w:r>
          </w:p>
        </w:tc>
        <w:tc>
          <w:tcPr>
            <w:tcW w:w="825" w:type="pct"/>
          </w:tcPr>
          <w:p w14:paraId="502B9174" w14:textId="77777777" w:rsidR="00215226" w:rsidRPr="00DB230F" w:rsidRDefault="00215226" w:rsidP="00FF121B">
            <w:pPr>
              <w:pStyle w:val="Normal-TableText"/>
              <w:spacing w:after="120"/>
            </w:pPr>
            <w:r w:rsidRPr="00DB230F">
              <w:t>[RFC6960]</w:t>
            </w:r>
          </w:p>
        </w:tc>
      </w:tr>
      <w:tr w:rsidR="00215226" w:rsidRPr="00DB230F" w14:paraId="78F60B6E" w14:textId="77777777" w:rsidTr="00DA53F3">
        <w:tc>
          <w:tcPr>
            <w:tcW w:w="4175" w:type="pct"/>
          </w:tcPr>
          <w:p w14:paraId="3CE9DA17" w14:textId="77777777" w:rsidR="00215226" w:rsidRPr="00DB230F" w:rsidRDefault="00215226" w:rsidP="00FF121B">
            <w:pPr>
              <w:pStyle w:val="Normal-TableText"/>
              <w:spacing w:after="120"/>
            </w:pPr>
            <w:r w:rsidRPr="00DB230F">
              <w:t>RFC 5019 The Lightweight Online Certificate Status Protocol (OCSP) Profile for High-Volume Environments</w:t>
            </w:r>
          </w:p>
        </w:tc>
        <w:tc>
          <w:tcPr>
            <w:tcW w:w="825" w:type="pct"/>
          </w:tcPr>
          <w:p w14:paraId="726071AE" w14:textId="77777777" w:rsidR="00215226" w:rsidRPr="00DB230F" w:rsidRDefault="00215226" w:rsidP="00FF121B">
            <w:pPr>
              <w:pStyle w:val="Normal-TableText"/>
              <w:spacing w:after="120"/>
            </w:pPr>
            <w:r w:rsidRPr="00DB230F">
              <w:t>[RFC5019]</w:t>
            </w:r>
          </w:p>
        </w:tc>
      </w:tr>
      <w:tr w:rsidR="00215226" w:rsidRPr="00DB230F" w14:paraId="7E7E3EA7" w14:textId="77777777" w:rsidTr="00DA53F3">
        <w:tc>
          <w:tcPr>
            <w:tcW w:w="4175" w:type="pct"/>
          </w:tcPr>
          <w:p w14:paraId="12217878" w14:textId="77777777" w:rsidR="00215226" w:rsidRPr="00DB230F" w:rsidRDefault="00215226" w:rsidP="00FF121B">
            <w:pPr>
              <w:pStyle w:val="Normal-TableText"/>
              <w:spacing w:after="120"/>
            </w:pPr>
            <w:r w:rsidRPr="00DB230F">
              <w:t>Third Party Identity Services Assurance Framework</w:t>
            </w:r>
          </w:p>
        </w:tc>
        <w:tc>
          <w:tcPr>
            <w:tcW w:w="825" w:type="pct"/>
          </w:tcPr>
          <w:p w14:paraId="291750A9" w14:textId="77777777" w:rsidR="00215226" w:rsidRPr="00DB230F" w:rsidRDefault="00215226" w:rsidP="00FF121B">
            <w:pPr>
              <w:pStyle w:val="Normal-TableText"/>
              <w:spacing w:after="120"/>
            </w:pPr>
            <w:r w:rsidRPr="00DB230F">
              <w:t>[TPISAF]</w:t>
            </w:r>
          </w:p>
        </w:tc>
      </w:tr>
    </w:tbl>
    <w:p w14:paraId="4C369603" w14:textId="77777777" w:rsidR="00215226" w:rsidRDefault="00215226" w:rsidP="00D825A0"/>
    <w:p w14:paraId="6525C8FB" w14:textId="77777777" w:rsidR="00215226" w:rsidRPr="00F00731" w:rsidRDefault="00215226" w:rsidP="00DA53F3">
      <w:pPr>
        <w:pStyle w:val="Heading1Numbered"/>
      </w:pPr>
      <w:bookmarkStart w:id="122" w:name="_Toc430268918"/>
      <w:bookmarkStart w:id="123" w:name="_Toc271532267"/>
      <w:r w:rsidRPr="00F00731">
        <w:lastRenderedPageBreak/>
        <w:t>Core Obligations</w:t>
      </w:r>
      <w:bookmarkEnd w:id="122"/>
    </w:p>
    <w:p w14:paraId="759C217E" w14:textId="77777777" w:rsidR="00215226" w:rsidRPr="00F00731" w:rsidRDefault="00215226" w:rsidP="00DA53F3">
      <w:pPr>
        <w:pStyle w:val="Heading2Numbered"/>
      </w:pPr>
      <w:bookmarkStart w:id="124" w:name="_Toc426636666"/>
      <w:bookmarkStart w:id="125" w:name="_Toc426639950"/>
      <w:bookmarkStart w:id="126" w:name="_Toc430268919"/>
      <w:r w:rsidRPr="00F00731">
        <w:t>Core Obligations Policy</w:t>
      </w:r>
      <w:bookmarkEnd w:id="124"/>
      <w:bookmarkEnd w:id="125"/>
      <w:bookmarkEnd w:id="126"/>
    </w:p>
    <w:p w14:paraId="01BDD697" w14:textId="77777777" w:rsidR="00215226" w:rsidRPr="008E6537" w:rsidRDefault="00215226" w:rsidP="00DA53F3">
      <w:r w:rsidRPr="008E6537">
        <w:t>This policy sets out the Core Obligations as determined by the Gatekeeper Competent Authority in relation to the application, generation, issuance and on-going management of digital keys and certificates issued by a Service Provider in Gatekeeper PKI deployments.</w:t>
      </w:r>
    </w:p>
    <w:p w14:paraId="6ADDFD0D" w14:textId="77777777" w:rsidR="00215226" w:rsidRPr="008E6537" w:rsidRDefault="00215226" w:rsidP="00DA53F3">
      <w:r w:rsidRPr="008E6537">
        <w:t>The Gatekeeper Competent Authority will not grant Gatekeeper Accreditation to a Service Provider that seeks through its documentation to avoid or exclude liability for breaches of its Gatekeeper Core Obligations as specified in the following sections.</w:t>
      </w:r>
    </w:p>
    <w:p w14:paraId="6141BD48" w14:textId="77777777" w:rsidR="00215226" w:rsidRPr="00F00731" w:rsidRDefault="00215226" w:rsidP="00DA53F3">
      <w:pPr>
        <w:pStyle w:val="Heading2Numbered"/>
      </w:pPr>
      <w:bookmarkStart w:id="127" w:name="_Toc426636667"/>
      <w:bookmarkStart w:id="128" w:name="_Toc426639951"/>
      <w:bookmarkStart w:id="129" w:name="_Toc430268920"/>
      <w:r w:rsidRPr="00F00731">
        <w:t>Liability</w:t>
      </w:r>
      <w:bookmarkEnd w:id="127"/>
      <w:bookmarkEnd w:id="128"/>
      <w:bookmarkEnd w:id="129"/>
    </w:p>
    <w:p w14:paraId="320750BE" w14:textId="77777777" w:rsidR="00215226" w:rsidRDefault="00215226" w:rsidP="00DA53F3">
      <w:r w:rsidRPr="00DB230F">
        <w:t>Liability is the legal obligation to compensate another party when an obligation has been breached.</w:t>
      </w:r>
    </w:p>
    <w:p w14:paraId="5DB15DD7" w14:textId="77777777" w:rsidR="00215226" w:rsidRPr="00DB230F" w:rsidRDefault="00215226" w:rsidP="00DA53F3">
      <w:r w:rsidRPr="00DB230F">
        <w:t>The source of the obligation can be a contract, a common law obligation, a statutory obligation or an equitable obligation.</w:t>
      </w:r>
      <w:r>
        <w:t xml:space="preserve"> </w:t>
      </w:r>
      <w:r w:rsidRPr="00DB230F">
        <w:t>Liability will follow when an obligation of the kind that is spelt out in the following sections of this policy is breached.</w:t>
      </w:r>
    </w:p>
    <w:p w14:paraId="7869F29E" w14:textId="77777777" w:rsidR="00215226" w:rsidRPr="00F00731" w:rsidRDefault="00215226" w:rsidP="00DA53F3">
      <w:pPr>
        <w:pStyle w:val="Heading2Numbered"/>
      </w:pPr>
      <w:bookmarkStart w:id="130" w:name="_Toc426636668"/>
      <w:bookmarkStart w:id="131" w:name="_Toc426639952"/>
      <w:bookmarkStart w:id="132" w:name="_Toc430268921"/>
      <w:r w:rsidRPr="00F00731">
        <w:t>Service Providers</w:t>
      </w:r>
      <w:bookmarkEnd w:id="130"/>
      <w:bookmarkEnd w:id="131"/>
      <w:bookmarkEnd w:id="132"/>
    </w:p>
    <w:p w14:paraId="138D9EB9" w14:textId="77777777" w:rsidR="00215226" w:rsidRPr="00DB230F" w:rsidRDefault="00215226" w:rsidP="00DA53F3">
      <w:r w:rsidRPr="00DB230F">
        <w:t xml:space="preserve">Service Providers </w:t>
      </w:r>
      <w:r w:rsidRPr="00D825A0">
        <w:rPr>
          <w:rStyle w:val="Strong"/>
        </w:rPr>
        <w:t>MUST</w:t>
      </w:r>
      <w:r w:rsidRPr="00DB230F">
        <w:t>:</w:t>
      </w:r>
    </w:p>
    <w:p w14:paraId="3B0ED47B" w14:textId="77777777" w:rsidR="00215226" w:rsidRPr="00DB230F" w:rsidRDefault="00215226" w:rsidP="00DA53F3">
      <w:pPr>
        <w:pStyle w:val="Bullet1"/>
      </w:pPr>
      <w:r w:rsidRPr="00DB230F">
        <w:t>Be registered with the Australian Business Register (ABR) and maintain a current Australian Business Number (ABN);</w:t>
      </w:r>
    </w:p>
    <w:p w14:paraId="42FA5224" w14:textId="77777777" w:rsidR="00215226" w:rsidRPr="00DB230F" w:rsidRDefault="00215226" w:rsidP="00DA53F3">
      <w:pPr>
        <w:pStyle w:val="Bullet2"/>
      </w:pPr>
      <w:r w:rsidRPr="00DB230F">
        <w:t>Loss of ABR registration will result in termination of the Service Provider’s Gatekeeper Accreditation.</w:t>
      </w:r>
    </w:p>
    <w:p w14:paraId="182E18A8" w14:textId="77777777" w:rsidR="00215226" w:rsidRPr="00DB230F" w:rsidRDefault="00215226" w:rsidP="00DA53F3">
      <w:pPr>
        <w:pStyle w:val="Bullet1"/>
      </w:pPr>
      <w:r w:rsidRPr="00DB230F">
        <w:t>Meet all relevant third party evaluation requirements as set out in the Framework including:</w:t>
      </w:r>
    </w:p>
    <w:p w14:paraId="3B7495E3" w14:textId="77777777" w:rsidR="00215226" w:rsidRPr="00DB230F" w:rsidRDefault="00215226" w:rsidP="00DA53F3">
      <w:pPr>
        <w:pStyle w:val="Bullet2"/>
      </w:pPr>
      <w:r w:rsidRPr="00DB230F">
        <w:t>Undertake an assessment of all PKI-related systems using a registered IRAP Assessor listed on the Australian Signals Directorate (ASD) IRAP website. Unless otherwise directed by the Gatekeeper Competent Authority this is a on</w:t>
      </w:r>
      <w:r w:rsidR="00897FA3">
        <w:t>e</w:t>
      </w:r>
      <w:r w:rsidR="00897FA3">
        <w:noBreakHyphen/>
      </w:r>
      <w:r w:rsidRPr="00DB230F">
        <w:t>off evaluation as per step 6a in the accreditation process listed at Figure 4;</w:t>
      </w:r>
    </w:p>
    <w:p w14:paraId="02A6E96E" w14:textId="77777777" w:rsidR="00215226" w:rsidRDefault="00215226" w:rsidP="00DA53F3">
      <w:pPr>
        <w:pStyle w:val="Bullet1"/>
      </w:pPr>
      <w:r w:rsidRPr="00741885">
        <w:t>Undertake a PIA for all PKI-related systems that collect, process, store or disclose personal information</w:t>
      </w:r>
      <w:r>
        <w:t>. U</w:t>
      </w:r>
      <w:r w:rsidRPr="00741885">
        <w:t>nless otherwise directed by the Gatekeeper Competent Authority</w:t>
      </w:r>
      <w:r>
        <w:t xml:space="preserve"> t</w:t>
      </w:r>
      <w:r w:rsidRPr="00741885">
        <w:t>his is a on</w:t>
      </w:r>
      <w:r w:rsidR="00897FA3">
        <w:t>e</w:t>
      </w:r>
      <w:r w:rsidR="00897FA3">
        <w:noBreakHyphen/>
      </w:r>
      <w:r w:rsidRPr="00741885">
        <w:t xml:space="preserve">off evaluation as </w:t>
      </w:r>
      <w:r w:rsidRPr="00996BAC">
        <w:t>Section 5.6.1</w:t>
      </w:r>
      <w:r w:rsidRPr="00741885">
        <w:t xml:space="preserve"> in the accreditation process;</w:t>
      </w:r>
    </w:p>
    <w:p w14:paraId="5855CAC5" w14:textId="77777777" w:rsidR="00215226" w:rsidRPr="008162B7" w:rsidRDefault="00215226" w:rsidP="00DA53F3">
      <w:pPr>
        <w:pStyle w:val="Bullet1"/>
      </w:pPr>
      <w:r w:rsidRPr="00BC018C">
        <w:t>Be physically located within Australia and provide services from within Australia</w:t>
      </w:r>
      <w:r w:rsidRPr="00BC018C">
        <w:rPr>
          <w:rStyle w:val="FootnoteReference"/>
        </w:rPr>
        <w:footnoteReference w:id="6"/>
      </w:r>
      <w:r w:rsidRPr="00BC018C">
        <w:t>;</w:t>
      </w:r>
    </w:p>
    <w:p w14:paraId="6E50CF0B" w14:textId="77777777" w:rsidR="00215226" w:rsidRPr="00DB230F" w:rsidRDefault="00215226" w:rsidP="00DA53F3">
      <w:pPr>
        <w:pStyle w:val="Bullet1"/>
      </w:pPr>
      <w:r w:rsidRPr="00DB230F">
        <w:t>Develop, maintain and provide PKI services in accordance with their Approved Documents;</w:t>
      </w:r>
    </w:p>
    <w:p w14:paraId="2D23C3EC" w14:textId="77777777" w:rsidR="00215226" w:rsidRPr="00DB230F" w:rsidRDefault="00215226" w:rsidP="00DA53F3">
      <w:pPr>
        <w:pStyle w:val="Bullet1"/>
      </w:pPr>
      <w:r w:rsidRPr="00DB230F">
        <w:t>Undergo an annual Gatekeeper Compliance Audit;</w:t>
      </w:r>
    </w:p>
    <w:p w14:paraId="501FF001" w14:textId="77777777" w:rsidR="00215226" w:rsidRPr="008E6537" w:rsidRDefault="00215226" w:rsidP="00DA53F3">
      <w:pPr>
        <w:pStyle w:val="Bullet1"/>
      </w:pPr>
      <w:r w:rsidRPr="008E6537">
        <w:t>Document their compliance with Gatekeeper Core Obligations in their legal documentation such as CPS, CP, Subscriber and Relying Party Agreements (where relevant) or into other Approved Documents submitted for approval by the Gatekeeper Competent Authority; and</w:t>
      </w:r>
    </w:p>
    <w:p w14:paraId="744723D6" w14:textId="77777777" w:rsidR="00215226" w:rsidRPr="008E6537" w:rsidRDefault="00215226" w:rsidP="00DA53F3">
      <w:pPr>
        <w:pStyle w:val="Bullet1"/>
      </w:pPr>
      <w:r w:rsidRPr="008E6537">
        <w:t xml:space="preserve">Implement the mandatory </w:t>
      </w:r>
      <w:r w:rsidRPr="00D825A0">
        <w:rPr>
          <w:rStyle w:val="Emphasis"/>
        </w:rPr>
        <w:t>Top 4 Strategies to Mitigate Targeted Cyber Intrusions</w:t>
      </w:r>
      <w:r w:rsidRPr="008E6537">
        <w:t xml:space="preserve"> as detailed in the ISM, comprising:</w:t>
      </w:r>
    </w:p>
    <w:p w14:paraId="6836C1E6" w14:textId="77777777" w:rsidR="00215226" w:rsidRPr="008E6537" w:rsidRDefault="00215226" w:rsidP="00DA53F3">
      <w:pPr>
        <w:pStyle w:val="Bullet2"/>
      </w:pPr>
      <w:r w:rsidRPr="008E6537">
        <w:t>Application Whitelisting,</w:t>
      </w:r>
    </w:p>
    <w:p w14:paraId="17B989D2" w14:textId="77777777" w:rsidR="00215226" w:rsidRPr="008E6537" w:rsidRDefault="00215226" w:rsidP="00DA53F3">
      <w:pPr>
        <w:pStyle w:val="Bullet2"/>
      </w:pPr>
      <w:r w:rsidRPr="008E6537">
        <w:lastRenderedPageBreak/>
        <w:t>Patch Applications,</w:t>
      </w:r>
    </w:p>
    <w:p w14:paraId="43E8FB08" w14:textId="77777777" w:rsidR="00215226" w:rsidRPr="008E6537" w:rsidRDefault="00215226" w:rsidP="00DA53F3">
      <w:pPr>
        <w:pStyle w:val="Bullet2"/>
      </w:pPr>
      <w:r w:rsidRPr="008E6537">
        <w:t>Patch Operating Systems, and</w:t>
      </w:r>
    </w:p>
    <w:p w14:paraId="5BF32F28" w14:textId="77777777" w:rsidR="00215226" w:rsidRPr="008E6537" w:rsidRDefault="00215226" w:rsidP="00DA53F3">
      <w:pPr>
        <w:pStyle w:val="Bullet2"/>
      </w:pPr>
      <w:r w:rsidRPr="008E6537">
        <w:t>Restrict Administrative Privileges</w:t>
      </w:r>
    </w:p>
    <w:p w14:paraId="1B64F5CA" w14:textId="06C7CC67" w:rsidR="00215226" w:rsidRPr="008E6537" w:rsidRDefault="00215226" w:rsidP="00BD2B67">
      <w:pPr>
        <w:pStyle w:val="Bullet1"/>
        <w:keepNext/>
      </w:pPr>
      <w:r w:rsidRPr="008E6537">
        <w:t>Adopt a risk-management approach and implement alternative security controls for:</w:t>
      </w:r>
    </w:p>
    <w:p w14:paraId="0B35FB36" w14:textId="77777777" w:rsidR="00215226" w:rsidRPr="008E6537" w:rsidRDefault="00215226" w:rsidP="00DA53F3">
      <w:pPr>
        <w:pStyle w:val="Bullet2"/>
      </w:pPr>
      <w:r w:rsidRPr="008E6537">
        <w:t>Technologies which lack available software to enforce the mandatory controls, and</w:t>
      </w:r>
    </w:p>
    <w:p w14:paraId="30F2FC44" w14:textId="77777777" w:rsidR="00215226" w:rsidRPr="008E6537" w:rsidRDefault="00215226" w:rsidP="00DA53F3">
      <w:pPr>
        <w:pStyle w:val="Bullet2"/>
      </w:pPr>
      <w:r w:rsidRPr="008E6537">
        <w:t>Scenarios or circumstances which prevent enforcement of the mandatory controls.</w:t>
      </w:r>
    </w:p>
    <w:p w14:paraId="74C498A3" w14:textId="77777777" w:rsidR="00215226" w:rsidRPr="008E6537" w:rsidRDefault="00215226" w:rsidP="00DA53F3">
      <w:pPr>
        <w:pStyle w:val="Bullet1"/>
      </w:pPr>
      <w:r w:rsidRPr="008E6537">
        <w:t>Develop and maintain a change management process which at a minimum defines the actions to be undertaken before and after standard, urgent and emergency changes are implemented.</w:t>
      </w:r>
    </w:p>
    <w:p w14:paraId="3520A08C" w14:textId="77777777" w:rsidR="00215226" w:rsidRPr="008E6537" w:rsidRDefault="00215226" w:rsidP="00DA53F3">
      <w:r w:rsidRPr="008E6537">
        <w:t xml:space="preserve">Service Providers </w:t>
      </w:r>
      <w:r w:rsidRPr="00D825A0">
        <w:rPr>
          <w:rStyle w:val="Strong"/>
        </w:rPr>
        <w:t xml:space="preserve">SHOULD </w:t>
      </w:r>
      <w:r w:rsidRPr="008E6537">
        <w:t>implement the recommended ISM controls that relate to the Top 4 Strategies.</w:t>
      </w:r>
      <w:r>
        <w:t xml:space="preserve"> </w:t>
      </w:r>
      <w:r w:rsidRPr="008E6537">
        <w:t>Although not considered mandatory these controls are best practice and complement the Top 4 Strategies.</w:t>
      </w:r>
      <w:r>
        <w:t xml:space="preserve"> </w:t>
      </w:r>
      <w:r w:rsidRPr="008E6537">
        <w:t>Service Providers may take a risk-based approach to implementing these controls, as is the norm for a risk based approach to protective security.</w:t>
      </w:r>
    </w:p>
    <w:p w14:paraId="3FBBF419" w14:textId="77777777" w:rsidR="00215226" w:rsidRPr="00F00731" w:rsidRDefault="00215226" w:rsidP="00DA53F3">
      <w:pPr>
        <w:pStyle w:val="Heading2Numbered"/>
      </w:pPr>
      <w:bookmarkStart w:id="133" w:name="_Toc426636669"/>
      <w:bookmarkStart w:id="134" w:name="_Toc426639953"/>
      <w:bookmarkStart w:id="135" w:name="_Toc430268922"/>
      <w:r w:rsidRPr="00F00731">
        <w:t>Certification Authority</w:t>
      </w:r>
      <w:bookmarkEnd w:id="133"/>
      <w:bookmarkEnd w:id="134"/>
      <w:bookmarkEnd w:id="135"/>
    </w:p>
    <w:p w14:paraId="289049BC" w14:textId="77777777" w:rsidR="00215226" w:rsidRPr="00F00731" w:rsidRDefault="00215226" w:rsidP="00DA53F3">
      <w:pPr>
        <w:pStyle w:val="Heading3Numbered"/>
      </w:pPr>
      <w:bookmarkStart w:id="136" w:name="_Toc426636670"/>
      <w:bookmarkStart w:id="137" w:name="_Toc426636791"/>
      <w:bookmarkStart w:id="138" w:name="_Toc426639954"/>
      <w:r w:rsidRPr="00F00731">
        <w:t>Standards</w:t>
      </w:r>
      <w:bookmarkEnd w:id="136"/>
      <w:bookmarkEnd w:id="137"/>
      <w:bookmarkEnd w:id="138"/>
    </w:p>
    <w:p w14:paraId="4269854B" w14:textId="77777777" w:rsidR="00215226" w:rsidRPr="00DB230F" w:rsidRDefault="00215226" w:rsidP="00DA53F3">
      <w:r w:rsidRPr="00DB230F">
        <w:t xml:space="preserve">A CA </w:t>
      </w:r>
      <w:r w:rsidRPr="00D825A0">
        <w:rPr>
          <w:rStyle w:val="Strong"/>
        </w:rPr>
        <w:t xml:space="preserve">MUST </w:t>
      </w:r>
      <w:r w:rsidRPr="00DB230F">
        <w:t>ensure all:</w:t>
      </w:r>
    </w:p>
    <w:p w14:paraId="652B5979" w14:textId="77777777" w:rsidR="00215226" w:rsidRDefault="00215226" w:rsidP="00DA53F3">
      <w:pPr>
        <w:pStyle w:val="Bullet1"/>
      </w:pPr>
      <w:r w:rsidRPr="00DB230F">
        <w:t xml:space="preserve">Digital certificates conform to the Request for Comment (RFC) </w:t>
      </w:r>
      <w:r>
        <w:t xml:space="preserve">5280 </w:t>
      </w:r>
      <w:r w:rsidRPr="00DB230F">
        <w:t>format;</w:t>
      </w:r>
    </w:p>
    <w:p w14:paraId="4B145EE2" w14:textId="77777777" w:rsidR="00215226" w:rsidRPr="00DB230F" w:rsidRDefault="00215226" w:rsidP="00DA53F3">
      <w:pPr>
        <w:pStyle w:val="Bullet2"/>
      </w:pPr>
      <w:r w:rsidRPr="00DB230F">
        <w:t>Annex B lists the Root CA, Subordinate CA and Subscriber Certificate Profiles to be used; and,</w:t>
      </w:r>
    </w:p>
    <w:p w14:paraId="6788DB77" w14:textId="77777777" w:rsidR="00215226" w:rsidRPr="00DB230F" w:rsidRDefault="00215226" w:rsidP="00DA53F3">
      <w:pPr>
        <w:pStyle w:val="Bullet2"/>
      </w:pPr>
      <w:r w:rsidRPr="00DB230F">
        <w:t>Any digital certificate extensions that do not conf</w:t>
      </w:r>
      <w:r>
        <w:t>o</w:t>
      </w:r>
      <w:r w:rsidRPr="00DB230F">
        <w:t xml:space="preserve">rm to RFC 5280 </w:t>
      </w:r>
      <w:r w:rsidRPr="00E64190">
        <w:rPr>
          <w:rStyle w:val="Strong"/>
        </w:rPr>
        <w:t>MUST</w:t>
      </w:r>
      <w:r w:rsidRPr="00DB230F">
        <w:t xml:space="preserve"> be marked non</w:t>
      </w:r>
      <w:r w:rsidR="00897FA3">
        <w:noBreakHyphen/>
      </w:r>
      <w:r w:rsidRPr="00DB230F">
        <w:t>critical).</w:t>
      </w:r>
    </w:p>
    <w:p w14:paraId="08585C7E" w14:textId="77777777" w:rsidR="00215226" w:rsidRPr="00DB230F" w:rsidRDefault="00215226" w:rsidP="00DA53F3">
      <w:pPr>
        <w:pStyle w:val="Bullet1"/>
      </w:pPr>
      <w:r w:rsidRPr="00DB230F">
        <w:t>CRLs conform to the X.509 v2 profiles as described in RFC5280;</w:t>
      </w:r>
    </w:p>
    <w:p w14:paraId="40E115B4" w14:textId="77777777" w:rsidR="00215226" w:rsidRPr="00DB230F" w:rsidRDefault="00215226" w:rsidP="00DA53F3">
      <w:pPr>
        <w:pStyle w:val="Bullet1"/>
      </w:pPr>
      <w:r w:rsidRPr="00DB230F">
        <w:t>OCSP responses conform to RFC5019 (if OCSP is supported); and</w:t>
      </w:r>
    </w:p>
    <w:p w14:paraId="160A829E" w14:textId="77777777" w:rsidR="00215226" w:rsidRPr="00DB230F" w:rsidRDefault="00215226" w:rsidP="00DA53F3">
      <w:pPr>
        <w:pStyle w:val="Bullet1"/>
      </w:pPr>
      <w:r w:rsidRPr="00DB230F">
        <w:t>CPS and CPs conform to the document framework as described in RFC3647.</w:t>
      </w:r>
    </w:p>
    <w:p w14:paraId="2C41B447" w14:textId="77777777" w:rsidR="00215226" w:rsidRPr="00DB230F" w:rsidRDefault="00215226" w:rsidP="00DA53F3">
      <w:r w:rsidRPr="00DB230F">
        <w:t xml:space="preserve">A CA </w:t>
      </w:r>
      <w:r w:rsidRPr="00D825A0">
        <w:rPr>
          <w:rStyle w:val="Strong"/>
        </w:rPr>
        <w:t>SHOULD</w:t>
      </w:r>
      <w:r w:rsidRPr="00DB230F">
        <w:t xml:space="preserve"> ensure all OCSP responses conform to RFC6960.</w:t>
      </w:r>
    </w:p>
    <w:p w14:paraId="6FADC934" w14:textId="77777777" w:rsidR="00215226" w:rsidRPr="00F00731" w:rsidRDefault="00215226" w:rsidP="00DA53F3">
      <w:pPr>
        <w:pStyle w:val="Heading3Numbered"/>
      </w:pPr>
      <w:bookmarkStart w:id="139" w:name="_Toc426636671"/>
      <w:bookmarkStart w:id="140" w:name="_Toc426636792"/>
      <w:bookmarkStart w:id="141" w:name="_Toc426639955"/>
      <w:r w:rsidRPr="00F00731">
        <w:t>Certification Practice Statement / Certificate Profile</w:t>
      </w:r>
      <w:bookmarkEnd w:id="139"/>
      <w:bookmarkEnd w:id="140"/>
      <w:bookmarkEnd w:id="141"/>
    </w:p>
    <w:p w14:paraId="790CBFAE" w14:textId="77777777" w:rsidR="00215226" w:rsidRDefault="00215226" w:rsidP="00DA53F3">
      <w:r w:rsidRPr="00DB230F">
        <w:t xml:space="preserve">A CA </w:t>
      </w:r>
      <w:r w:rsidRPr="00DA53F3">
        <w:rPr>
          <w:rStyle w:val="Strong"/>
        </w:rPr>
        <w:t>MUST</w:t>
      </w:r>
      <w:r w:rsidRPr="00DB230F">
        <w:t>:</w:t>
      </w:r>
    </w:p>
    <w:p w14:paraId="792276B6" w14:textId="77777777" w:rsidR="00215226" w:rsidRPr="00DB230F" w:rsidRDefault="00215226" w:rsidP="00DA53F3">
      <w:pPr>
        <w:pStyle w:val="Bullet1"/>
      </w:pPr>
      <w:r w:rsidRPr="00DB230F">
        <w:t>Perform digital certificate lifecycle operations in a manner which is compliant with its CPS;</w:t>
      </w:r>
    </w:p>
    <w:p w14:paraId="3A3111BD" w14:textId="77777777" w:rsidR="00215226" w:rsidRDefault="00215226" w:rsidP="00DA53F3">
      <w:pPr>
        <w:pStyle w:val="Bullet1"/>
      </w:pPr>
      <w:r w:rsidRPr="00DB230F">
        <w:t>Display the Gatekeeper Accreditation Disclaimer (Section 5.6.2) in their CPS and CPs;</w:t>
      </w:r>
    </w:p>
    <w:p w14:paraId="07824F9D" w14:textId="77777777" w:rsidR="00215226" w:rsidRPr="00DB230F" w:rsidRDefault="00215226" w:rsidP="00DA53F3">
      <w:pPr>
        <w:pStyle w:val="Bullet1"/>
      </w:pPr>
      <w:r w:rsidRPr="00DB230F">
        <w:t xml:space="preserve">Ensure the security objectives identified in the </w:t>
      </w:r>
      <w:r>
        <w:t>Information Security Documentation</w:t>
      </w:r>
      <w:r w:rsidRPr="00DB230F">
        <w:t xml:space="preserve"> are reflected in the CPS and CPs;</w:t>
      </w:r>
    </w:p>
    <w:p w14:paraId="2D34E63F" w14:textId="77777777" w:rsidR="00215226" w:rsidRPr="00DB230F" w:rsidRDefault="00215226" w:rsidP="00DA53F3">
      <w:pPr>
        <w:pStyle w:val="Bullet1"/>
      </w:pPr>
      <w:r w:rsidRPr="00DB230F">
        <w:t>Ensure the CP under which each digital certificate is issued clearly specifies the Key Usage within the Certificate Profile;</w:t>
      </w:r>
    </w:p>
    <w:p w14:paraId="6171B8CE" w14:textId="77777777" w:rsidR="00215226" w:rsidRPr="00DB230F" w:rsidRDefault="00215226" w:rsidP="00DA53F3">
      <w:pPr>
        <w:pStyle w:val="Bullet1"/>
      </w:pPr>
      <w:r w:rsidRPr="00DB230F">
        <w:t xml:space="preserve">Ensure all CPS and CPs undergo a legal evaluation by an authorised legal assessor from </w:t>
      </w:r>
      <w:r w:rsidRPr="003C6D6E">
        <w:t xml:space="preserve">the </w:t>
      </w:r>
      <w:r w:rsidRPr="00D825A0">
        <w:rPr>
          <w:rStyle w:val="Emphasis"/>
        </w:rPr>
        <w:t>Gatekeeper Legal Evaluation Panel</w:t>
      </w:r>
      <w:r w:rsidRPr="00996BAC">
        <w:rPr>
          <w:rStyle w:val="FootnoteReference"/>
        </w:rPr>
        <w:footnoteReference w:id="7"/>
      </w:r>
      <w:r w:rsidRPr="003C6D6E">
        <w:t xml:space="preserve"> and</w:t>
      </w:r>
      <w:r w:rsidRPr="00DB230F">
        <w:t>,</w:t>
      </w:r>
    </w:p>
    <w:p w14:paraId="62CBA055" w14:textId="77777777" w:rsidR="00215226" w:rsidRPr="00DB230F" w:rsidRDefault="00215226" w:rsidP="00DA53F3">
      <w:pPr>
        <w:pStyle w:val="Bullet1"/>
      </w:pPr>
      <w:r w:rsidRPr="00DB230F">
        <w:t>Make available as much of its published CPS and CPs as necessary to allow a relying party to make an informed decision on trust.</w:t>
      </w:r>
    </w:p>
    <w:p w14:paraId="38D2D37E" w14:textId="77777777" w:rsidR="00215226" w:rsidRPr="00DB230F" w:rsidRDefault="00215226" w:rsidP="00FF121B">
      <w:pPr>
        <w:keepNext/>
      </w:pPr>
      <w:r w:rsidRPr="00DB230F">
        <w:lastRenderedPageBreak/>
        <w:t xml:space="preserve">A CA </w:t>
      </w:r>
      <w:r w:rsidRPr="00DA53F3">
        <w:rPr>
          <w:rStyle w:val="Strong"/>
        </w:rPr>
        <w:t>MUST NOT</w:t>
      </w:r>
      <w:r w:rsidRPr="00DB230F">
        <w:t>:</w:t>
      </w:r>
    </w:p>
    <w:p w14:paraId="0B0850DC" w14:textId="77777777" w:rsidR="00215226" w:rsidRPr="00DB230F" w:rsidRDefault="00215226" w:rsidP="00DA53F3">
      <w:pPr>
        <w:pStyle w:val="Bullet1"/>
      </w:pPr>
      <w:r w:rsidRPr="00DB230F">
        <w:t>Escrow or backup Subscriber private keys used for non-repudiation; and</w:t>
      </w:r>
    </w:p>
    <w:p w14:paraId="5912B15B" w14:textId="77777777" w:rsidR="00215226" w:rsidRPr="00DB230F" w:rsidRDefault="00215226" w:rsidP="00DA53F3">
      <w:pPr>
        <w:pStyle w:val="Bullet1"/>
      </w:pPr>
      <w:r w:rsidRPr="00DB230F">
        <w:t>Mark the Key Usage Extension in Subscriber digital certificates as both Critical and Mandatory.</w:t>
      </w:r>
    </w:p>
    <w:p w14:paraId="3D2ADB0F" w14:textId="58E8277C" w:rsidR="00215226" w:rsidRPr="00F00731" w:rsidRDefault="00215226" w:rsidP="00DA53F3">
      <w:pPr>
        <w:pStyle w:val="Heading3Numbered"/>
      </w:pPr>
      <w:bookmarkStart w:id="142" w:name="_Toc426636672"/>
      <w:bookmarkStart w:id="143" w:name="_Toc426636793"/>
      <w:bookmarkStart w:id="144" w:name="_Toc426639956"/>
      <w:r w:rsidRPr="00F00731">
        <w:t>Staff Training</w:t>
      </w:r>
      <w:bookmarkEnd w:id="142"/>
      <w:bookmarkEnd w:id="143"/>
      <w:bookmarkEnd w:id="144"/>
    </w:p>
    <w:p w14:paraId="3022909D" w14:textId="77777777" w:rsidR="00215226" w:rsidRPr="00DB230F" w:rsidRDefault="00215226" w:rsidP="00DA53F3">
      <w:r w:rsidRPr="00DB230F">
        <w:t xml:space="preserve">A CA </w:t>
      </w:r>
      <w:r w:rsidRPr="00D825A0">
        <w:rPr>
          <w:rStyle w:val="Strong"/>
        </w:rPr>
        <w:t>MUST</w:t>
      </w:r>
      <w:r w:rsidRPr="00DB230F">
        <w:t>:</w:t>
      </w:r>
    </w:p>
    <w:p w14:paraId="3912996C" w14:textId="77777777" w:rsidR="00215226" w:rsidRDefault="00215226" w:rsidP="00DA53F3">
      <w:pPr>
        <w:pStyle w:val="Bullet1"/>
      </w:pPr>
      <w:r w:rsidRPr="00DB230F">
        <w:t>Provide all personnel performing information verification duties with skills-training that covers basic PKI knowledge, authentication and vetting policies and procedures, including the CPS and CA CP; and,</w:t>
      </w:r>
    </w:p>
    <w:p w14:paraId="19949B87" w14:textId="77777777" w:rsidR="00215226" w:rsidRPr="00DB230F" w:rsidRDefault="00215226" w:rsidP="00DA53F3">
      <w:pPr>
        <w:pStyle w:val="Bullet1"/>
      </w:pPr>
      <w:r w:rsidRPr="00DB230F">
        <w:t>Maintain records of such training and ensure that personnel maintain a skill level that enables them to perform such duties satisfactorily.</w:t>
      </w:r>
    </w:p>
    <w:p w14:paraId="751F54F8" w14:textId="77777777" w:rsidR="00215226" w:rsidRPr="003E302C" w:rsidRDefault="00215226" w:rsidP="00DA53F3">
      <w:pPr>
        <w:pStyle w:val="Heading3Numbered"/>
      </w:pPr>
      <w:bookmarkStart w:id="145" w:name="_Toc426636673"/>
      <w:bookmarkStart w:id="146" w:name="_Toc426636794"/>
      <w:bookmarkStart w:id="147" w:name="_Toc426639957"/>
      <w:r w:rsidRPr="003E302C">
        <w:t>Certificate Generation</w:t>
      </w:r>
      <w:bookmarkEnd w:id="145"/>
      <w:bookmarkEnd w:id="146"/>
      <w:bookmarkEnd w:id="147"/>
    </w:p>
    <w:p w14:paraId="4E0BA082" w14:textId="77777777" w:rsidR="00215226" w:rsidRPr="00DB230F" w:rsidRDefault="00215226" w:rsidP="00DA53F3">
      <w:r w:rsidRPr="00DB230F">
        <w:t xml:space="preserve">A CA </w:t>
      </w:r>
      <w:r w:rsidRPr="00D825A0">
        <w:rPr>
          <w:rStyle w:val="Strong"/>
        </w:rPr>
        <w:t xml:space="preserve">MUST, </w:t>
      </w:r>
      <w:r w:rsidRPr="00DB230F">
        <w:t>when generating a digital certificate, ensure that:</w:t>
      </w:r>
    </w:p>
    <w:p w14:paraId="2F198327" w14:textId="77777777" w:rsidR="00215226" w:rsidRPr="00DB230F" w:rsidRDefault="00215226" w:rsidP="00DA53F3">
      <w:pPr>
        <w:pStyle w:val="Bullet1"/>
      </w:pPr>
      <w:r w:rsidRPr="00DB230F">
        <w:t>The certificate information provided to it by an RA has been accurately transcribed into the digital</w:t>
      </w:r>
      <w:r w:rsidR="00897FA3">
        <w:t> </w:t>
      </w:r>
      <w:r w:rsidRPr="00DB230F">
        <w:t>certificate;</w:t>
      </w:r>
    </w:p>
    <w:p w14:paraId="00C9468A" w14:textId="77777777" w:rsidR="00215226" w:rsidRPr="00DB230F" w:rsidRDefault="00215226" w:rsidP="00DA53F3">
      <w:pPr>
        <w:pStyle w:val="Bullet1"/>
      </w:pPr>
      <w:r w:rsidRPr="00DB230F">
        <w:t>All other certificate information it generates itself is accurate; and,</w:t>
      </w:r>
    </w:p>
    <w:p w14:paraId="44A3C7AB" w14:textId="77777777" w:rsidR="00215226" w:rsidRPr="00DB230F" w:rsidRDefault="00215226" w:rsidP="00DA53F3">
      <w:pPr>
        <w:pStyle w:val="Bullet1"/>
      </w:pPr>
      <w:r w:rsidRPr="00DB230F">
        <w:t>The digital certificate contains all the elements required by the certificate profile contained in the</w:t>
      </w:r>
      <w:r w:rsidR="00897FA3">
        <w:t> </w:t>
      </w:r>
      <w:r w:rsidRPr="00DB230F">
        <w:t>CP.</w:t>
      </w:r>
    </w:p>
    <w:p w14:paraId="5A2FB30D" w14:textId="77777777" w:rsidR="00215226" w:rsidRPr="003E302C" w:rsidRDefault="00215226" w:rsidP="00DA53F3">
      <w:pPr>
        <w:pStyle w:val="Heading3Numbered"/>
      </w:pPr>
      <w:bookmarkStart w:id="148" w:name="_Toc426636674"/>
      <w:bookmarkStart w:id="149" w:name="_Toc426636795"/>
      <w:bookmarkStart w:id="150" w:name="_Toc426639958"/>
      <w:r w:rsidRPr="003E302C">
        <w:t>Key Generation</w:t>
      </w:r>
      <w:bookmarkEnd w:id="148"/>
      <w:bookmarkEnd w:id="149"/>
      <w:bookmarkEnd w:id="150"/>
    </w:p>
    <w:p w14:paraId="72F4ED69" w14:textId="77777777" w:rsidR="00215226" w:rsidRPr="00DB230F" w:rsidRDefault="00215226" w:rsidP="00DA53F3">
      <w:r w:rsidRPr="00DB230F">
        <w:t xml:space="preserve">A CA </w:t>
      </w:r>
      <w:r w:rsidRPr="00D825A0">
        <w:rPr>
          <w:rStyle w:val="Strong"/>
        </w:rPr>
        <w:t xml:space="preserve">MUST </w:t>
      </w:r>
      <w:r w:rsidRPr="00DB230F">
        <w:t xml:space="preserve">ensure that each key pair </w:t>
      </w:r>
      <w:r>
        <w:t>to be used with a certificate can work.</w:t>
      </w:r>
    </w:p>
    <w:p w14:paraId="3944C05E" w14:textId="77777777" w:rsidR="00215226" w:rsidRPr="003E302C" w:rsidRDefault="00215226" w:rsidP="00DA53F3">
      <w:pPr>
        <w:pStyle w:val="Heading3Numbered"/>
      </w:pPr>
      <w:bookmarkStart w:id="151" w:name="_Toc426636675"/>
      <w:bookmarkStart w:id="152" w:name="_Toc426636796"/>
      <w:bookmarkStart w:id="153" w:name="_Toc426639959"/>
      <w:r w:rsidRPr="003E302C">
        <w:t>Possession of Private Key</w:t>
      </w:r>
      <w:bookmarkEnd w:id="151"/>
      <w:bookmarkEnd w:id="152"/>
      <w:bookmarkEnd w:id="153"/>
    </w:p>
    <w:p w14:paraId="1D94AD4B" w14:textId="77777777" w:rsidR="00215226" w:rsidRPr="00DB230F" w:rsidRDefault="00215226" w:rsidP="00DA53F3">
      <w:r w:rsidRPr="00DB230F">
        <w:t xml:space="preserve">A CA </w:t>
      </w:r>
      <w:r w:rsidRPr="00D825A0">
        <w:rPr>
          <w:rStyle w:val="Strong"/>
        </w:rPr>
        <w:t xml:space="preserve">MUST </w:t>
      </w:r>
      <w:r w:rsidRPr="00DB230F">
        <w:t>take all reasonable actions to ensure that the Subscriber is in control of the activation data and private key(s) corresponding to the public key identified in the digital certificate before the private key can be used.</w:t>
      </w:r>
    </w:p>
    <w:p w14:paraId="6BC8D33C" w14:textId="77777777" w:rsidR="00215226" w:rsidRPr="003E302C" w:rsidRDefault="00215226" w:rsidP="00DA53F3">
      <w:pPr>
        <w:pStyle w:val="Heading3Numbered"/>
      </w:pPr>
      <w:bookmarkStart w:id="154" w:name="_Toc426636676"/>
      <w:bookmarkStart w:id="155" w:name="_Toc426636797"/>
      <w:bookmarkStart w:id="156" w:name="_Toc426639960"/>
      <w:r w:rsidRPr="003E302C">
        <w:t>Private Key Use</w:t>
      </w:r>
      <w:bookmarkEnd w:id="154"/>
      <w:bookmarkEnd w:id="155"/>
      <w:bookmarkEnd w:id="156"/>
    </w:p>
    <w:p w14:paraId="125C9F75" w14:textId="77777777" w:rsidR="00215226" w:rsidRPr="00DB230F" w:rsidRDefault="00215226" w:rsidP="00DA53F3">
      <w:r w:rsidRPr="00DB230F">
        <w:t xml:space="preserve">A CA </w:t>
      </w:r>
      <w:r w:rsidRPr="00D825A0">
        <w:rPr>
          <w:rStyle w:val="Strong"/>
        </w:rPr>
        <w:t xml:space="preserve">MUST </w:t>
      </w:r>
      <w:r w:rsidRPr="00DB230F">
        <w:t>ensure the Root CA Private Keys are not used to sign certificates except in the following cases:</w:t>
      </w:r>
    </w:p>
    <w:p w14:paraId="065E0C52" w14:textId="77777777" w:rsidR="00215226" w:rsidRPr="00DB230F" w:rsidRDefault="00215226" w:rsidP="00DA53F3">
      <w:pPr>
        <w:pStyle w:val="Bullet1"/>
      </w:pPr>
      <w:r w:rsidRPr="00DB230F">
        <w:t>Self-signed certificates to represent the Root CA itself;</w:t>
      </w:r>
    </w:p>
    <w:p w14:paraId="610B5DD5" w14:textId="77777777" w:rsidR="00215226" w:rsidRPr="00DB230F" w:rsidRDefault="00215226" w:rsidP="00DA53F3">
      <w:pPr>
        <w:pStyle w:val="Bullet1"/>
      </w:pPr>
      <w:r w:rsidRPr="00DB230F">
        <w:t>Certificates for Subordinate CAs (and Cross Certificates);</w:t>
      </w:r>
    </w:p>
    <w:p w14:paraId="0C1BAF7D" w14:textId="77777777" w:rsidR="00215226" w:rsidRPr="00DB230F" w:rsidRDefault="00215226" w:rsidP="00DA53F3">
      <w:pPr>
        <w:pStyle w:val="Bullet1"/>
      </w:pPr>
      <w:r w:rsidRPr="00DB230F">
        <w:t>Certificates for infrastructure purposes (e.g. administrative role certificates, internal CA NPE certificates, and OCSP certificates); and</w:t>
      </w:r>
    </w:p>
    <w:p w14:paraId="1D281299" w14:textId="77777777" w:rsidR="00215226" w:rsidRPr="00DB230F" w:rsidRDefault="00215226" w:rsidP="00DA53F3">
      <w:pPr>
        <w:pStyle w:val="Bullet1"/>
      </w:pPr>
      <w:r w:rsidRPr="00DB230F">
        <w:t>Certificates issued solely for the purpose of testing products with certificates issued by the Root</w:t>
      </w:r>
      <w:r w:rsidR="00897FA3">
        <w:t> </w:t>
      </w:r>
      <w:r w:rsidRPr="00DB230F">
        <w:t>CA.</w:t>
      </w:r>
    </w:p>
    <w:p w14:paraId="255E364D" w14:textId="77777777" w:rsidR="00215226" w:rsidRDefault="00215226" w:rsidP="00DA53F3">
      <w:pPr>
        <w:pStyle w:val="Heading3Numbered"/>
      </w:pPr>
      <w:bookmarkStart w:id="157" w:name="_Toc426636677"/>
      <w:bookmarkStart w:id="158" w:name="_Toc426636798"/>
      <w:bookmarkStart w:id="159" w:name="_Toc426639961"/>
      <w:r w:rsidRPr="003E302C">
        <w:t>Certificate Repository</w:t>
      </w:r>
      <w:bookmarkEnd w:id="157"/>
      <w:bookmarkEnd w:id="158"/>
      <w:bookmarkEnd w:id="159"/>
    </w:p>
    <w:p w14:paraId="2A55DCB9" w14:textId="77777777" w:rsidR="00215226" w:rsidRPr="00DB230F" w:rsidRDefault="00215226" w:rsidP="00DA53F3">
      <w:r w:rsidRPr="00DB230F">
        <w:t xml:space="preserve">A CA </w:t>
      </w:r>
      <w:r w:rsidRPr="00D825A0">
        <w:rPr>
          <w:rStyle w:val="Strong"/>
        </w:rPr>
        <w:t>MUST</w:t>
      </w:r>
      <w:r w:rsidRPr="00DB230F">
        <w:t>:</w:t>
      </w:r>
    </w:p>
    <w:p w14:paraId="3B017A40" w14:textId="77777777" w:rsidR="00215226" w:rsidRDefault="00215226" w:rsidP="00DA53F3">
      <w:pPr>
        <w:pStyle w:val="Bullet1"/>
      </w:pPr>
      <w:r w:rsidRPr="00DB230F">
        <w:t>In accordance with the ITU-T Recommendation [X.500] and [RFC3647], generate, maintain and make available a list of revoked digital certificates in a manner accessible by all potential Relying Parties using standard protocols and technologies to enable them to verify, in a timely manner, the</w:t>
      </w:r>
      <w:r w:rsidR="00897FA3">
        <w:t> </w:t>
      </w:r>
      <w:r w:rsidRPr="00DB230F">
        <w:t>currency of a particular digital certificate;</w:t>
      </w:r>
    </w:p>
    <w:p w14:paraId="42BBC94F" w14:textId="77777777" w:rsidR="00215226" w:rsidRPr="00AA4E69" w:rsidRDefault="00215226" w:rsidP="00DA53F3">
      <w:pPr>
        <w:pStyle w:val="Bullet1"/>
      </w:pPr>
      <w:r w:rsidRPr="00AA4E69">
        <w:lastRenderedPageBreak/>
        <w:t>Operate and maintain its CRL and, if supported, OCSP capabilities with resources sufficient to provide a response time of ten seconds or less under normal operating conditions</w:t>
      </w:r>
      <w:r>
        <w:t>; and</w:t>
      </w:r>
    </w:p>
    <w:p w14:paraId="3926B04B" w14:textId="77777777" w:rsidR="00215226" w:rsidRPr="00DB230F" w:rsidRDefault="00215226" w:rsidP="00DA53F3">
      <w:pPr>
        <w:pStyle w:val="Bullet1"/>
      </w:pPr>
      <w:r w:rsidRPr="00DB230F">
        <w:t>Ensure the location where certificates and CRLs are published has restricted write access so that only valid certificates and CRLs issued by approved PKI entities can be published by an authorised person or process.</w:t>
      </w:r>
    </w:p>
    <w:p w14:paraId="1C4609DC" w14:textId="122F6B5B" w:rsidR="00215226" w:rsidRPr="003E302C" w:rsidRDefault="00215226" w:rsidP="00DA53F3">
      <w:pPr>
        <w:pStyle w:val="Heading3Numbered"/>
      </w:pPr>
      <w:bookmarkStart w:id="160" w:name="_Toc426636678"/>
      <w:bookmarkStart w:id="161" w:name="_Toc426636799"/>
      <w:bookmarkStart w:id="162" w:name="_Toc426639962"/>
      <w:r w:rsidRPr="003E302C">
        <w:t>Certificate Revocation</w:t>
      </w:r>
      <w:bookmarkEnd w:id="160"/>
      <w:bookmarkEnd w:id="161"/>
      <w:bookmarkEnd w:id="162"/>
    </w:p>
    <w:p w14:paraId="45F503E1" w14:textId="77777777" w:rsidR="00215226" w:rsidRPr="00DB230F" w:rsidRDefault="00215226" w:rsidP="00DA53F3">
      <w:r w:rsidRPr="00DB230F">
        <w:t xml:space="preserve">A CA </w:t>
      </w:r>
      <w:r w:rsidRPr="00D825A0">
        <w:rPr>
          <w:rStyle w:val="Strong"/>
        </w:rPr>
        <w:t>MUST</w:t>
      </w:r>
      <w:r w:rsidRPr="00DB230F">
        <w:t>:</w:t>
      </w:r>
    </w:p>
    <w:p w14:paraId="63A2A91A" w14:textId="77777777" w:rsidR="00215226" w:rsidRPr="00DB230F" w:rsidRDefault="00215226" w:rsidP="00DA53F3">
      <w:pPr>
        <w:pStyle w:val="Bullet1"/>
      </w:pPr>
      <w:r w:rsidRPr="00DB230F">
        <w:t>Provide a process for Subscribers to request revocation of their own certificates.</w:t>
      </w:r>
      <w:r>
        <w:t xml:space="preserve"> </w:t>
      </w:r>
      <w:r w:rsidRPr="00DB230F">
        <w:t xml:space="preserve">The process </w:t>
      </w:r>
      <w:r w:rsidRPr="00D825A0">
        <w:rPr>
          <w:rStyle w:val="Strong"/>
        </w:rPr>
        <w:t>MUST</w:t>
      </w:r>
      <w:r w:rsidRPr="00DB230F">
        <w:t xml:space="preserve"> be described in the CPS and relevant CP;</w:t>
      </w:r>
    </w:p>
    <w:p w14:paraId="723E2688" w14:textId="77777777" w:rsidR="00215226" w:rsidRPr="00DB230F" w:rsidRDefault="00215226" w:rsidP="00DA53F3">
      <w:pPr>
        <w:pStyle w:val="Bullet1"/>
      </w:pPr>
      <w:r w:rsidRPr="00DB230F">
        <w:t xml:space="preserve">Provide Subscribers and Relying Parties with clear instructions for reporting suspected Private Key compromise, certificate misuse, or other types of fraud or inappropriate conduct relating to certificates. The CA </w:t>
      </w:r>
      <w:r w:rsidRPr="00D825A0">
        <w:rPr>
          <w:rStyle w:val="Strong"/>
        </w:rPr>
        <w:t>MUST</w:t>
      </w:r>
      <w:r w:rsidRPr="00DB230F">
        <w:t xml:space="preserve"> publically disclose the instructions through a readily accessible online means accessible by Subscribers and Relying Parties;</w:t>
      </w:r>
    </w:p>
    <w:p w14:paraId="55591250" w14:textId="77777777" w:rsidR="00215226" w:rsidRPr="00DB230F" w:rsidRDefault="00215226" w:rsidP="00DA53F3">
      <w:pPr>
        <w:pStyle w:val="Bullet1"/>
      </w:pPr>
      <w:r w:rsidRPr="00DB230F">
        <w:t xml:space="preserve">Ensure the prompt revocation of a digital certificate in accordance with the requirements of the CP under which it was issued and in accordance with the requirements outlined in the </w:t>
      </w:r>
      <w:r w:rsidRPr="00D825A0">
        <w:rPr>
          <w:rStyle w:val="Emphasis"/>
        </w:rPr>
        <w:t>CA Requirements</w:t>
      </w:r>
      <w:r w:rsidRPr="00DB230F">
        <w:t xml:space="preserve"> section for the specific LOA of the accreditation; and,</w:t>
      </w:r>
    </w:p>
    <w:p w14:paraId="552057E9" w14:textId="77777777" w:rsidR="00215226" w:rsidRPr="00DB230F" w:rsidRDefault="00215226" w:rsidP="00DA53F3">
      <w:pPr>
        <w:pStyle w:val="Bullet1"/>
      </w:pPr>
      <w:r w:rsidRPr="00DB230F">
        <w:t>Revoke a certificate if one or more of the following occurs:</w:t>
      </w:r>
    </w:p>
    <w:p w14:paraId="54D95F1C" w14:textId="77777777" w:rsidR="00215226" w:rsidRPr="00DB230F" w:rsidRDefault="00215226" w:rsidP="00DA53F3">
      <w:pPr>
        <w:pStyle w:val="Bullet2"/>
      </w:pPr>
      <w:r w:rsidRPr="00DB230F">
        <w:t>The Subscriber notifies the CA that the original certificate request was not authorised and does not retrospectively grant authorisation;</w:t>
      </w:r>
    </w:p>
    <w:p w14:paraId="32228A5E" w14:textId="77777777" w:rsidR="00215226" w:rsidRPr="00DB230F" w:rsidRDefault="00215226" w:rsidP="00DA53F3">
      <w:pPr>
        <w:pStyle w:val="Bullet2"/>
      </w:pPr>
      <w:r w:rsidRPr="00DB230F">
        <w:t>The CA obtains evidence that the Subscriber’s private key corresponding to the public key in the certificate suffered a key compromise or no longer complies with the requirements outline in</w:t>
      </w:r>
      <w:r w:rsidR="00897FA3">
        <w:t> </w:t>
      </w:r>
      <w:r w:rsidRPr="00DB230F">
        <w:t>the CP;</w:t>
      </w:r>
    </w:p>
    <w:p w14:paraId="7222FFC7" w14:textId="77777777" w:rsidR="00215226" w:rsidRPr="00DB230F" w:rsidRDefault="00215226" w:rsidP="00DA53F3">
      <w:pPr>
        <w:pStyle w:val="Bullet2"/>
      </w:pPr>
      <w:r w:rsidRPr="00DB230F">
        <w:t xml:space="preserve">The CA obtains </w:t>
      </w:r>
      <w:r>
        <w:t xml:space="preserve">credible </w:t>
      </w:r>
      <w:r w:rsidRPr="00DB230F">
        <w:t>evidence any certificate it has issued has been misused;</w:t>
      </w:r>
    </w:p>
    <w:p w14:paraId="43BB6802" w14:textId="77777777" w:rsidR="00215226" w:rsidRPr="00DB230F" w:rsidRDefault="00215226" w:rsidP="00DA53F3">
      <w:pPr>
        <w:pStyle w:val="Bullet2"/>
      </w:pPr>
      <w:r w:rsidRPr="00DB230F">
        <w:t>The CA is made aware that a Subscriber has violated one or more of its material obligations under the Subscriber Agreement or other contractual or terms of use agreements that apply;</w:t>
      </w:r>
    </w:p>
    <w:p w14:paraId="0791F22A" w14:textId="77777777" w:rsidR="00215226" w:rsidRPr="00DB230F" w:rsidRDefault="00215226" w:rsidP="00DA53F3">
      <w:pPr>
        <w:pStyle w:val="Bullet2"/>
      </w:pPr>
      <w:r w:rsidRPr="00DB230F">
        <w:t>The CA is made aware that the certificate was not issued in accordance with its CP or CPS;</w:t>
      </w:r>
    </w:p>
    <w:p w14:paraId="0503FC25" w14:textId="77777777" w:rsidR="00215226" w:rsidRPr="00DB230F" w:rsidRDefault="00215226" w:rsidP="00DA53F3">
      <w:pPr>
        <w:pStyle w:val="Bullet2"/>
      </w:pPr>
      <w:r w:rsidRPr="00DB230F">
        <w:t>The CA determines that any of the information appearing in the certificate is inaccurate or misleading;</w:t>
      </w:r>
    </w:p>
    <w:p w14:paraId="04ECC47A" w14:textId="77777777" w:rsidR="00215226" w:rsidRPr="00DB230F" w:rsidRDefault="00215226" w:rsidP="00DA53F3">
      <w:pPr>
        <w:pStyle w:val="Bullet2"/>
      </w:pPr>
      <w:r w:rsidRPr="00DB230F">
        <w:t>The CA ceases operations for any reason and has not made arrangements for another CA to provide revocation support for the certificate</w:t>
      </w:r>
      <w:r>
        <w:t>; and</w:t>
      </w:r>
    </w:p>
    <w:p w14:paraId="0A3A362B" w14:textId="77777777" w:rsidR="00215226" w:rsidRDefault="00215226" w:rsidP="00DA53F3">
      <w:pPr>
        <w:pStyle w:val="Bullet2"/>
      </w:pPr>
      <w:r w:rsidRPr="00DB230F">
        <w:t xml:space="preserve">The CA </w:t>
      </w:r>
      <w:r>
        <w:t>obtains credible evidence</w:t>
      </w:r>
      <w:r w:rsidRPr="00DB230F">
        <w:t xml:space="preserve"> of a possible compromise of a Subordinate CA’s private key.</w:t>
      </w:r>
    </w:p>
    <w:p w14:paraId="763CCBC9" w14:textId="77777777" w:rsidR="00215226" w:rsidRPr="003E302C" w:rsidRDefault="00215226" w:rsidP="00DA53F3">
      <w:pPr>
        <w:pStyle w:val="Heading3Numbered"/>
      </w:pPr>
      <w:bookmarkStart w:id="163" w:name="_Toc426636679"/>
      <w:bookmarkStart w:id="164" w:name="_Toc426636800"/>
      <w:bookmarkStart w:id="165" w:name="_Toc426639963"/>
      <w:r w:rsidRPr="003E302C">
        <w:t>Key Archive and Recover</w:t>
      </w:r>
      <w:bookmarkEnd w:id="163"/>
      <w:bookmarkEnd w:id="164"/>
      <w:bookmarkEnd w:id="165"/>
    </w:p>
    <w:p w14:paraId="1562D8C1" w14:textId="77777777" w:rsidR="00215226" w:rsidRDefault="00215226" w:rsidP="00DA53F3">
      <w:r>
        <w:t>The protection of a</w:t>
      </w:r>
      <w:r w:rsidRPr="00DB230F">
        <w:t xml:space="preserve"> Key Archive </w:t>
      </w:r>
      <w:r w:rsidRPr="00D825A0">
        <w:rPr>
          <w:rStyle w:val="Strong"/>
        </w:rPr>
        <w:t>MUST</w:t>
      </w:r>
      <w:r w:rsidRPr="00DB230F">
        <w:t xml:space="preserve"> be </w:t>
      </w:r>
      <w:r>
        <w:t xml:space="preserve">commensurate with the protection afforded to the </w:t>
      </w:r>
      <w:r w:rsidRPr="00DB230F">
        <w:t xml:space="preserve">CA and </w:t>
      </w:r>
      <w:r w:rsidRPr="00D825A0">
        <w:rPr>
          <w:rStyle w:val="Strong"/>
        </w:rPr>
        <w:t>MUST</w:t>
      </w:r>
      <w:r>
        <w:t xml:space="preserve"> </w:t>
      </w:r>
      <w:r w:rsidRPr="00DB230F">
        <w:t xml:space="preserve">implement network filtering, identity segmentation and security controls </w:t>
      </w:r>
      <w:r>
        <w:t>corresponding to the</w:t>
      </w:r>
      <w:r w:rsidRPr="00DB230F">
        <w:t xml:space="preserve"> CAs LOA.</w:t>
      </w:r>
    </w:p>
    <w:p w14:paraId="0C222BF9" w14:textId="77777777" w:rsidR="00215226" w:rsidRPr="00DB230F" w:rsidRDefault="00215226" w:rsidP="00DA53F3">
      <w:r w:rsidRPr="00DB230F">
        <w:t xml:space="preserve">Private keys </w:t>
      </w:r>
      <w:r w:rsidRPr="00D825A0">
        <w:rPr>
          <w:rStyle w:val="Strong"/>
        </w:rPr>
        <w:t>MUST</w:t>
      </w:r>
      <w:r w:rsidRPr="00DB230F">
        <w:t xml:space="preserve"> be encrypted within the </w:t>
      </w:r>
      <w:r>
        <w:t>K</w:t>
      </w:r>
      <w:r w:rsidRPr="00DB230F">
        <w:t xml:space="preserve">ey </w:t>
      </w:r>
      <w:r>
        <w:t>A</w:t>
      </w:r>
      <w:r w:rsidRPr="00DB230F">
        <w:t xml:space="preserve">rchive </w:t>
      </w:r>
      <w:r>
        <w:t>S</w:t>
      </w:r>
      <w:r w:rsidRPr="00DB230F">
        <w:t xml:space="preserve">tore to </w:t>
      </w:r>
      <w:r>
        <w:t>mitigate</w:t>
      </w:r>
      <w:r w:rsidRPr="00DB230F">
        <w:t xml:space="preserve"> attacks where the store is stolen and accessed offline.</w:t>
      </w:r>
    </w:p>
    <w:p w14:paraId="15FDAA5B" w14:textId="77777777" w:rsidR="00215226" w:rsidRPr="00DB230F" w:rsidRDefault="00215226" w:rsidP="00DA53F3">
      <w:r w:rsidRPr="00DB230F">
        <w:t xml:space="preserve">Any instance of key recovery </w:t>
      </w:r>
      <w:r w:rsidRPr="00D825A0">
        <w:rPr>
          <w:rStyle w:val="Strong"/>
        </w:rPr>
        <w:t>MUST</w:t>
      </w:r>
      <w:r w:rsidRPr="00DB230F">
        <w:t xml:space="preserve"> be logged, audited and alerted so they can be reviewed by the appropriate authority.</w:t>
      </w:r>
    </w:p>
    <w:p w14:paraId="3F7D0FB1" w14:textId="77777777" w:rsidR="00215226" w:rsidRPr="00DB230F" w:rsidRDefault="00215226" w:rsidP="00DA53F3">
      <w:r>
        <w:t xml:space="preserve">THE CA </w:t>
      </w:r>
      <w:r w:rsidRPr="00D825A0">
        <w:rPr>
          <w:rStyle w:val="Strong"/>
        </w:rPr>
        <w:t>MUST</w:t>
      </w:r>
      <w:r w:rsidRPr="00DB230F">
        <w:t xml:space="preserve"> only archive encryption keys to enable recovery of encrypted data. Keys used for digital signature or authentication </w:t>
      </w:r>
      <w:r w:rsidRPr="00D825A0">
        <w:rPr>
          <w:rStyle w:val="Strong"/>
        </w:rPr>
        <w:t>MUST NOT</w:t>
      </w:r>
      <w:r w:rsidRPr="00DB230F">
        <w:t xml:space="preserve"> be archived.</w:t>
      </w:r>
    </w:p>
    <w:p w14:paraId="3BCFE0B4" w14:textId="77777777" w:rsidR="00215226" w:rsidRPr="003E302C" w:rsidRDefault="00215226" w:rsidP="00DA53F3">
      <w:pPr>
        <w:pStyle w:val="Heading3Numbered"/>
      </w:pPr>
      <w:bookmarkStart w:id="166" w:name="_Toc426636680"/>
      <w:bookmarkStart w:id="167" w:name="_Toc426636801"/>
      <w:bookmarkStart w:id="168" w:name="_Toc426639964"/>
      <w:r w:rsidRPr="003E302C">
        <w:lastRenderedPageBreak/>
        <w:t>CA Termination</w:t>
      </w:r>
      <w:bookmarkEnd w:id="166"/>
      <w:bookmarkEnd w:id="167"/>
      <w:bookmarkEnd w:id="168"/>
    </w:p>
    <w:p w14:paraId="30EC2658" w14:textId="77777777" w:rsidR="00215226" w:rsidRPr="00DB230F" w:rsidRDefault="00215226" w:rsidP="00DA53F3">
      <w:r w:rsidRPr="00DB230F">
        <w:t xml:space="preserve">In the event that a Gatekeeper accredited CA terminates its operations whether voluntary or involuntary it </w:t>
      </w:r>
      <w:r w:rsidRPr="00D825A0">
        <w:rPr>
          <w:rStyle w:val="Strong"/>
        </w:rPr>
        <w:t>MUST NOT</w:t>
      </w:r>
      <w:r w:rsidRPr="00DB230F">
        <w:t>:</w:t>
      </w:r>
    </w:p>
    <w:p w14:paraId="6E87C659" w14:textId="77777777" w:rsidR="00215226" w:rsidRPr="00DB230F" w:rsidRDefault="00215226" w:rsidP="00DA53F3">
      <w:pPr>
        <w:pStyle w:val="Bullet1"/>
      </w:pPr>
      <w:r w:rsidRPr="00DB230F">
        <w:t xml:space="preserve">Enter into any new contracts with customers, or renew existing contracts; </w:t>
      </w:r>
      <w:r>
        <w:t>or</w:t>
      </w:r>
      <w:r w:rsidRPr="00DB230F">
        <w:t>,</w:t>
      </w:r>
    </w:p>
    <w:p w14:paraId="69D13000" w14:textId="77777777" w:rsidR="00215226" w:rsidRPr="00DB230F" w:rsidRDefault="00215226" w:rsidP="00DA53F3">
      <w:pPr>
        <w:pStyle w:val="Bullet1"/>
      </w:pPr>
      <w:r w:rsidRPr="00DB230F">
        <w:t>Enter into any new Subscriber Agreements, or renew existing Subscriber Agreements.</w:t>
      </w:r>
    </w:p>
    <w:p w14:paraId="192B70F4" w14:textId="77777777" w:rsidR="00215226" w:rsidRPr="00DB230F" w:rsidRDefault="00215226" w:rsidP="00DA53F3">
      <w:r w:rsidRPr="00DB230F">
        <w:t xml:space="preserve">In the event that a Gatekeeper accredited CA terminates its operations whether voluntary or involuntary it </w:t>
      </w:r>
      <w:r w:rsidRPr="00D825A0">
        <w:rPr>
          <w:rStyle w:val="Strong"/>
        </w:rPr>
        <w:t>MUST</w:t>
      </w:r>
      <w:r w:rsidRPr="00DB230F">
        <w:t>:</w:t>
      </w:r>
    </w:p>
    <w:p w14:paraId="32990B45" w14:textId="77777777" w:rsidR="00215226" w:rsidRPr="00DB230F" w:rsidRDefault="00215226" w:rsidP="00DA53F3">
      <w:pPr>
        <w:pStyle w:val="Bullet1"/>
      </w:pPr>
      <w:r w:rsidRPr="00DB230F">
        <w:t>Make arrangements to novate to another Gatekeeper accredited CA or terminate all Subscriber agreements that were entered into in accordance with the relevant CP;</w:t>
      </w:r>
    </w:p>
    <w:p w14:paraId="34522C9C" w14:textId="77777777" w:rsidR="00215226" w:rsidRPr="00DB230F" w:rsidRDefault="00215226" w:rsidP="00DA53F3">
      <w:pPr>
        <w:pStyle w:val="Bullet1"/>
      </w:pPr>
      <w:r w:rsidRPr="00DB230F">
        <w:t>Give notice to the Gatekeeper Competent Authority and all associated parties (e.g. Subscribers, Relying Parties) advising them of its intention to terminate its contracts with them, the termination to be effective in accordance with the terms of the relevant contract;</w:t>
      </w:r>
    </w:p>
    <w:p w14:paraId="4F862EA5" w14:textId="77777777" w:rsidR="00215226" w:rsidRPr="00DB230F" w:rsidRDefault="00215226" w:rsidP="00DA53F3">
      <w:pPr>
        <w:pStyle w:val="Bullet1"/>
      </w:pPr>
      <w:r w:rsidRPr="00DB230F">
        <w:t>Continue to provide the services, in particular the maintenance of a CRL or other listing of revoked digital certificates in accordance with the contractual arrangements it has with agencies, and any relevant Approved Documents which include arrangements to accommodate significant interruptions in the provision of the service; and</w:t>
      </w:r>
    </w:p>
    <w:p w14:paraId="69B83ED7" w14:textId="6C0B7614" w:rsidR="00215226" w:rsidRPr="00DB230F" w:rsidRDefault="00215226" w:rsidP="00DA53F3">
      <w:pPr>
        <w:pStyle w:val="Bullet1"/>
      </w:pPr>
      <w:r w:rsidRPr="00DB230F">
        <w:t xml:space="preserve">Co-operate with the </w:t>
      </w:r>
      <w:r w:rsidR="00EA43EB">
        <w:t>Digital Transformation Office</w:t>
      </w:r>
      <w:r w:rsidR="00EA43EB" w:rsidRPr="008E6537">
        <w:t xml:space="preserve"> </w:t>
      </w:r>
      <w:r w:rsidRPr="00B84BCB">
        <w:t>and other Service Providers, to achieve a seamless and secure migration of the</w:t>
      </w:r>
      <w:r w:rsidRPr="00DB230F">
        <w:t xml:space="preserve"> agencies and Subscribers to a new Gatekeeper accredited CA.</w:t>
      </w:r>
    </w:p>
    <w:p w14:paraId="5C4FA235" w14:textId="77777777" w:rsidR="00215226" w:rsidRPr="003E302C" w:rsidRDefault="00215226" w:rsidP="00DA53F3">
      <w:pPr>
        <w:pStyle w:val="Heading3Numbered"/>
      </w:pPr>
      <w:bookmarkStart w:id="169" w:name="_Toc426636681"/>
      <w:bookmarkStart w:id="170" w:name="_Toc426636802"/>
      <w:bookmarkStart w:id="171" w:name="_Toc426639965"/>
      <w:r w:rsidRPr="003E302C">
        <w:t>Logging</w:t>
      </w:r>
      <w:bookmarkEnd w:id="169"/>
      <w:bookmarkEnd w:id="170"/>
      <w:bookmarkEnd w:id="171"/>
    </w:p>
    <w:p w14:paraId="760EBEDE" w14:textId="77777777" w:rsidR="00215226" w:rsidRPr="00D60649" w:rsidRDefault="00215226" w:rsidP="00DA53F3">
      <w:r w:rsidRPr="00D60649">
        <w:t xml:space="preserve">The CA </w:t>
      </w:r>
      <w:r w:rsidRPr="00D825A0">
        <w:rPr>
          <w:rStyle w:val="Strong"/>
        </w:rPr>
        <w:t>MUST</w:t>
      </w:r>
      <w:r w:rsidRPr="00D60649">
        <w:t xml:space="preserve"> record at least the following events:</w:t>
      </w:r>
    </w:p>
    <w:p w14:paraId="2EBD2EE7" w14:textId="77777777" w:rsidR="00215226" w:rsidRPr="00DB230F" w:rsidRDefault="00215226" w:rsidP="00DA53F3">
      <w:pPr>
        <w:pStyle w:val="Bullet1"/>
      </w:pPr>
      <w:r w:rsidRPr="00DB230F">
        <w:t>CA key lifecycle management events, including:</w:t>
      </w:r>
    </w:p>
    <w:p w14:paraId="2ABD2F42" w14:textId="77777777" w:rsidR="00215226" w:rsidRPr="00DB230F" w:rsidRDefault="00215226" w:rsidP="00DA53F3">
      <w:pPr>
        <w:pStyle w:val="Bullet2"/>
      </w:pPr>
      <w:r w:rsidRPr="00DB230F">
        <w:t>Key generation, backup, storage, recovery, archival and destruction; and,</w:t>
      </w:r>
    </w:p>
    <w:p w14:paraId="36CABA90" w14:textId="77777777" w:rsidR="00215226" w:rsidRPr="00DB230F" w:rsidRDefault="00215226" w:rsidP="00DA53F3">
      <w:pPr>
        <w:pStyle w:val="Bullet2"/>
      </w:pPr>
      <w:r w:rsidRPr="00DB230F">
        <w:t>Cryptographic device lifecycle management events.</w:t>
      </w:r>
    </w:p>
    <w:p w14:paraId="1A63FA03" w14:textId="77777777" w:rsidR="00215226" w:rsidRPr="00DB230F" w:rsidRDefault="00215226" w:rsidP="00DA53F3">
      <w:pPr>
        <w:pStyle w:val="Bullet1"/>
      </w:pPr>
      <w:r w:rsidRPr="00DB230F">
        <w:t>CA and Subscriber lifecycle management events, including:</w:t>
      </w:r>
    </w:p>
    <w:p w14:paraId="087AF473" w14:textId="77777777" w:rsidR="00215226" w:rsidRPr="00DB230F" w:rsidRDefault="00215226" w:rsidP="00DA53F3">
      <w:pPr>
        <w:pStyle w:val="Bullet2"/>
      </w:pPr>
      <w:r w:rsidRPr="00DB230F">
        <w:t>Certificate requests, renewal requests, r</w:t>
      </w:r>
      <w:r w:rsidR="00897FA3">
        <w:t>e</w:t>
      </w:r>
      <w:r w:rsidR="00897FA3">
        <w:noBreakHyphen/>
      </w:r>
      <w:r w:rsidRPr="00DB230F">
        <w:t>key requests, revocation requests and revocation actions;</w:t>
      </w:r>
    </w:p>
    <w:p w14:paraId="70008B75" w14:textId="77777777" w:rsidR="00215226" w:rsidRPr="00DB230F" w:rsidRDefault="00215226" w:rsidP="00DA53F3">
      <w:pPr>
        <w:pStyle w:val="Bullet2"/>
      </w:pPr>
      <w:r w:rsidRPr="00DB230F">
        <w:t>Acceptance and rejection of certificate requests; and,</w:t>
      </w:r>
    </w:p>
    <w:p w14:paraId="5FF303BC" w14:textId="77777777" w:rsidR="00215226" w:rsidRPr="00DB230F" w:rsidRDefault="00215226" w:rsidP="00DA53F3">
      <w:pPr>
        <w:pStyle w:val="Bullet2"/>
      </w:pPr>
      <w:r w:rsidRPr="00DB230F">
        <w:t>Issuance of certificates.</w:t>
      </w:r>
    </w:p>
    <w:p w14:paraId="08E3236F" w14:textId="77777777" w:rsidR="00215226" w:rsidRPr="00DB230F" w:rsidRDefault="00215226" w:rsidP="00DA53F3">
      <w:pPr>
        <w:pStyle w:val="Bullet1"/>
      </w:pPr>
      <w:r w:rsidRPr="00DB230F">
        <w:t>Generation of CRLs and if supported, OCSP</w:t>
      </w:r>
      <w:r>
        <w:t xml:space="preserve"> </w:t>
      </w:r>
      <w:r w:rsidRPr="00DB230F">
        <w:t>entries</w:t>
      </w:r>
    </w:p>
    <w:p w14:paraId="0CD30E87" w14:textId="77777777" w:rsidR="00215226" w:rsidRPr="00DB230F" w:rsidRDefault="00215226" w:rsidP="00DA53F3">
      <w:pPr>
        <w:pStyle w:val="Bullet1"/>
      </w:pPr>
      <w:r w:rsidRPr="00DB230F">
        <w:t>Security events, including:</w:t>
      </w:r>
    </w:p>
    <w:p w14:paraId="17E1032C" w14:textId="77777777" w:rsidR="00215226" w:rsidRPr="00DB230F" w:rsidRDefault="00215226" w:rsidP="00DA53F3">
      <w:pPr>
        <w:pStyle w:val="Bullet2"/>
      </w:pPr>
      <w:r w:rsidRPr="00DB230F">
        <w:t>Successful and unsuccessful PKI system access attempts;</w:t>
      </w:r>
    </w:p>
    <w:p w14:paraId="2E437651" w14:textId="77777777" w:rsidR="00215226" w:rsidRPr="00DB230F" w:rsidRDefault="00215226" w:rsidP="00DA53F3">
      <w:pPr>
        <w:pStyle w:val="Bullet2"/>
      </w:pPr>
      <w:r w:rsidRPr="00DB230F">
        <w:t>Changes to rights assigned to privileged accounts;</w:t>
      </w:r>
    </w:p>
    <w:p w14:paraId="6D1ED844" w14:textId="77777777" w:rsidR="00215226" w:rsidRPr="00DB230F" w:rsidRDefault="00215226" w:rsidP="00DA53F3">
      <w:pPr>
        <w:pStyle w:val="Bullet2"/>
      </w:pPr>
      <w:r w:rsidRPr="00DB230F">
        <w:t>System outages, hardware failures and other anomalies;</w:t>
      </w:r>
    </w:p>
    <w:p w14:paraId="535B968C" w14:textId="77777777" w:rsidR="00215226" w:rsidRPr="00DB230F" w:rsidRDefault="00215226" w:rsidP="00DA53F3">
      <w:pPr>
        <w:pStyle w:val="Bullet2"/>
      </w:pPr>
      <w:r w:rsidRPr="00DB230F">
        <w:t>Firewall and router activities; and,</w:t>
      </w:r>
    </w:p>
    <w:p w14:paraId="7BAB5DC9" w14:textId="77777777" w:rsidR="00215226" w:rsidRDefault="00215226" w:rsidP="00DA53F3">
      <w:pPr>
        <w:pStyle w:val="Bullet2"/>
      </w:pPr>
      <w:r w:rsidRPr="00DB230F">
        <w:t>Entries to and exits from the CA facility.</w:t>
      </w:r>
    </w:p>
    <w:p w14:paraId="7839DB8E" w14:textId="77777777" w:rsidR="00215226" w:rsidRPr="00D60649" w:rsidRDefault="00215226" w:rsidP="00DA53F3">
      <w:r w:rsidRPr="00D60649">
        <w:t xml:space="preserve">Logs </w:t>
      </w:r>
      <w:r w:rsidRPr="00D825A0">
        <w:rPr>
          <w:rStyle w:val="Strong"/>
        </w:rPr>
        <w:t>MUST</w:t>
      </w:r>
      <w:r w:rsidRPr="00D60649">
        <w:t xml:space="preserve"> be retained for a minimum of seven years after action is completed in accordance with the [AA1983] and [AFDA].</w:t>
      </w:r>
    </w:p>
    <w:p w14:paraId="5EA8DA62" w14:textId="77777777" w:rsidR="00215226" w:rsidRDefault="00215226" w:rsidP="00DA53F3">
      <w:pPr>
        <w:pStyle w:val="Heading2Numbered"/>
      </w:pPr>
      <w:bookmarkStart w:id="172" w:name="_Toc426636682"/>
      <w:bookmarkStart w:id="173" w:name="_Toc426639966"/>
      <w:bookmarkStart w:id="174" w:name="_Toc430268923"/>
      <w:r w:rsidRPr="003E302C">
        <w:lastRenderedPageBreak/>
        <w:t>Registration Authority</w:t>
      </w:r>
      <w:bookmarkEnd w:id="172"/>
      <w:bookmarkEnd w:id="173"/>
      <w:bookmarkEnd w:id="174"/>
    </w:p>
    <w:p w14:paraId="0ECECEED" w14:textId="77777777" w:rsidR="00215226" w:rsidRPr="003E302C" w:rsidRDefault="00215226" w:rsidP="00DA53F3">
      <w:pPr>
        <w:pStyle w:val="Heading3Numbered"/>
      </w:pPr>
      <w:bookmarkStart w:id="175" w:name="_Toc426636683"/>
      <w:bookmarkStart w:id="176" w:name="_Toc426636804"/>
      <w:bookmarkStart w:id="177" w:name="_Toc426639967"/>
      <w:r w:rsidRPr="003E302C">
        <w:t>Identity Proofing</w:t>
      </w:r>
      <w:bookmarkEnd w:id="175"/>
      <w:bookmarkEnd w:id="176"/>
      <w:bookmarkEnd w:id="177"/>
    </w:p>
    <w:p w14:paraId="2EE50E19" w14:textId="77777777" w:rsidR="00215226" w:rsidRDefault="00215226" w:rsidP="00DA53F3">
      <w:r w:rsidRPr="00B35F0B">
        <w:t xml:space="preserve">A RA </w:t>
      </w:r>
      <w:r w:rsidRPr="00D825A0">
        <w:rPr>
          <w:rStyle w:val="Strong"/>
        </w:rPr>
        <w:t>MUST:</w:t>
      </w:r>
    </w:p>
    <w:p w14:paraId="245AB12C" w14:textId="77777777" w:rsidR="00215226" w:rsidRPr="00B35F0B" w:rsidRDefault="00215226" w:rsidP="00DA53F3">
      <w:pPr>
        <w:pStyle w:val="Bullet1"/>
      </w:pPr>
      <w:r w:rsidRPr="00B35F0B">
        <w:t>Take all reasonable actions to verify</w:t>
      </w:r>
      <w:r w:rsidRPr="00B35F0B">
        <w:rPr>
          <w:rStyle w:val="FootnoteReference"/>
        </w:rPr>
        <w:footnoteReference w:id="8"/>
      </w:r>
      <w:r w:rsidRPr="00B35F0B">
        <w:t xml:space="preserve"> the accuracy and sufficiency</w:t>
      </w:r>
      <w:r w:rsidRPr="00B35F0B">
        <w:rPr>
          <w:rStyle w:val="FootnoteReference"/>
        </w:rPr>
        <w:footnoteReference w:id="9"/>
      </w:r>
      <w:r w:rsidRPr="00B35F0B">
        <w:t xml:space="preserve"> of identity documentation, including any client application forms and supporting documentation received;</w:t>
      </w:r>
    </w:p>
    <w:p w14:paraId="464BA187" w14:textId="77777777" w:rsidR="00215226" w:rsidRPr="00B35F0B" w:rsidRDefault="00215226" w:rsidP="00DA53F3">
      <w:pPr>
        <w:pStyle w:val="Bullet1"/>
      </w:pPr>
      <w:r w:rsidRPr="00B35F0B">
        <w:t>Ensure the accurate recording and secure transmission of all relevant certificate information to the</w:t>
      </w:r>
      <w:r w:rsidR="00897FA3">
        <w:t> </w:t>
      </w:r>
      <w:r w:rsidRPr="00B35F0B">
        <w:t>relevant CA;</w:t>
      </w:r>
    </w:p>
    <w:p w14:paraId="5E8088E4" w14:textId="77777777" w:rsidR="00215226" w:rsidRPr="00B35F0B" w:rsidRDefault="00215226" w:rsidP="00DA53F3">
      <w:pPr>
        <w:pStyle w:val="Bullet1"/>
      </w:pPr>
      <w:r w:rsidRPr="00B35F0B">
        <w:t>Ensure the secure storage of all retained Applicant and Subscriber information in accordance with the requirements of its Approved Documents; and</w:t>
      </w:r>
    </w:p>
    <w:p w14:paraId="04106C4C" w14:textId="77777777" w:rsidR="00215226" w:rsidRPr="00B35F0B" w:rsidRDefault="00215226" w:rsidP="00DA53F3">
      <w:pPr>
        <w:pStyle w:val="Bullet1"/>
      </w:pPr>
      <w:r w:rsidRPr="00B35F0B">
        <w:t>In the event that an error is identified in the identity proofing process that gives rise to uncertainty as to the identity of a particular Subscriber, promptly notify the CA that generates the digital certificate of the error and request the revocation of the digital certificate.</w:t>
      </w:r>
    </w:p>
    <w:p w14:paraId="05174E72" w14:textId="77777777" w:rsidR="00215226" w:rsidRPr="003E302C" w:rsidRDefault="00215226" w:rsidP="00DA53F3">
      <w:pPr>
        <w:pStyle w:val="Heading3Numbered"/>
      </w:pPr>
      <w:bookmarkStart w:id="178" w:name="_Toc426636684"/>
      <w:bookmarkStart w:id="179" w:name="_Toc426636805"/>
      <w:bookmarkStart w:id="180" w:name="_Toc426639968"/>
      <w:r w:rsidRPr="003E302C">
        <w:t>Staff Training</w:t>
      </w:r>
      <w:bookmarkEnd w:id="178"/>
      <w:bookmarkEnd w:id="179"/>
      <w:bookmarkEnd w:id="180"/>
    </w:p>
    <w:p w14:paraId="6A290CAE" w14:textId="77777777" w:rsidR="00215226" w:rsidRPr="00DB230F" w:rsidRDefault="00215226" w:rsidP="00DA53F3">
      <w:pPr>
        <w:pStyle w:val="Bullet1"/>
      </w:pPr>
      <w:r w:rsidRPr="00DB230F">
        <w:t xml:space="preserve">A RA </w:t>
      </w:r>
      <w:r w:rsidRPr="00D825A0">
        <w:rPr>
          <w:rStyle w:val="Strong"/>
        </w:rPr>
        <w:t xml:space="preserve">MUST </w:t>
      </w:r>
      <w:r w:rsidRPr="00DB230F">
        <w:t>provide all personnel performing identity verification duties with skills-training that covers basic PKI knowledge, authentication and vetting policies and procedures, including CPS and CA CP.</w:t>
      </w:r>
    </w:p>
    <w:p w14:paraId="43D861ED" w14:textId="77777777" w:rsidR="00215226" w:rsidRPr="003E302C" w:rsidRDefault="00215226" w:rsidP="00DA53F3">
      <w:pPr>
        <w:pStyle w:val="Heading3Numbered"/>
      </w:pPr>
      <w:bookmarkStart w:id="181" w:name="_Toc426636685"/>
      <w:bookmarkStart w:id="182" w:name="_Toc426636806"/>
      <w:bookmarkStart w:id="183" w:name="_Toc426639969"/>
      <w:r w:rsidRPr="003E302C">
        <w:t>RA Termination</w:t>
      </w:r>
      <w:bookmarkEnd w:id="181"/>
      <w:bookmarkEnd w:id="182"/>
      <w:bookmarkEnd w:id="183"/>
    </w:p>
    <w:p w14:paraId="5F319E75" w14:textId="77777777" w:rsidR="00215226" w:rsidRPr="00DB230F" w:rsidRDefault="00215226" w:rsidP="00DA53F3">
      <w:r w:rsidRPr="00DB230F">
        <w:t xml:space="preserve">In the event that a Gatekeeper accredited RA terminates its services, whether voluntary or involuntary it </w:t>
      </w:r>
      <w:r w:rsidRPr="00D825A0">
        <w:rPr>
          <w:rStyle w:val="Strong"/>
        </w:rPr>
        <w:t>MUST NOT</w:t>
      </w:r>
      <w:r w:rsidRPr="00DB230F">
        <w:t xml:space="preserve"> conduct any new registration activities for Applicants or Subscribers.</w:t>
      </w:r>
    </w:p>
    <w:p w14:paraId="0D98D4C9" w14:textId="77777777" w:rsidR="00215226" w:rsidRPr="00DB230F" w:rsidRDefault="00215226" w:rsidP="00DA53F3">
      <w:r w:rsidRPr="00DB230F">
        <w:t xml:space="preserve">In the event that a Gatekeeper accredited RA terminates its services, whether voluntary or involuntary it </w:t>
      </w:r>
      <w:r w:rsidRPr="00D825A0">
        <w:rPr>
          <w:rStyle w:val="Strong"/>
        </w:rPr>
        <w:t>MUST</w:t>
      </w:r>
      <w:r w:rsidRPr="00DB230F">
        <w:t xml:space="preserve"> give notice to the Gatekeeper Competent Authority and all CAs with whom it has a relationship in accordance with the terms of the relevant contract.</w:t>
      </w:r>
    </w:p>
    <w:p w14:paraId="3B27D42C" w14:textId="77777777" w:rsidR="00215226" w:rsidRPr="003E302C" w:rsidRDefault="00215226" w:rsidP="003D72CB">
      <w:pPr>
        <w:pStyle w:val="Heading2Numbered"/>
      </w:pPr>
      <w:bookmarkStart w:id="184" w:name="_Toc426636686"/>
      <w:bookmarkStart w:id="185" w:name="_Toc426639970"/>
      <w:bookmarkStart w:id="186" w:name="_Toc430268924"/>
      <w:r w:rsidRPr="003E302C">
        <w:t>Validation Authority</w:t>
      </w:r>
      <w:bookmarkEnd w:id="184"/>
      <w:bookmarkEnd w:id="185"/>
      <w:bookmarkEnd w:id="186"/>
    </w:p>
    <w:p w14:paraId="02037BD2" w14:textId="77777777" w:rsidR="00215226" w:rsidRPr="003E302C" w:rsidRDefault="00215226" w:rsidP="003D72CB">
      <w:pPr>
        <w:pStyle w:val="Heading3Numbered"/>
      </w:pPr>
      <w:bookmarkStart w:id="187" w:name="_Toc426636687"/>
      <w:bookmarkStart w:id="188" w:name="_Toc426636808"/>
      <w:bookmarkStart w:id="189" w:name="_Toc426639971"/>
      <w:r w:rsidRPr="003E302C">
        <w:t>Standards</w:t>
      </w:r>
      <w:bookmarkEnd w:id="187"/>
      <w:bookmarkEnd w:id="188"/>
      <w:bookmarkEnd w:id="189"/>
    </w:p>
    <w:p w14:paraId="5AB1E6FA" w14:textId="77777777" w:rsidR="00215226" w:rsidRPr="00DB230F" w:rsidRDefault="00215226" w:rsidP="003D72CB">
      <w:r w:rsidRPr="00DB230F">
        <w:t xml:space="preserve">A VA </w:t>
      </w:r>
      <w:r w:rsidRPr="00D825A0">
        <w:rPr>
          <w:rStyle w:val="Strong"/>
        </w:rPr>
        <w:t xml:space="preserve">MUST </w:t>
      </w:r>
      <w:r w:rsidRPr="00DB230F">
        <w:t>be able to process:</w:t>
      </w:r>
    </w:p>
    <w:p w14:paraId="75F6EDCB" w14:textId="77777777" w:rsidR="00215226" w:rsidRPr="00DB230F" w:rsidRDefault="00215226" w:rsidP="003D72CB">
      <w:pPr>
        <w:pStyle w:val="Bullet1"/>
      </w:pPr>
      <w:r w:rsidRPr="00DB230F">
        <w:t>Digital certificates which conform to the X.509 v3 format and CRLs which conform to the X.509 v2 profiles as described in RFC5280; and,</w:t>
      </w:r>
    </w:p>
    <w:p w14:paraId="1D0D87F3" w14:textId="77777777" w:rsidR="00215226" w:rsidRDefault="00215226" w:rsidP="003D72CB">
      <w:pPr>
        <w:pStyle w:val="Bullet1"/>
      </w:pPr>
      <w:r w:rsidRPr="00DB230F">
        <w:t>OCSP responses which conform to RFC5019</w:t>
      </w:r>
    </w:p>
    <w:p w14:paraId="2B252ADA" w14:textId="77777777" w:rsidR="00215226" w:rsidRPr="00DB230F" w:rsidRDefault="00215226" w:rsidP="003D72CB">
      <w:r w:rsidRPr="00DB230F">
        <w:t xml:space="preserve">A VA </w:t>
      </w:r>
      <w:r w:rsidRPr="00D825A0">
        <w:rPr>
          <w:rStyle w:val="Strong"/>
        </w:rPr>
        <w:t>SHOULD</w:t>
      </w:r>
      <w:r w:rsidRPr="00DB230F">
        <w:t xml:space="preserve"> be able to process OCSP responses which confirm to RFC6960.</w:t>
      </w:r>
    </w:p>
    <w:p w14:paraId="4BE9C22A" w14:textId="77777777" w:rsidR="00215226" w:rsidRPr="003E302C" w:rsidRDefault="00215226" w:rsidP="003D72CB">
      <w:pPr>
        <w:pStyle w:val="Heading3Numbered"/>
      </w:pPr>
      <w:bookmarkStart w:id="190" w:name="_Toc426636688"/>
      <w:bookmarkStart w:id="191" w:name="_Toc426636809"/>
      <w:bookmarkStart w:id="192" w:name="_Toc426639972"/>
      <w:r w:rsidRPr="003E302C">
        <w:lastRenderedPageBreak/>
        <w:t>Staff Training</w:t>
      </w:r>
      <w:bookmarkEnd w:id="190"/>
      <w:bookmarkEnd w:id="191"/>
      <w:bookmarkEnd w:id="192"/>
    </w:p>
    <w:p w14:paraId="61CA9E59" w14:textId="77777777" w:rsidR="00215226" w:rsidRPr="00DB230F" w:rsidRDefault="00215226" w:rsidP="003D72CB">
      <w:r w:rsidRPr="00DB230F">
        <w:t xml:space="preserve">A VA </w:t>
      </w:r>
      <w:r w:rsidRPr="00D825A0">
        <w:rPr>
          <w:rStyle w:val="Strong"/>
        </w:rPr>
        <w:t>MUST</w:t>
      </w:r>
      <w:r w:rsidRPr="00DB230F">
        <w:t>:</w:t>
      </w:r>
    </w:p>
    <w:p w14:paraId="3529950C" w14:textId="77777777" w:rsidR="00215226" w:rsidRDefault="00215226" w:rsidP="003D72CB">
      <w:pPr>
        <w:pStyle w:val="Bullet1"/>
      </w:pPr>
      <w:r w:rsidRPr="00DB230F">
        <w:t>Provide all personnel performing information verification duties with skills-training that covers basic PKI knowledge, authentication and vetting policies and procedures, including the CPS and CA CP; and,</w:t>
      </w:r>
    </w:p>
    <w:p w14:paraId="1747C999" w14:textId="77777777" w:rsidR="00215226" w:rsidRPr="00DB230F" w:rsidRDefault="00215226" w:rsidP="003D72CB">
      <w:pPr>
        <w:pStyle w:val="Bullet1"/>
      </w:pPr>
      <w:r w:rsidRPr="00DB230F">
        <w:t xml:space="preserve">Maintain records of such training and ensure that personnel maintain a skill level that enables them to perform </w:t>
      </w:r>
      <w:r>
        <w:t>their</w:t>
      </w:r>
      <w:r w:rsidRPr="00DB230F">
        <w:t xml:space="preserve"> duties satisfactorily.</w:t>
      </w:r>
    </w:p>
    <w:p w14:paraId="380DBD10" w14:textId="77777777" w:rsidR="00215226" w:rsidRDefault="00215226" w:rsidP="003D72CB">
      <w:pPr>
        <w:pStyle w:val="Heading3Numbered"/>
      </w:pPr>
      <w:bookmarkStart w:id="193" w:name="_Toc426636689"/>
      <w:bookmarkStart w:id="194" w:name="_Toc426636810"/>
      <w:bookmarkStart w:id="195" w:name="_Toc426639973"/>
      <w:r w:rsidRPr="003E302C">
        <w:t>Certificate Repository</w:t>
      </w:r>
      <w:bookmarkEnd w:id="193"/>
      <w:bookmarkEnd w:id="194"/>
      <w:bookmarkEnd w:id="195"/>
    </w:p>
    <w:p w14:paraId="021AD76C" w14:textId="77777777" w:rsidR="00215226" w:rsidRPr="00DB230F" w:rsidRDefault="00215226" w:rsidP="003D72CB">
      <w:r w:rsidRPr="00DB230F">
        <w:t xml:space="preserve">A VA </w:t>
      </w:r>
      <w:r w:rsidRPr="00D825A0">
        <w:rPr>
          <w:rStyle w:val="Strong"/>
        </w:rPr>
        <w:t>MUST</w:t>
      </w:r>
      <w:r w:rsidRPr="00DB230F">
        <w:t>:</w:t>
      </w:r>
    </w:p>
    <w:p w14:paraId="5AC6FE15" w14:textId="77777777" w:rsidR="00215226" w:rsidRPr="00DB230F" w:rsidRDefault="00215226" w:rsidP="003D72CB">
      <w:pPr>
        <w:pStyle w:val="Bullet1"/>
      </w:pPr>
      <w:r w:rsidRPr="00DB230F">
        <w:t>In accordance with [X.500] and [RFC3647], maintain and make available a list of revoked digital certificates in a manner accessible by all potential Relying Parties using standard protocols and technologies to enable them to verify, in a timely manner, the currency of a particular digital certificate; and,</w:t>
      </w:r>
    </w:p>
    <w:p w14:paraId="1F0E6026" w14:textId="77777777" w:rsidR="00215226" w:rsidRPr="00DB230F" w:rsidRDefault="00215226" w:rsidP="003D72CB">
      <w:pPr>
        <w:pStyle w:val="Bullet1"/>
      </w:pPr>
      <w:r w:rsidRPr="00DB230F">
        <w:t>Operate and maintain its repository capabilities which house CRL (and optionally OCSP) services with resources sufficient to provide a response time of ten seconds or less under normal operating conditions.</w:t>
      </w:r>
    </w:p>
    <w:p w14:paraId="058B473C" w14:textId="77777777" w:rsidR="00215226" w:rsidRPr="003E302C" w:rsidRDefault="00215226" w:rsidP="003D72CB">
      <w:pPr>
        <w:pStyle w:val="Heading3Numbered"/>
      </w:pPr>
      <w:bookmarkStart w:id="196" w:name="_Toc426636690"/>
      <w:bookmarkStart w:id="197" w:name="_Toc426636811"/>
      <w:bookmarkStart w:id="198" w:name="_Toc426639974"/>
      <w:r w:rsidRPr="003E302C">
        <w:t>VA Termination</w:t>
      </w:r>
      <w:bookmarkEnd w:id="196"/>
      <w:bookmarkEnd w:id="197"/>
      <w:bookmarkEnd w:id="198"/>
    </w:p>
    <w:p w14:paraId="4B386977" w14:textId="77777777" w:rsidR="00215226" w:rsidRPr="00DB230F" w:rsidRDefault="00215226" w:rsidP="003D72CB">
      <w:r w:rsidRPr="00DB230F">
        <w:t xml:space="preserve">In the event that a Gatekeeper accredited VA terminates its operations, whether voluntary or involuntary it </w:t>
      </w:r>
      <w:r w:rsidRPr="00D825A0">
        <w:rPr>
          <w:rStyle w:val="Strong"/>
        </w:rPr>
        <w:t>MUST NOT</w:t>
      </w:r>
      <w:r w:rsidRPr="00DB230F">
        <w:t xml:space="preserve"> conduct any certificate validation activities for Relying Parties</w:t>
      </w:r>
    </w:p>
    <w:p w14:paraId="4E32DB90" w14:textId="77777777" w:rsidR="00215226" w:rsidRPr="00DB230F" w:rsidRDefault="00215226" w:rsidP="003D72CB">
      <w:r w:rsidRPr="00DB230F">
        <w:t xml:space="preserve">In the event that a Gatekeeper accredited VA terminates its operations, whether voluntary or involuntary it </w:t>
      </w:r>
      <w:r w:rsidRPr="00D825A0">
        <w:rPr>
          <w:rStyle w:val="Strong"/>
        </w:rPr>
        <w:t>MUST</w:t>
      </w:r>
      <w:r w:rsidRPr="00DB230F">
        <w:t xml:space="preserve"> give notice to the Gatekeeper Competent Authority and all associated parties (e.g.</w:t>
      </w:r>
      <w:r w:rsidR="00897FA3">
        <w:t> </w:t>
      </w:r>
      <w:r w:rsidRPr="00DB230F">
        <w:t>CAs) advising them of its intention to terminate its contracts with them, the termination to be effective in accordance with the terms of the relevant contract.</w:t>
      </w:r>
    </w:p>
    <w:p w14:paraId="101DFB48" w14:textId="77777777" w:rsidR="00215226" w:rsidRPr="003E302C" w:rsidRDefault="00215226" w:rsidP="003D72CB">
      <w:pPr>
        <w:pStyle w:val="Heading2Numbered"/>
      </w:pPr>
      <w:bookmarkStart w:id="199" w:name="_Toc426636691"/>
      <w:bookmarkStart w:id="200" w:name="_Toc426639975"/>
      <w:bookmarkStart w:id="201" w:name="_Toc430268925"/>
      <w:r w:rsidRPr="003E302C">
        <w:t>Subscriber</w:t>
      </w:r>
      <w:bookmarkEnd w:id="199"/>
      <w:bookmarkEnd w:id="200"/>
      <w:bookmarkEnd w:id="201"/>
    </w:p>
    <w:p w14:paraId="693DB612" w14:textId="77777777" w:rsidR="00215226" w:rsidRPr="00DB230F" w:rsidRDefault="00215226" w:rsidP="003D72CB">
      <w:r w:rsidRPr="00DB230F">
        <w:t xml:space="preserve">A Subscriber </w:t>
      </w:r>
      <w:r w:rsidRPr="00D825A0">
        <w:rPr>
          <w:rStyle w:val="Strong"/>
        </w:rPr>
        <w:t>MUST</w:t>
      </w:r>
      <w:r w:rsidRPr="00DB230F">
        <w:t>:</w:t>
      </w:r>
    </w:p>
    <w:p w14:paraId="7F7EC43A" w14:textId="77777777" w:rsidR="00215226" w:rsidRPr="00DB230F" w:rsidRDefault="00215226" w:rsidP="003D72CB">
      <w:pPr>
        <w:pStyle w:val="Bullet1"/>
      </w:pPr>
      <w:r w:rsidRPr="00DB230F">
        <w:t>Ensure that all information provided, and any representations made to a Gatekeeper accredited RA are complete and accurate;</w:t>
      </w:r>
    </w:p>
    <w:p w14:paraId="3D3AD04B" w14:textId="77777777" w:rsidR="00215226" w:rsidRPr="00DB230F" w:rsidRDefault="00215226" w:rsidP="003D72CB">
      <w:pPr>
        <w:pStyle w:val="Bullet1"/>
      </w:pPr>
      <w:r w:rsidRPr="00DB230F">
        <w:t>Perform any additional requirements as specified in the CP under which the digital certificate was issued;</w:t>
      </w:r>
    </w:p>
    <w:p w14:paraId="1455A464" w14:textId="77777777" w:rsidR="00215226" w:rsidRPr="00DB230F" w:rsidRDefault="00215226" w:rsidP="003D72CB">
      <w:pPr>
        <w:pStyle w:val="Bullet1"/>
      </w:pPr>
      <w:r w:rsidRPr="00DB230F">
        <w:t>Take all reasonable measures to protect their private key and activation data from compromise and take all necessary precautions to prevent loss, disclosure, modification or unauthorised use of their private key;</w:t>
      </w:r>
    </w:p>
    <w:p w14:paraId="34904D52" w14:textId="77777777" w:rsidR="00215226" w:rsidRPr="00DB230F" w:rsidRDefault="00215226" w:rsidP="003D72CB">
      <w:pPr>
        <w:pStyle w:val="Bullet1"/>
      </w:pPr>
      <w:r w:rsidRPr="00DB230F">
        <w:t>Promptly notify the relevant CA in the event that they consider or suspect there has been a compromise of their private key; and</w:t>
      </w:r>
    </w:p>
    <w:p w14:paraId="1EF31716" w14:textId="77777777" w:rsidR="00215226" w:rsidRDefault="00215226" w:rsidP="003D72CB">
      <w:pPr>
        <w:pStyle w:val="Bullet1"/>
      </w:pPr>
      <w:r w:rsidRPr="00DB230F">
        <w:t>Promptly notify the relevant RA in the event that they consider the identity information provided by them is or may be incorrect.</w:t>
      </w:r>
    </w:p>
    <w:p w14:paraId="6EC967BA" w14:textId="77777777" w:rsidR="00215226" w:rsidRPr="003E302C" w:rsidRDefault="00215226" w:rsidP="003D72CB">
      <w:pPr>
        <w:pStyle w:val="Heading2Numbered"/>
      </w:pPr>
      <w:bookmarkStart w:id="202" w:name="_Toc426636692"/>
      <w:bookmarkStart w:id="203" w:name="_Toc426639976"/>
      <w:bookmarkStart w:id="204" w:name="_Toc430268926"/>
      <w:r w:rsidRPr="003E302C">
        <w:lastRenderedPageBreak/>
        <w:t>Relying Party</w:t>
      </w:r>
      <w:bookmarkEnd w:id="202"/>
      <w:bookmarkEnd w:id="203"/>
      <w:bookmarkEnd w:id="204"/>
    </w:p>
    <w:p w14:paraId="3F9D4860" w14:textId="77777777" w:rsidR="00215226" w:rsidRPr="00DB230F" w:rsidRDefault="00215226" w:rsidP="00FF121B">
      <w:pPr>
        <w:keepNext/>
      </w:pPr>
      <w:r w:rsidRPr="00DB230F">
        <w:t xml:space="preserve">A Relying Party </w:t>
      </w:r>
      <w:r w:rsidRPr="00D825A0">
        <w:rPr>
          <w:rStyle w:val="Strong"/>
        </w:rPr>
        <w:t>SHOULD</w:t>
      </w:r>
      <w:r w:rsidRPr="00DB230F">
        <w:t>:</w:t>
      </w:r>
    </w:p>
    <w:p w14:paraId="0FEE63D1" w14:textId="77777777" w:rsidR="00215226" w:rsidRPr="00DB230F" w:rsidRDefault="00215226" w:rsidP="00FF121B">
      <w:pPr>
        <w:pStyle w:val="Bullet1"/>
        <w:keepNext/>
      </w:pPr>
      <w:r w:rsidRPr="00DB230F">
        <w:t>Verify that the digital certificate is current and has not been revoked or suspended, in a manner specified in the CPS and CP under which the digital certificate was issued;</w:t>
      </w:r>
    </w:p>
    <w:p w14:paraId="477813B4" w14:textId="77777777" w:rsidR="00215226" w:rsidRPr="00DB230F" w:rsidRDefault="00215226" w:rsidP="003D72CB">
      <w:pPr>
        <w:pStyle w:val="Bullet1"/>
      </w:pPr>
      <w:r w:rsidRPr="00DB230F">
        <w:t>Verify that the digital certificate is being used within the limits specified in the CPS and CP under which the digital certificate was issued; and</w:t>
      </w:r>
    </w:p>
    <w:p w14:paraId="6498C4DE" w14:textId="77777777" w:rsidR="00215226" w:rsidRDefault="00215226" w:rsidP="003D72CB">
      <w:pPr>
        <w:pStyle w:val="Bullet1"/>
      </w:pPr>
      <w:r w:rsidRPr="00DB230F">
        <w:t>Promptly notify the relevant CA in the event that they consider or suspect there has been a compromise of a Subscriber’s private key.</w:t>
      </w:r>
    </w:p>
    <w:p w14:paraId="53C568BE" w14:textId="77777777" w:rsidR="00215226" w:rsidRDefault="00215226" w:rsidP="003D72CB"/>
    <w:p w14:paraId="575010AC" w14:textId="77777777" w:rsidR="00215226" w:rsidRPr="003E302C" w:rsidRDefault="00215226" w:rsidP="003D72CB">
      <w:pPr>
        <w:pStyle w:val="Heading1Numbered"/>
      </w:pPr>
      <w:bookmarkStart w:id="205" w:name="_Toc430268927"/>
      <w:bookmarkEnd w:id="123"/>
      <w:r w:rsidRPr="003E302C">
        <w:lastRenderedPageBreak/>
        <w:t>Gatekeeper Mandatory Security Requirements</w:t>
      </w:r>
      <w:bookmarkEnd w:id="205"/>
    </w:p>
    <w:p w14:paraId="359C738C" w14:textId="77777777" w:rsidR="00215226" w:rsidRDefault="00215226" w:rsidP="003D72CB">
      <w:bookmarkStart w:id="206" w:name="_Toc271532268"/>
      <w:r w:rsidRPr="00F67C94">
        <w:t>Service Providers’ are required to comply with the Gatekeeper Mandatory Security Requirements, which have been derived from the PSPF mandatory obligations described in the Securing Government Business – Protective Security Guidance for Executives</w:t>
      </w:r>
      <w:r w:rsidRPr="00F67C94">
        <w:footnoteReference w:id="10"/>
      </w:r>
      <w:r w:rsidRPr="00F67C94">
        <w:t xml:space="preserve"> The following table describe the Gatekeeper Mandatory Security Requirements and their mapping to the PSPF mandatory obligations.</w:t>
      </w:r>
    </w:p>
    <w:tbl>
      <w:tblPr>
        <w:tblStyle w:val="DTOTable1"/>
        <w:tblW w:w="5082" w:type="pct"/>
        <w:tblLook w:val="0620" w:firstRow="1" w:lastRow="0" w:firstColumn="0" w:lastColumn="0" w:noHBand="1"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728"/>
        <w:gridCol w:w="6019"/>
        <w:gridCol w:w="1462"/>
      </w:tblGrid>
      <w:tr w:rsidR="003D72CB" w:rsidRPr="00B35F0B" w14:paraId="6F219453" w14:textId="77777777" w:rsidTr="00BD2B67">
        <w:trPr>
          <w:cnfStyle w:val="100000000000" w:firstRow="1" w:lastRow="0" w:firstColumn="0" w:lastColumn="0" w:oddVBand="0" w:evenVBand="0" w:oddHBand="0" w:evenHBand="0" w:firstRowFirstColumn="0" w:firstRowLastColumn="0" w:lastRowFirstColumn="0" w:lastRowLastColumn="0"/>
          <w:trHeight w:val="113"/>
          <w:tblHeader/>
        </w:trPr>
        <w:tc>
          <w:tcPr>
            <w:tcW w:w="938" w:type="pct"/>
          </w:tcPr>
          <w:p w14:paraId="4E098C43" w14:textId="77777777" w:rsidR="003D72CB" w:rsidRPr="00DB230F" w:rsidRDefault="003D72CB" w:rsidP="003D72CB">
            <w:pPr>
              <w:pStyle w:val="Normal-TableText"/>
            </w:pPr>
          </w:p>
        </w:tc>
        <w:tc>
          <w:tcPr>
            <w:tcW w:w="3268" w:type="pct"/>
          </w:tcPr>
          <w:p w14:paraId="5F56CE57" w14:textId="77777777" w:rsidR="003D72CB" w:rsidRPr="00DB230F" w:rsidRDefault="003D72CB" w:rsidP="003D72CB">
            <w:pPr>
              <w:pStyle w:val="Normal-TableText"/>
            </w:pPr>
            <w:r w:rsidRPr="00DB230F">
              <w:t>Gatekeeper Mandatory Security Requirements</w:t>
            </w:r>
          </w:p>
        </w:tc>
        <w:tc>
          <w:tcPr>
            <w:tcW w:w="794" w:type="pct"/>
          </w:tcPr>
          <w:p w14:paraId="2036BDF1" w14:textId="77777777" w:rsidR="003D72CB" w:rsidRPr="00DB230F" w:rsidRDefault="003D72CB" w:rsidP="003D72CB">
            <w:pPr>
              <w:pStyle w:val="Normal-TableText"/>
            </w:pPr>
            <w:r w:rsidRPr="00DB230F">
              <w:t>PSPF Reference Mandatory Obligations</w:t>
            </w:r>
          </w:p>
        </w:tc>
      </w:tr>
      <w:tr w:rsidR="00801202" w:rsidRPr="00B35F0B" w14:paraId="428187BD" w14:textId="77777777" w:rsidTr="00BD2B67">
        <w:trPr>
          <w:trHeight w:val="113"/>
        </w:trPr>
        <w:tc>
          <w:tcPr>
            <w:tcW w:w="938" w:type="pct"/>
            <w:vMerge w:val="restart"/>
          </w:tcPr>
          <w:p w14:paraId="764422D2" w14:textId="77777777" w:rsidR="00801202" w:rsidRPr="00E64190" w:rsidRDefault="00801202" w:rsidP="003D72CB">
            <w:pPr>
              <w:pStyle w:val="Normal-TableText"/>
              <w:rPr>
                <w:rStyle w:val="Strong"/>
              </w:rPr>
            </w:pPr>
            <w:r w:rsidRPr="00E64190">
              <w:rPr>
                <w:rStyle w:val="Strong"/>
              </w:rPr>
              <w:t>Gatekeeper 1:</w:t>
            </w:r>
          </w:p>
          <w:p w14:paraId="2EF8B712" w14:textId="77777777" w:rsidR="00801202" w:rsidRPr="003D72CB" w:rsidRDefault="00801202" w:rsidP="003D72CB">
            <w:pPr>
              <w:pStyle w:val="Normal-TableText"/>
              <w:rPr>
                <w:rFonts w:ascii="Cambria" w:hAnsi="Cambria"/>
                <w:b/>
                <w:sz w:val="22"/>
              </w:rPr>
            </w:pPr>
            <w:r w:rsidRPr="00E64190">
              <w:rPr>
                <w:rStyle w:val="Strong"/>
              </w:rPr>
              <w:t>Training</w:t>
            </w:r>
          </w:p>
        </w:tc>
        <w:tc>
          <w:tcPr>
            <w:tcW w:w="3268" w:type="pct"/>
          </w:tcPr>
          <w:p w14:paraId="1693ECDB" w14:textId="77777777" w:rsidR="00801202" w:rsidRPr="00B35F0B" w:rsidRDefault="00801202" w:rsidP="00FF121B">
            <w:pPr>
              <w:pStyle w:val="Normal-TableText"/>
            </w:pPr>
            <w:r w:rsidRPr="00B35F0B">
              <w:t xml:space="preserve">Service Providers </w:t>
            </w:r>
            <w:r w:rsidRPr="00D825A0">
              <w:rPr>
                <w:rStyle w:val="Strong"/>
              </w:rPr>
              <w:t>MUST</w:t>
            </w:r>
            <w:r w:rsidRPr="00B35F0B">
              <w:t xml:space="preserve"> provide all staff (ongoing and non-ongoing), including contractors:</w:t>
            </w:r>
          </w:p>
        </w:tc>
        <w:tc>
          <w:tcPr>
            <w:tcW w:w="794" w:type="pct"/>
          </w:tcPr>
          <w:p w14:paraId="43F253B1" w14:textId="77777777" w:rsidR="00801202" w:rsidRPr="00B35F0B" w:rsidRDefault="00801202" w:rsidP="003D72CB">
            <w:pPr>
              <w:pStyle w:val="Normal-TableText"/>
              <w:rPr>
                <w:rFonts w:ascii="Cambria" w:hAnsi="Cambria"/>
                <w:sz w:val="22"/>
              </w:rPr>
            </w:pPr>
          </w:p>
        </w:tc>
      </w:tr>
      <w:tr w:rsidR="00801202" w:rsidRPr="00B35F0B" w14:paraId="14FCB9EA" w14:textId="77777777" w:rsidTr="00BD2B67">
        <w:trPr>
          <w:trHeight w:val="113"/>
        </w:trPr>
        <w:tc>
          <w:tcPr>
            <w:tcW w:w="938" w:type="pct"/>
            <w:vMerge/>
          </w:tcPr>
          <w:p w14:paraId="7E4140B6" w14:textId="77777777" w:rsidR="00801202" w:rsidRPr="00B35F0B" w:rsidRDefault="00801202" w:rsidP="003D72CB">
            <w:pPr>
              <w:pStyle w:val="Normal-TableText"/>
              <w:rPr>
                <w:rFonts w:ascii="Cambria" w:hAnsi="Cambria"/>
                <w:b/>
                <w:sz w:val="22"/>
              </w:rPr>
            </w:pPr>
          </w:p>
        </w:tc>
        <w:tc>
          <w:tcPr>
            <w:tcW w:w="3268" w:type="pct"/>
          </w:tcPr>
          <w:p w14:paraId="285C8B44" w14:textId="77777777" w:rsidR="00801202" w:rsidRPr="00801202" w:rsidRDefault="00801202" w:rsidP="003D72CB">
            <w:pPr>
              <w:pStyle w:val="Bullet1"/>
            </w:pPr>
            <w:r w:rsidRPr="00B35F0B">
              <w:t>With sufficient information and security awareness training to ensure they are aware of, and meet their protective security requirements.</w:t>
            </w:r>
          </w:p>
        </w:tc>
        <w:tc>
          <w:tcPr>
            <w:tcW w:w="794" w:type="pct"/>
          </w:tcPr>
          <w:p w14:paraId="01578101" w14:textId="77777777" w:rsidR="00801202" w:rsidRPr="00B35F0B" w:rsidRDefault="00801202" w:rsidP="003D72CB">
            <w:pPr>
              <w:pStyle w:val="Normal-TableText"/>
              <w:rPr>
                <w:rFonts w:ascii="Cambria" w:hAnsi="Cambria"/>
                <w:sz w:val="22"/>
              </w:rPr>
            </w:pPr>
            <w:r w:rsidRPr="00E64190">
              <w:t>GOV–1</w:t>
            </w:r>
          </w:p>
        </w:tc>
      </w:tr>
      <w:tr w:rsidR="00801202" w:rsidRPr="00B35F0B" w14:paraId="0D8FA1A4" w14:textId="77777777" w:rsidTr="00BD2B67">
        <w:trPr>
          <w:trHeight w:val="113"/>
        </w:trPr>
        <w:tc>
          <w:tcPr>
            <w:tcW w:w="938" w:type="pct"/>
            <w:vMerge/>
          </w:tcPr>
          <w:p w14:paraId="3E75027A" w14:textId="77777777" w:rsidR="00801202" w:rsidRPr="00B35F0B" w:rsidRDefault="00801202" w:rsidP="003D72CB">
            <w:pPr>
              <w:pStyle w:val="Normal-TableText"/>
              <w:rPr>
                <w:rFonts w:ascii="Cambria" w:hAnsi="Cambria"/>
                <w:b/>
                <w:sz w:val="22"/>
              </w:rPr>
            </w:pPr>
          </w:p>
        </w:tc>
        <w:tc>
          <w:tcPr>
            <w:tcW w:w="3267" w:type="pct"/>
          </w:tcPr>
          <w:p w14:paraId="29ECD7B4" w14:textId="77777777" w:rsidR="00801202" w:rsidRPr="00B35F0B" w:rsidRDefault="00801202" w:rsidP="00D825A0">
            <w:pPr>
              <w:pStyle w:val="Bullet1"/>
              <w:rPr>
                <w:rFonts w:ascii="Cambria" w:hAnsi="Cambria"/>
                <w:sz w:val="22"/>
              </w:rPr>
            </w:pPr>
            <w:r w:rsidRPr="00D825A0">
              <w:t xml:space="preserve">Guidance on Sections 70 and 79 of the </w:t>
            </w:r>
            <w:hyperlink r:id="rId29" w:history="1">
              <w:r w:rsidRPr="00B35F0B">
                <w:rPr>
                  <w:rFonts w:ascii="Cambria" w:hAnsi="Cambria"/>
                  <w:sz w:val="22"/>
                </w:rPr>
                <w:t>Crimes Act 1914</w:t>
              </w:r>
            </w:hyperlink>
            <w:r w:rsidRPr="00D825A0">
              <w:t xml:space="preserve">, section 91.1 of the </w:t>
            </w:r>
            <w:hyperlink r:id="rId30" w:history="1">
              <w:r w:rsidRPr="00B35F0B">
                <w:rPr>
                  <w:rFonts w:ascii="Cambria" w:hAnsi="Cambria"/>
                  <w:sz w:val="22"/>
                </w:rPr>
                <w:t>Criminal Code 1995</w:t>
              </w:r>
            </w:hyperlink>
            <w:r w:rsidRPr="00D825A0">
              <w:t xml:space="preserve">, the </w:t>
            </w:r>
            <w:hyperlink r:id="rId31" w:history="1">
              <w:r w:rsidRPr="00B35F0B">
                <w:rPr>
                  <w:rFonts w:ascii="Cambria" w:hAnsi="Cambria"/>
                  <w:sz w:val="22"/>
                </w:rPr>
                <w:t>Freedom of Information Act 1982</w:t>
              </w:r>
            </w:hyperlink>
            <w:r w:rsidRPr="00D825A0">
              <w:t xml:space="preserve"> and the Australian Privacy Principles contained in the </w:t>
            </w:r>
            <w:hyperlink r:id="rId32" w:history="1">
              <w:r w:rsidRPr="00B35F0B">
                <w:rPr>
                  <w:rFonts w:ascii="Cambria" w:hAnsi="Cambria"/>
                  <w:sz w:val="22"/>
                </w:rPr>
                <w:t>Privacy Amendment (Enhancing Privacy Protection) Act</w:t>
              </w:r>
              <w:r>
                <w:rPr>
                  <w:rFonts w:ascii="Cambria" w:hAnsi="Cambria"/>
                  <w:sz w:val="22"/>
                </w:rPr>
                <w:t> 201</w:t>
              </w:r>
              <w:r w:rsidRPr="00B35F0B">
                <w:rPr>
                  <w:rFonts w:ascii="Cambria" w:hAnsi="Cambria"/>
                  <w:sz w:val="22"/>
                </w:rPr>
                <w:t>2</w:t>
              </w:r>
            </w:hyperlink>
            <w:r w:rsidRPr="00D825A0">
              <w:t xml:space="preserve"> including how this legislation relates to their role.</w:t>
            </w:r>
          </w:p>
        </w:tc>
        <w:tc>
          <w:tcPr>
            <w:tcW w:w="794" w:type="pct"/>
          </w:tcPr>
          <w:p w14:paraId="7E1BDA38" w14:textId="77777777" w:rsidR="00801202" w:rsidRPr="00B35F0B" w:rsidRDefault="00801202" w:rsidP="003D72CB">
            <w:pPr>
              <w:pStyle w:val="Normal-TableText"/>
              <w:rPr>
                <w:rFonts w:ascii="Cambria" w:hAnsi="Cambria"/>
                <w:sz w:val="22"/>
              </w:rPr>
            </w:pPr>
            <w:r w:rsidRPr="00E64190">
              <w:t>GOV–9</w:t>
            </w:r>
          </w:p>
        </w:tc>
      </w:tr>
      <w:tr w:rsidR="00801202" w:rsidRPr="00B35F0B" w14:paraId="1EC0AA23" w14:textId="77777777" w:rsidTr="00BD2B67">
        <w:trPr>
          <w:trHeight w:val="113"/>
        </w:trPr>
        <w:tc>
          <w:tcPr>
            <w:tcW w:w="938" w:type="pct"/>
            <w:vMerge w:val="restart"/>
          </w:tcPr>
          <w:p w14:paraId="5A38B777" w14:textId="77777777" w:rsidR="00801202" w:rsidRPr="00C6440C" w:rsidRDefault="00801202" w:rsidP="003D72CB">
            <w:pPr>
              <w:pStyle w:val="Normal-TableText"/>
              <w:rPr>
                <w:rStyle w:val="Strong"/>
              </w:rPr>
            </w:pPr>
            <w:r w:rsidRPr="00C6440C">
              <w:rPr>
                <w:rStyle w:val="Strong"/>
              </w:rPr>
              <w:t>Gatekeeper 2:</w:t>
            </w:r>
          </w:p>
          <w:p w14:paraId="4CE3347C" w14:textId="77777777" w:rsidR="00801202" w:rsidRPr="00B35F0B" w:rsidRDefault="00801202" w:rsidP="00801202">
            <w:pPr>
              <w:pStyle w:val="Normal-TableText"/>
              <w:rPr>
                <w:b/>
              </w:rPr>
            </w:pPr>
            <w:r w:rsidRPr="00C6440C">
              <w:rPr>
                <w:rStyle w:val="Strong"/>
              </w:rPr>
              <w:t>Appointment of security officials</w:t>
            </w:r>
          </w:p>
        </w:tc>
        <w:tc>
          <w:tcPr>
            <w:tcW w:w="3267" w:type="pct"/>
          </w:tcPr>
          <w:p w14:paraId="4361543C" w14:textId="77777777" w:rsidR="00801202" w:rsidRPr="00B35F0B" w:rsidRDefault="00801202" w:rsidP="00801202">
            <w:pPr>
              <w:pStyle w:val="Normal-TableText"/>
            </w:pPr>
            <w:r w:rsidRPr="00B35F0B">
              <w:t xml:space="preserve">To fulfil their security obligations, Service Providers </w:t>
            </w:r>
            <w:r w:rsidRPr="00C6440C">
              <w:rPr>
                <w:rStyle w:val="Strong"/>
              </w:rPr>
              <w:t>MUST</w:t>
            </w:r>
            <w:r w:rsidRPr="00B35F0B">
              <w:t xml:space="preserve"> appoint:</w:t>
            </w:r>
          </w:p>
        </w:tc>
        <w:tc>
          <w:tcPr>
            <w:tcW w:w="794" w:type="pct"/>
          </w:tcPr>
          <w:p w14:paraId="07E95DD0" w14:textId="77777777" w:rsidR="00801202" w:rsidRPr="00B35F0B" w:rsidRDefault="00801202" w:rsidP="00801202">
            <w:pPr>
              <w:pStyle w:val="Normal-TableText"/>
            </w:pPr>
          </w:p>
        </w:tc>
      </w:tr>
      <w:tr w:rsidR="00801202" w:rsidRPr="00B35F0B" w14:paraId="6F111331" w14:textId="77777777" w:rsidTr="00BD2B67">
        <w:trPr>
          <w:trHeight w:val="113"/>
        </w:trPr>
        <w:tc>
          <w:tcPr>
            <w:tcW w:w="938" w:type="pct"/>
            <w:vMerge/>
          </w:tcPr>
          <w:p w14:paraId="604BD5AF" w14:textId="77777777" w:rsidR="00801202" w:rsidRPr="00B35F0B" w:rsidRDefault="00801202" w:rsidP="003D72CB">
            <w:pPr>
              <w:pStyle w:val="Normal-TableText"/>
              <w:rPr>
                <w:b/>
              </w:rPr>
            </w:pPr>
          </w:p>
        </w:tc>
        <w:tc>
          <w:tcPr>
            <w:tcW w:w="3267" w:type="pct"/>
          </w:tcPr>
          <w:p w14:paraId="585173AA" w14:textId="77777777" w:rsidR="00801202" w:rsidRPr="00B35F0B" w:rsidRDefault="00801202" w:rsidP="00801202">
            <w:pPr>
              <w:pStyle w:val="Bullet1"/>
            </w:pPr>
            <w:r w:rsidRPr="00B35F0B">
              <w:t>An Information Technology Security Adviser (ITSA) or equivalent position or title to advise senior management on the ICT security of the Service Provider’s PKI and related systems.</w:t>
            </w:r>
          </w:p>
        </w:tc>
        <w:tc>
          <w:tcPr>
            <w:tcW w:w="794" w:type="pct"/>
          </w:tcPr>
          <w:p w14:paraId="47CF1979" w14:textId="77777777" w:rsidR="00801202" w:rsidRPr="00B35F0B" w:rsidRDefault="00801202" w:rsidP="003D72CB">
            <w:pPr>
              <w:pStyle w:val="Normal-TableText"/>
            </w:pPr>
            <w:r w:rsidRPr="00B35F0B">
              <w:t>GOV</w:t>
            </w:r>
            <w:r>
              <w:t>–2</w:t>
            </w:r>
          </w:p>
        </w:tc>
      </w:tr>
      <w:tr w:rsidR="00801202" w:rsidRPr="00B35F0B" w14:paraId="7B2FB8C7" w14:textId="77777777" w:rsidTr="00BD2B67">
        <w:trPr>
          <w:trHeight w:val="113"/>
        </w:trPr>
        <w:tc>
          <w:tcPr>
            <w:tcW w:w="938" w:type="pct"/>
            <w:vMerge/>
          </w:tcPr>
          <w:p w14:paraId="7D1A2FA4" w14:textId="77777777" w:rsidR="00801202" w:rsidRPr="00B35F0B" w:rsidRDefault="00801202" w:rsidP="003D72CB">
            <w:pPr>
              <w:pStyle w:val="Normal-TableText"/>
              <w:rPr>
                <w:b/>
              </w:rPr>
            </w:pPr>
          </w:p>
        </w:tc>
        <w:tc>
          <w:tcPr>
            <w:tcW w:w="3267" w:type="pct"/>
          </w:tcPr>
          <w:p w14:paraId="70A295B2" w14:textId="77777777" w:rsidR="00801202" w:rsidRPr="00B35F0B" w:rsidRDefault="00801202" w:rsidP="00801202">
            <w:pPr>
              <w:pStyle w:val="Bullet1"/>
            </w:pPr>
            <w:r w:rsidRPr="00B35F0B">
              <w:t>An Information Technology Security Manager (ITSM) or equivalent position or title responsible for the Service Provider’s day</w:t>
            </w:r>
            <w:r w:rsidRPr="00B35F0B">
              <w:noBreakHyphen/>
              <w:t>to</w:t>
            </w:r>
            <w:r w:rsidRPr="00B35F0B">
              <w:noBreakHyphen/>
              <w:t>day performance of protective security functions.</w:t>
            </w:r>
          </w:p>
        </w:tc>
        <w:tc>
          <w:tcPr>
            <w:tcW w:w="794" w:type="pct"/>
          </w:tcPr>
          <w:p w14:paraId="2855B5E4" w14:textId="77777777" w:rsidR="00801202" w:rsidRPr="00B35F0B" w:rsidRDefault="00801202" w:rsidP="003D72CB">
            <w:pPr>
              <w:pStyle w:val="Normal-TableText"/>
            </w:pPr>
            <w:r w:rsidRPr="00B35F0B">
              <w:t>GOV</w:t>
            </w:r>
            <w:r>
              <w:t>–2</w:t>
            </w:r>
          </w:p>
        </w:tc>
      </w:tr>
      <w:tr w:rsidR="00801202" w:rsidRPr="00B35F0B" w14:paraId="663B7C7C" w14:textId="77777777" w:rsidTr="00BD2B67">
        <w:trPr>
          <w:trHeight w:val="113"/>
        </w:trPr>
        <w:tc>
          <w:tcPr>
            <w:tcW w:w="938" w:type="pct"/>
            <w:vMerge/>
          </w:tcPr>
          <w:p w14:paraId="70D09909" w14:textId="77777777" w:rsidR="00801202" w:rsidRPr="00B35F0B" w:rsidRDefault="00801202" w:rsidP="003D72CB">
            <w:pPr>
              <w:pStyle w:val="Normal-TableText"/>
              <w:rPr>
                <w:b/>
              </w:rPr>
            </w:pPr>
          </w:p>
        </w:tc>
        <w:tc>
          <w:tcPr>
            <w:tcW w:w="3267" w:type="pct"/>
          </w:tcPr>
          <w:p w14:paraId="0D8BDA18" w14:textId="77777777" w:rsidR="00801202" w:rsidRPr="00B35F0B" w:rsidRDefault="00801202" w:rsidP="00801202">
            <w:pPr>
              <w:pStyle w:val="Bullet1"/>
            </w:pPr>
            <w:r w:rsidRPr="00B35F0B">
              <w:t>Service Providers MUST ensure that the ITSA and ITSM have detailed knowledge of organisation specific protective security policy, protocols and protective security requirements in order to fulfil their protective security responsibilities.</w:t>
            </w:r>
          </w:p>
        </w:tc>
        <w:tc>
          <w:tcPr>
            <w:tcW w:w="794" w:type="pct"/>
          </w:tcPr>
          <w:p w14:paraId="493A8CE1" w14:textId="77777777" w:rsidR="00801202" w:rsidRPr="00B35F0B" w:rsidRDefault="00801202" w:rsidP="003D72CB">
            <w:pPr>
              <w:pStyle w:val="Normal-TableText"/>
            </w:pPr>
            <w:r w:rsidRPr="00B35F0B">
              <w:t>GOV</w:t>
            </w:r>
            <w:r>
              <w:t>–3</w:t>
            </w:r>
          </w:p>
        </w:tc>
      </w:tr>
      <w:tr w:rsidR="00801202" w:rsidRPr="00B35F0B" w14:paraId="7CEF1966" w14:textId="77777777" w:rsidTr="00BD2B67">
        <w:trPr>
          <w:trHeight w:val="113"/>
        </w:trPr>
        <w:tc>
          <w:tcPr>
            <w:tcW w:w="938" w:type="pct"/>
            <w:vMerge w:val="restart"/>
          </w:tcPr>
          <w:p w14:paraId="13239EB4" w14:textId="77777777" w:rsidR="00801202" w:rsidRPr="00C6440C" w:rsidRDefault="00801202" w:rsidP="003D72CB">
            <w:pPr>
              <w:pStyle w:val="Normal-TableText"/>
              <w:rPr>
                <w:rStyle w:val="Strong"/>
              </w:rPr>
            </w:pPr>
            <w:r w:rsidRPr="00C6440C">
              <w:rPr>
                <w:rStyle w:val="Strong"/>
              </w:rPr>
              <w:t>Gatekeeper 3:</w:t>
            </w:r>
          </w:p>
          <w:p w14:paraId="588C2A51" w14:textId="77777777" w:rsidR="00801202" w:rsidRPr="00B35F0B" w:rsidRDefault="00801202" w:rsidP="003D72CB">
            <w:pPr>
              <w:pStyle w:val="Normal-TableText"/>
              <w:rPr>
                <w:b/>
              </w:rPr>
            </w:pPr>
            <w:r w:rsidRPr="00C6440C">
              <w:rPr>
                <w:rStyle w:val="Strong"/>
              </w:rPr>
              <w:t>Security Policies</w:t>
            </w:r>
          </w:p>
        </w:tc>
        <w:tc>
          <w:tcPr>
            <w:tcW w:w="3267" w:type="pct"/>
          </w:tcPr>
          <w:p w14:paraId="144057D8" w14:textId="77777777" w:rsidR="00801202" w:rsidRPr="00B35F0B" w:rsidRDefault="00801202" w:rsidP="00801202">
            <w:pPr>
              <w:pStyle w:val="Normal-TableText"/>
            </w:pPr>
            <w:r w:rsidRPr="00B35F0B">
              <w:t xml:space="preserve">Service Providers </w:t>
            </w:r>
            <w:r w:rsidRPr="00C6440C">
              <w:rPr>
                <w:rStyle w:val="Strong"/>
              </w:rPr>
              <w:t>MUST</w:t>
            </w:r>
            <w:r w:rsidRPr="00B35F0B">
              <w:t>:</w:t>
            </w:r>
          </w:p>
        </w:tc>
        <w:tc>
          <w:tcPr>
            <w:tcW w:w="794" w:type="pct"/>
          </w:tcPr>
          <w:p w14:paraId="0376BAF6" w14:textId="77777777" w:rsidR="00801202" w:rsidRPr="00B35F0B" w:rsidRDefault="00801202" w:rsidP="00801202">
            <w:pPr>
              <w:pStyle w:val="Normal-TableText"/>
            </w:pPr>
          </w:p>
        </w:tc>
      </w:tr>
      <w:tr w:rsidR="00801202" w:rsidRPr="00B35F0B" w14:paraId="1A6D887F" w14:textId="77777777" w:rsidTr="00BD2B67">
        <w:trPr>
          <w:trHeight w:val="113"/>
        </w:trPr>
        <w:tc>
          <w:tcPr>
            <w:tcW w:w="938" w:type="pct"/>
            <w:vMerge/>
          </w:tcPr>
          <w:p w14:paraId="7BAE5A6F" w14:textId="77777777" w:rsidR="00801202" w:rsidRPr="00B35F0B" w:rsidRDefault="00801202" w:rsidP="003D72CB">
            <w:pPr>
              <w:pStyle w:val="Normal-TableText"/>
              <w:rPr>
                <w:b/>
              </w:rPr>
            </w:pPr>
          </w:p>
        </w:tc>
        <w:tc>
          <w:tcPr>
            <w:tcW w:w="3267" w:type="pct"/>
          </w:tcPr>
          <w:p w14:paraId="6AD0423E" w14:textId="77777777" w:rsidR="00801202" w:rsidRPr="00B35F0B" w:rsidRDefault="00801202" w:rsidP="00801202">
            <w:pPr>
              <w:pStyle w:val="Bullet1"/>
            </w:pPr>
            <w:r w:rsidRPr="00B35F0B">
              <w:t>Prepare a Security Risk Management Plan (SRMP) as part of their Information Security Documentation to manage their security risks.</w:t>
            </w:r>
            <w:r>
              <w:t xml:space="preserve"> </w:t>
            </w:r>
            <w:r w:rsidRPr="00B35F0B">
              <w:t>This plan MUST be regularly reviewed and updated or revised when changes in risks and the Service Provider’s operating environment dictate;</w:t>
            </w:r>
          </w:p>
        </w:tc>
        <w:tc>
          <w:tcPr>
            <w:tcW w:w="794" w:type="pct"/>
          </w:tcPr>
          <w:p w14:paraId="528A3058" w14:textId="77777777" w:rsidR="00801202" w:rsidRPr="00B35F0B" w:rsidRDefault="00801202" w:rsidP="003D72CB">
            <w:pPr>
              <w:pStyle w:val="Normal-TableText"/>
            </w:pPr>
            <w:r w:rsidRPr="00B35F0B">
              <w:t>GOV</w:t>
            </w:r>
            <w:r>
              <w:t>–4</w:t>
            </w:r>
          </w:p>
        </w:tc>
      </w:tr>
      <w:tr w:rsidR="00801202" w:rsidRPr="00B35F0B" w14:paraId="5C3ECDE3" w14:textId="77777777" w:rsidTr="00BD2B67">
        <w:trPr>
          <w:trHeight w:val="113"/>
        </w:trPr>
        <w:tc>
          <w:tcPr>
            <w:tcW w:w="938" w:type="pct"/>
            <w:vMerge/>
          </w:tcPr>
          <w:p w14:paraId="771A3285" w14:textId="77777777" w:rsidR="00801202" w:rsidRPr="00B35F0B" w:rsidRDefault="00801202" w:rsidP="003D72CB">
            <w:pPr>
              <w:pStyle w:val="Normal-TableText"/>
              <w:rPr>
                <w:b/>
              </w:rPr>
            </w:pPr>
          </w:p>
        </w:tc>
        <w:tc>
          <w:tcPr>
            <w:tcW w:w="3267" w:type="pct"/>
          </w:tcPr>
          <w:p w14:paraId="431115F9" w14:textId="77777777" w:rsidR="00801202" w:rsidRPr="00B35F0B" w:rsidRDefault="00801202" w:rsidP="00801202">
            <w:pPr>
              <w:pStyle w:val="Bullet1"/>
            </w:pPr>
            <w:r w:rsidRPr="00B35F0B">
              <w:t>Develop their own protective security policies and procedures to meet their specific business needs;</w:t>
            </w:r>
          </w:p>
        </w:tc>
        <w:tc>
          <w:tcPr>
            <w:tcW w:w="794" w:type="pct"/>
          </w:tcPr>
          <w:p w14:paraId="0184BC77" w14:textId="77777777" w:rsidR="00801202" w:rsidRPr="00B35F0B" w:rsidRDefault="00801202" w:rsidP="003D72CB">
            <w:pPr>
              <w:pStyle w:val="Normal-TableText"/>
            </w:pPr>
            <w:r w:rsidRPr="00B35F0B">
              <w:t>GOV</w:t>
            </w:r>
            <w:r>
              <w:t>–5</w:t>
            </w:r>
          </w:p>
        </w:tc>
      </w:tr>
      <w:tr w:rsidR="00801202" w:rsidRPr="00B35F0B" w14:paraId="2D406408" w14:textId="77777777" w:rsidTr="00BD2B67">
        <w:trPr>
          <w:trHeight w:val="113"/>
        </w:trPr>
        <w:tc>
          <w:tcPr>
            <w:tcW w:w="938" w:type="pct"/>
            <w:vMerge/>
          </w:tcPr>
          <w:p w14:paraId="706D6131" w14:textId="77777777" w:rsidR="00801202" w:rsidRPr="00B35F0B" w:rsidRDefault="00801202" w:rsidP="003D72CB">
            <w:pPr>
              <w:pStyle w:val="Normal-TableText"/>
              <w:rPr>
                <w:b/>
              </w:rPr>
            </w:pPr>
          </w:p>
        </w:tc>
        <w:tc>
          <w:tcPr>
            <w:tcW w:w="3267" w:type="pct"/>
          </w:tcPr>
          <w:p w14:paraId="2F369767" w14:textId="77777777" w:rsidR="00801202" w:rsidRPr="00B35F0B" w:rsidRDefault="00801202" w:rsidP="00801202">
            <w:pPr>
              <w:pStyle w:val="Bullet1"/>
            </w:pPr>
            <w:r w:rsidRPr="00B35F0B">
              <w:t>Develop policies and procedures to assess and manage the ongoing suitability for employment of their personnel;</w:t>
            </w:r>
          </w:p>
        </w:tc>
        <w:tc>
          <w:tcPr>
            <w:tcW w:w="794" w:type="pct"/>
          </w:tcPr>
          <w:p w14:paraId="5C5B14F8" w14:textId="77777777" w:rsidR="00801202" w:rsidRPr="00B35F0B" w:rsidRDefault="00801202" w:rsidP="003D72CB">
            <w:pPr>
              <w:pStyle w:val="Normal-TableText"/>
            </w:pPr>
            <w:r w:rsidRPr="00B35F0B">
              <w:t>PERSEC</w:t>
            </w:r>
            <w:r>
              <w:t>–2</w:t>
            </w:r>
          </w:p>
        </w:tc>
      </w:tr>
      <w:tr w:rsidR="00801202" w:rsidRPr="00B35F0B" w14:paraId="01BBAD32" w14:textId="77777777" w:rsidTr="00BD2B67">
        <w:trPr>
          <w:trHeight w:val="113"/>
        </w:trPr>
        <w:tc>
          <w:tcPr>
            <w:tcW w:w="938" w:type="pct"/>
            <w:vMerge/>
          </w:tcPr>
          <w:p w14:paraId="1A4A5D00" w14:textId="77777777" w:rsidR="00801202" w:rsidRPr="00B35F0B" w:rsidRDefault="00801202" w:rsidP="003D72CB">
            <w:pPr>
              <w:pStyle w:val="Normal-TableText"/>
              <w:rPr>
                <w:b/>
              </w:rPr>
            </w:pPr>
          </w:p>
        </w:tc>
        <w:tc>
          <w:tcPr>
            <w:tcW w:w="3267" w:type="pct"/>
          </w:tcPr>
          <w:p w14:paraId="31DE9787" w14:textId="77777777" w:rsidR="00801202" w:rsidRPr="00B35F0B" w:rsidRDefault="00801202" w:rsidP="00801202">
            <w:pPr>
              <w:pStyle w:val="Bullet1"/>
            </w:pPr>
            <w:r w:rsidRPr="00B35F0B">
              <w:t>Ensure that security vetting is only applied where necessary and the level required as determined by the outcomes of their Protective Security Risk Review (PSRR);</w:t>
            </w:r>
          </w:p>
        </w:tc>
        <w:tc>
          <w:tcPr>
            <w:tcW w:w="794" w:type="pct"/>
          </w:tcPr>
          <w:p w14:paraId="4367D74E" w14:textId="77777777" w:rsidR="00801202" w:rsidRPr="00B35F0B" w:rsidRDefault="00801202" w:rsidP="003D72CB">
            <w:pPr>
              <w:pStyle w:val="Normal-TableText"/>
            </w:pPr>
            <w:r w:rsidRPr="00B35F0B">
              <w:t>PERSEC</w:t>
            </w:r>
            <w:r>
              <w:t>–2</w:t>
            </w:r>
          </w:p>
        </w:tc>
      </w:tr>
      <w:tr w:rsidR="00801202" w:rsidRPr="00B35F0B" w14:paraId="46C7C05E" w14:textId="77777777" w:rsidTr="00BD2B67">
        <w:trPr>
          <w:trHeight w:val="113"/>
        </w:trPr>
        <w:tc>
          <w:tcPr>
            <w:tcW w:w="938" w:type="pct"/>
            <w:vMerge/>
          </w:tcPr>
          <w:p w14:paraId="17F0132F" w14:textId="77777777" w:rsidR="00801202" w:rsidRPr="00B35F0B" w:rsidRDefault="00801202" w:rsidP="003D72CB">
            <w:pPr>
              <w:pStyle w:val="Normal-TableText"/>
              <w:rPr>
                <w:b/>
              </w:rPr>
            </w:pPr>
          </w:p>
        </w:tc>
        <w:tc>
          <w:tcPr>
            <w:tcW w:w="3267" w:type="pct"/>
          </w:tcPr>
          <w:p w14:paraId="701CB882" w14:textId="77777777" w:rsidR="00801202" w:rsidRPr="00B35F0B" w:rsidRDefault="00801202" w:rsidP="00801202">
            <w:pPr>
              <w:pStyle w:val="Bullet1"/>
            </w:pPr>
            <w:r w:rsidRPr="00B35F0B">
              <w:t>Identify designated Positions of Trust within their Organisation that require access to security classified assets or information;</w:t>
            </w:r>
          </w:p>
        </w:tc>
        <w:tc>
          <w:tcPr>
            <w:tcW w:w="794" w:type="pct"/>
          </w:tcPr>
          <w:p w14:paraId="18DF3A2E" w14:textId="77777777" w:rsidR="00801202" w:rsidRPr="00B35F0B" w:rsidRDefault="00801202" w:rsidP="003D72CB">
            <w:pPr>
              <w:pStyle w:val="Normal-TableText"/>
            </w:pPr>
            <w:r w:rsidRPr="00B35F0B">
              <w:t>PERSEC</w:t>
            </w:r>
            <w:r>
              <w:t>–3</w:t>
            </w:r>
          </w:p>
        </w:tc>
      </w:tr>
      <w:tr w:rsidR="00801202" w:rsidRPr="00B35F0B" w14:paraId="46CB74FB" w14:textId="77777777" w:rsidTr="00BD2B67">
        <w:trPr>
          <w:trHeight w:val="113"/>
        </w:trPr>
        <w:tc>
          <w:tcPr>
            <w:tcW w:w="938" w:type="pct"/>
            <w:vMerge/>
          </w:tcPr>
          <w:p w14:paraId="782B9ED3" w14:textId="77777777" w:rsidR="00801202" w:rsidRPr="00B35F0B" w:rsidRDefault="00801202" w:rsidP="003D72CB">
            <w:pPr>
              <w:pStyle w:val="Normal-TableText"/>
              <w:rPr>
                <w:b/>
              </w:rPr>
            </w:pPr>
          </w:p>
        </w:tc>
        <w:tc>
          <w:tcPr>
            <w:tcW w:w="3267" w:type="pct"/>
          </w:tcPr>
          <w:p w14:paraId="3C790C33" w14:textId="77777777" w:rsidR="00801202" w:rsidRPr="00B35F0B" w:rsidRDefault="00801202" w:rsidP="00801202">
            <w:pPr>
              <w:pStyle w:val="Bullet1"/>
            </w:pPr>
            <w:r w:rsidRPr="00B35F0B">
              <w:t>As part of their Information Security Documentation develop and implement an Information Security Policy (ISP).</w:t>
            </w:r>
          </w:p>
        </w:tc>
        <w:tc>
          <w:tcPr>
            <w:tcW w:w="794" w:type="pct"/>
          </w:tcPr>
          <w:p w14:paraId="0AD5CAA3" w14:textId="77777777" w:rsidR="00801202" w:rsidRPr="00B35F0B" w:rsidRDefault="00801202" w:rsidP="003D72CB">
            <w:pPr>
              <w:pStyle w:val="Normal-TableText"/>
            </w:pPr>
            <w:r w:rsidRPr="00B35F0B">
              <w:t>INFOSEC</w:t>
            </w:r>
            <w:r>
              <w:t>–1</w:t>
            </w:r>
          </w:p>
        </w:tc>
      </w:tr>
      <w:tr w:rsidR="0042410C" w:rsidRPr="00B35F0B" w14:paraId="5FF21AFD" w14:textId="77777777" w:rsidTr="00BD2B67">
        <w:trPr>
          <w:trHeight w:val="113"/>
        </w:trPr>
        <w:tc>
          <w:tcPr>
            <w:tcW w:w="938" w:type="pct"/>
            <w:vMerge w:val="restart"/>
          </w:tcPr>
          <w:p w14:paraId="065389A5" w14:textId="77777777" w:rsidR="0042410C" w:rsidRPr="00C6440C" w:rsidRDefault="0042410C" w:rsidP="003D72CB">
            <w:pPr>
              <w:pStyle w:val="Normal-TableText"/>
              <w:rPr>
                <w:rStyle w:val="Strong"/>
              </w:rPr>
            </w:pPr>
            <w:r w:rsidRPr="00C6440C">
              <w:rPr>
                <w:rStyle w:val="Strong"/>
              </w:rPr>
              <w:t>Gatekeeper 4:</w:t>
            </w:r>
          </w:p>
          <w:p w14:paraId="4DD424DB" w14:textId="77777777" w:rsidR="0042410C" w:rsidRPr="00B35F0B" w:rsidRDefault="0042410C" w:rsidP="003D72CB">
            <w:pPr>
              <w:pStyle w:val="Normal-TableText"/>
              <w:rPr>
                <w:b/>
              </w:rPr>
            </w:pPr>
            <w:r w:rsidRPr="00C6440C">
              <w:rPr>
                <w:rStyle w:val="Strong"/>
              </w:rPr>
              <w:t>Security Risk Management Plan</w:t>
            </w:r>
          </w:p>
        </w:tc>
        <w:tc>
          <w:tcPr>
            <w:tcW w:w="3267" w:type="pct"/>
          </w:tcPr>
          <w:p w14:paraId="5E96BBF3" w14:textId="77777777" w:rsidR="0042410C" w:rsidRPr="00B35F0B" w:rsidRDefault="0042410C" w:rsidP="0042410C">
            <w:pPr>
              <w:pStyle w:val="Normal-TableText"/>
            </w:pPr>
            <w:r w:rsidRPr="00B35F0B">
              <w:t xml:space="preserve">Service Providers </w:t>
            </w:r>
            <w:r w:rsidRPr="00C6440C">
              <w:rPr>
                <w:rStyle w:val="Strong"/>
              </w:rPr>
              <w:t>MUST:</w:t>
            </w:r>
          </w:p>
        </w:tc>
        <w:tc>
          <w:tcPr>
            <w:tcW w:w="794" w:type="pct"/>
          </w:tcPr>
          <w:p w14:paraId="57B543AD" w14:textId="77777777" w:rsidR="0042410C" w:rsidRPr="00B35F0B" w:rsidRDefault="0042410C" w:rsidP="003D72CB">
            <w:pPr>
              <w:pStyle w:val="Normal-TableText"/>
            </w:pPr>
          </w:p>
        </w:tc>
      </w:tr>
      <w:tr w:rsidR="0042410C" w:rsidRPr="00B35F0B" w14:paraId="7E521219" w14:textId="77777777" w:rsidTr="00BD2B67">
        <w:trPr>
          <w:trHeight w:val="113"/>
        </w:trPr>
        <w:tc>
          <w:tcPr>
            <w:tcW w:w="938" w:type="pct"/>
            <w:vMerge/>
          </w:tcPr>
          <w:p w14:paraId="66023F43" w14:textId="77777777" w:rsidR="0042410C" w:rsidRPr="00B35F0B" w:rsidRDefault="0042410C" w:rsidP="003D72CB">
            <w:pPr>
              <w:pStyle w:val="Normal-TableText"/>
              <w:rPr>
                <w:b/>
              </w:rPr>
            </w:pPr>
          </w:p>
        </w:tc>
        <w:tc>
          <w:tcPr>
            <w:tcW w:w="3267" w:type="pct"/>
          </w:tcPr>
          <w:p w14:paraId="7F41E7FE" w14:textId="77777777" w:rsidR="0042410C" w:rsidRPr="00B35F0B" w:rsidRDefault="0042410C" w:rsidP="003D72CB">
            <w:pPr>
              <w:pStyle w:val="Bullet1"/>
            </w:pPr>
            <w:r w:rsidRPr="00B35F0B">
              <w:t>Adopt a risk management approach to cover all areas of protective security activity across their Organisation.</w:t>
            </w:r>
            <w:r>
              <w:t xml:space="preserve"> </w:t>
            </w:r>
            <w:r w:rsidRPr="00B35F0B">
              <w:t xml:space="preserve">This approach </w:t>
            </w:r>
            <w:r w:rsidRPr="00D825A0">
              <w:rPr>
                <w:rStyle w:val="Strong"/>
              </w:rPr>
              <w:t>SHOULD</w:t>
            </w:r>
            <w:r w:rsidRPr="00B35F0B">
              <w:t xml:space="preserve"> be in accordance with the Australian Standard for Risk Management AS/NZS ISO 31000:2009 </w:t>
            </w:r>
            <w:r w:rsidRPr="00D825A0">
              <w:rPr>
                <w:rStyle w:val="Emphasis"/>
              </w:rPr>
              <w:t>Risk management – Principles and guidelines</w:t>
            </w:r>
            <w:r w:rsidRPr="00B35F0B">
              <w:t xml:space="preserve"> and the </w:t>
            </w:r>
            <w:r w:rsidRPr="00D825A0">
              <w:rPr>
                <w:rStyle w:val="Emphasis"/>
              </w:rPr>
              <w:t>Australian Standard HB 167:2006 Security Risk Management</w:t>
            </w:r>
            <w:r w:rsidRPr="00B35F0B">
              <w:t>.</w:t>
            </w:r>
          </w:p>
        </w:tc>
        <w:tc>
          <w:tcPr>
            <w:tcW w:w="794" w:type="pct"/>
          </w:tcPr>
          <w:p w14:paraId="1E6E08BE" w14:textId="77777777" w:rsidR="0042410C" w:rsidRPr="00B35F0B" w:rsidRDefault="0042410C" w:rsidP="003D72CB">
            <w:pPr>
              <w:pStyle w:val="Normal-TableText"/>
            </w:pPr>
            <w:r w:rsidRPr="00B35F0B">
              <w:t>GOV</w:t>
            </w:r>
            <w:r>
              <w:t>–6</w:t>
            </w:r>
          </w:p>
        </w:tc>
      </w:tr>
      <w:tr w:rsidR="0042410C" w:rsidRPr="00B35F0B" w14:paraId="2008732C" w14:textId="77777777" w:rsidTr="00BD2B67">
        <w:trPr>
          <w:trHeight w:val="113"/>
        </w:trPr>
        <w:tc>
          <w:tcPr>
            <w:tcW w:w="938" w:type="pct"/>
            <w:vMerge/>
          </w:tcPr>
          <w:p w14:paraId="2D8D4850" w14:textId="77777777" w:rsidR="0042410C" w:rsidRPr="00B35F0B" w:rsidRDefault="0042410C" w:rsidP="003D72CB">
            <w:pPr>
              <w:pStyle w:val="Normal-TableText"/>
              <w:rPr>
                <w:b/>
              </w:rPr>
            </w:pPr>
          </w:p>
        </w:tc>
        <w:tc>
          <w:tcPr>
            <w:tcW w:w="3267" w:type="pct"/>
          </w:tcPr>
          <w:p w14:paraId="201BE906" w14:textId="77777777" w:rsidR="0042410C" w:rsidRPr="00B35F0B" w:rsidRDefault="0042410C" w:rsidP="003D72CB">
            <w:pPr>
              <w:pStyle w:val="Bullet1"/>
            </w:pPr>
            <w:r w:rsidRPr="00B35F0B">
              <w:t>Prepare a SRMP to manage their security risks.</w:t>
            </w:r>
          </w:p>
        </w:tc>
        <w:tc>
          <w:tcPr>
            <w:tcW w:w="794" w:type="pct"/>
          </w:tcPr>
          <w:p w14:paraId="69C75B5A" w14:textId="77777777" w:rsidR="0042410C" w:rsidRPr="00B35F0B" w:rsidRDefault="0042410C" w:rsidP="003D72CB">
            <w:pPr>
              <w:pStyle w:val="Normal-TableText"/>
            </w:pPr>
            <w:r w:rsidRPr="00B35F0B">
              <w:t>INFOSEC</w:t>
            </w:r>
            <w:r>
              <w:t>–2</w:t>
            </w:r>
          </w:p>
        </w:tc>
      </w:tr>
      <w:tr w:rsidR="0042410C" w:rsidRPr="00B35F0B" w14:paraId="2C054F93" w14:textId="77777777" w:rsidTr="00102EEB">
        <w:trPr>
          <w:trHeight w:val="113"/>
        </w:trPr>
        <w:tc>
          <w:tcPr>
            <w:tcW w:w="938" w:type="pct"/>
            <w:vMerge/>
          </w:tcPr>
          <w:p w14:paraId="7F3732E7" w14:textId="77777777" w:rsidR="0042410C" w:rsidRPr="00B35F0B" w:rsidRDefault="0042410C" w:rsidP="003D72CB">
            <w:pPr>
              <w:pStyle w:val="Normal-TableText"/>
              <w:rPr>
                <w:b/>
              </w:rPr>
            </w:pPr>
          </w:p>
        </w:tc>
        <w:tc>
          <w:tcPr>
            <w:tcW w:w="3267" w:type="pct"/>
            <w:shd w:val="clear" w:color="auto" w:fill="auto"/>
          </w:tcPr>
          <w:p w14:paraId="03A8B28C" w14:textId="77777777" w:rsidR="0042410C" w:rsidRPr="00B35F0B" w:rsidRDefault="0042410C" w:rsidP="003D72CB">
            <w:pPr>
              <w:pStyle w:val="Normal-TableText"/>
            </w:pPr>
            <w:r w:rsidRPr="00B35F0B">
              <w:t xml:space="preserve">The SRMP </w:t>
            </w:r>
            <w:r w:rsidRPr="00C6440C">
              <w:rPr>
                <w:rStyle w:val="Strong"/>
              </w:rPr>
              <w:t>MUST</w:t>
            </w:r>
            <w:r w:rsidRPr="00B35F0B">
              <w:t xml:space="preserve"> be reviewed or revised annually or sooner when changes occur in threats, risks or the Service Provider’s PKI operating environment</w:t>
            </w:r>
          </w:p>
        </w:tc>
        <w:tc>
          <w:tcPr>
            <w:tcW w:w="794" w:type="pct"/>
            <w:tcBorders>
              <w:bottom w:val="single" w:sz="4" w:space="0" w:color="auto"/>
            </w:tcBorders>
          </w:tcPr>
          <w:p w14:paraId="79D64440" w14:textId="77777777" w:rsidR="0042410C" w:rsidRPr="00B35F0B" w:rsidRDefault="0042410C" w:rsidP="003D72CB">
            <w:pPr>
              <w:pStyle w:val="Normal-TableText"/>
            </w:pPr>
            <w:r w:rsidRPr="00B35F0B">
              <w:t>GOV</w:t>
            </w:r>
            <w:r>
              <w:t>–4</w:t>
            </w:r>
          </w:p>
        </w:tc>
      </w:tr>
      <w:tr w:rsidR="00A103CA" w:rsidRPr="00B35F0B" w14:paraId="7D2FD0FF" w14:textId="77777777" w:rsidTr="00BD2B67">
        <w:trPr>
          <w:trHeight w:val="113"/>
        </w:trPr>
        <w:tc>
          <w:tcPr>
            <w:tcW w:w="938" w:type="pct"/>
            <w:vMerge w:val="restart"/>
          </w:tcPr>
          <w:p w14:paraId="62CA8BD9" w14:textId="77777777" w:rsidR="00A103CA" w:rsidRPr="00C6440C" w:rsidRDefault="00A103CA" w:rsidP="003D72CB">
            <w:pPr>
              <w:pStyle w:val="Normal-TableText"/>
              <w:rPr>
                <w:rStyle w:val="Strong"/>
              </w:rPr>
            </w:pPr>
            <w:r w:rsidRPr="00C6440C">
              <w:rPr>
                <w:rStyle w:val="Strong"/>
              </w:rPr>
              <w:t>Gatekeeper 5:</w:t>
            </w:r>
          </w:p>
          <w:p w14:paraId="0F63EEAF" w14:textId="77777777" w:rsidR="00A103CA" w:rsidRPr="00B35F0B" w:rsidRDefault="00A103CA" w:rsidP="003D72CB">
            <w:pPr>
              <w:pStyle w:val="Normal-TableText"/>
              <w:rPr>
                <w:b/>
              </w:rPr>
            </w:pPr>
            <w:r w:rsidRPr="00C6440C">
              <w:rPr>
                <w:rStyle w:val="Strong"/>
              </w:rPr>
              <w:t>Audit</w:t>
            </w:r>
          </w:p>
        </w:tc>
        <w:tc>
          <w:tcPr>
            <w:tcW w:w="3267" w:type="pct"/>
            <w:shd w:val="clear" w:color="auto" w:fill="auto"/>
          </w:tcPr>
          <w:p w14:paraId="59BE0DFC" w14:textId="382ABF6B" w:rsidR="00A103CA" w:rsidRPr="00B35F0B" w:rsidRDefault="00A103CA" w:rsidP="00A103CA">
            <w:pPr>
              <w:pStyle w:val="Normal-TableText"/>
            </w:pPr>
            <w:r w:rsidRPr="00B35F0B">
              <w:t xml:space="preserve">Service Providers </w:t>
            </w:r>
            <w:r w:rsidRPr="00C6440C">
              <w:rPr>
                <w:rStyle w:val="Strong"/>
              </w:rPr>
              <w:t>MUST</w:t>
            </w:r>
            <w:r w:rsidRPr="00B35F0B">
              <w:t>:</w:t>
            </w:r>
          </w:p>
        </w:tc>
        <w:tc>
          <w:tcPr>
            <w:tcW w:w="794" w:type="pct"/>
          </w:tcPr>
          <w:p w14:paraId="6B2B74E1" w14:textId="373CA61B" w:rsidR="00A103CA" w:rsidRPr="00B35F0B" w:rsidRDefault="00A103CA" w:rsidP="003D72CB">
            <w:pPr>
              <w:pStyle w:val="Normal-TableText"/>
            </w:pPr>
          </w:p>
        </w:tc>
      </w:tr>
      <w:tr w:rsidR="00A103CA" w:rsidRPr="00B35F0B" w14:paraId="5D814246" w14:textId="77777777" w:rsidTr="009A65CF">
        <w:trPr>
          <w:trHeight w:val="113"/>
        </w:trPr>
        <w:tc>
          <w:tcPr>
            <w:tcW w:w="938" w:type="pct"/>
            <w:vMerge/>
          </w:tcPr>
          <w:p w14:paraId="37E4A14A" w14:textId="77777777" w:rsidR="00A103CA" w:rsidRPr="00C6440C" w:rsidRDefault="00A103CA" w:rsidP="003D72CB">
            <w:pPr>
              <w:pStyle w:val="Normal-TableText"/>
              <w:rPr>
                <w:rStyle w:val="Strong"/>
              </w:rPr>
            </w:pPr>
          </w:p>
        </w:tc>
        <w:tc>
          <w:tcPr>
            <w:tcW w:w="3268" w:type="pct"/>
            <w:shd w:val="clear" w:color="auto" w:fill="auto"/>
          </w:tcPr>
          <w:p w14:paraId="590C7896" w14:textId="3D238270" w:rsidR="00A103CA" w:rsidRPr="00B35F0B" w:rsidRDefault="00A103CA" w:rsidP="00A103CA">
            <w:pPr>
              <w:pStyle w:val="Bullet1"/>
            </w:pPr>
            <w:r w:rsidRPr="00B35F0B">
              <w:t xml:space="preserve">Undertake an annual Gatekeeper PKI Framework </w:t>
            </w:r>
            <w:r w:rsidR="00D50809">
              <w:t>Compliance Audit against their a</w:t>
            </w:r>
            <w:r w:rsidRPr="00B35F0B">
              <w:t>pproved</w:t>
            </w:r>
            <w:r w:rsidR="00D50809">
              <w:t xml:space="preserve"> documentation</w:t>
            </w:r>
            <w:r w:rsidRPr="00B35F0B">
              <w:t>, and</w:t>
            </w:r>
          </w:p>
        </w:tc>
        <w:tc>
          <w:tcPr>
            <w:tcW w:w="794" w:type="pct"/>
            <w:tcBorders>
              <w:bottom w:val="single" w:sz="4" w:space="0" w:color="auto"/>
            </w:tcBorders>
          </w:tcPr>
          <w:p w14:paraId="4E7AF120" w14:textId="77777777" w:rsidR="00A103CA" w:rsidRPr="00B35F0B" w:rsidRDefault="00A103CA" w:rsidP="003D72CB">
            <w:pPr>
              <w:pStyle w:val="Normal-TableText"/>
            </w:pPr>
          </w:p>
        </w:tc>
      </w:tr>
      <w:tr w:rsidR="00A103CA" w:rsidRPr="00B35F0B" w14:paraId="06555E61" w14:textId="77777777" w:rsidTr="009A65CF">
        <w:trPr>
          <w:trHeight w:val="113"/>
        </w:trPr>
        <w:tc>
          <w:tcPr>
            <w:tcW w:w="938" w:type="pct"/>
            <w:vMerge/>
          </w:tcPr>
          <w:p w14:paraId="635B91D5" w14:textId="77777777" w:rsidR="00A103CA" w:rsidRPr="00C6440C" w:rsidRDefault="00A103CA" w:rsidP="003D72CB">
            <w:pPr>
              <w:pStyle w:val="Normal-TableText"/>
              <w:rPr>
                <w:rStyle w:val="Strong"/>
              </w:rPr>
            </w:pPr>
          </w:p>
        </w:tc>
        <w:tc>
          <w:tcPr>
            <w:tcW w:w="3268" w:type="pct"/>
            <w:shd w:val="clear" w:color="auto" w:fill="auto"/>
          </w:tcPr>
          <w:p w14:paraId="4AF69210" w14:textId="499FDBBB" w:rsidR="00A103CA" w:rsidRPr="00B35F0B" w:rsidRDefault="00A103CA" w:rsidP="00A103CA">
            <w:pPr>
              <w:pStyle w:val="Bullet1"/>
            </w:pPr>
            <w:r w:rsidRPr="00B35F0B">
              <w:t>Report the outcomes of the Gatekeeper PKI Framework Compliance Audit to the Gatekeeper Competent Authority.</w:t>
            </w:r>
            <w:r>
              <w:t xml:space="preserve"> </w:t>
            </w:r>
            <w:r w:rsidRPr="00B35F0B">
              <w:t>The report MUST state any areas of non</w:t>
            </w:r>
            <w:r w:rsidRPr="00B35F0B">
              <w:noBreakHyphen/>
              <w:t>compliance, including details on measures taken to address such non-compliances.</w:t>
            </w:r>
          </w:p>
        </w:tc>
        <w:tc>
          <w:tcPr>
            <w:tcW w:w="794" w:type="pct"/>
            <w:tcBorders>
              <w:top w:val="single" w:sz="4" w:space="0" w:color="auto"/>
            </w:tcBorders>
          </w:tcPr>
          <w:p w14:paraId="704E490D" w14:textId="0F8D4247" w:rsidR="00A103CA" w:rsidRPr="00B35F0B" w:rsidRDefault="009A65CF" w:rsidP="003D72CB">
            <w:pPr>
              <w:pStyle w:val="Normal-TableText"/>
            </w:pPr>
            <w:r w:rsidRPr="00B35F0B">
              <w:t>GOV</w:t>
            </w:r>
            <w:r>
              <w:t>–7</w:t>
            </w:r>
          </w:p>
        </w:tc>
      </w:tr>
      <w:tr w:rsidR="00215226" w:rsidRPr="00B35F0B" w14:paraId="56988E59" w14:textId="77777777" w:rsidTr="00BD2B67">
        <w:trPr>
          <w:trHeight w:val="113"/>
        </w:trPr>
        <w:tc>
          <w:tcPr>
            <w:tcW w:w="938" w:type="pct"/>
          </w:tcPr>
          <w:p w14:paraId="2E71D12E" w14:textId="77777777" w:rsidR="00215226" w:rsidRPr="00C6440C" w:rsidRDefault="00215226" w:rsidP="003D72CB">
            <w:pPr>
              <w:pStyle w:val="Normal-TableText"/>
              <w:rPr>
                <w:rStyle w:val="Strong"/>
              </w:rPr>
            </w:pPr>
            <w:r w:rsidRPr="00B35F0B">
              <w:br w:type="page"/>
            </w:r>
            <w:r w:rsidRPr="00C6440C">
              <w:rPr>
                <w:rStyle w:val="Strong"/>
              </w:rPr>
              <w:t>Gatekeeper 6:</w:t>
            </w:r>
          </w:p>
          <w:p w14:paraId="5F72A601" w14:textId="77777777" w:rsidR="00215226" w:rsidRPr="00B35F0B" w:rsidRDefault="00215226" w:rsidP="003D72CB">
            <w:pPr>
              <w:pStyle w:val="Normal-TableText"/>
              <w:rPr>
                <w:b/>
              </w:rPr>
            </w:pPr>
            <w:r w:rsidRPr="00C6440C">
              <w:rPr>
                <w:rStyle w:val="Strong"/>
              </w:rPr>
              <w:t>International obligations</w:t>
            </w:r>
          </w:p>
        </w:tc>
        <w:tc>
          <w:tcPr>
            <w:tcW w:w="3268" w:type="pct"/>
            <w:shd w:val="clear" w:color="auto" w:fill="auto"/>
          </w:tcPr>
          <w:p w14:paraId="4C575B77" w14:textId="77777777" w:rsidR="00215226" w:rsidRPr="00B35F0B" w:rsidRDefault="00215226" w:rsidP="003D72CB">
            <w:pPr>
              <w:pStyle w:val="Normal-TableText"/>
            </w:pPr>
            <w:r w:rsidRPr="00B35F0B">
              <w:t xml:space="preserve">Service Providers </w:t>
            </w:r>
            <w:r w:rsidRPr="00C6440C">
              <w:rPr>
                <w:rStyle w:val="Strong"/>
              </w:rPr>
              <w:t>MUST</w:t>
            </w:r>
            <w:r w:rsidRPr="00B35F0B">
              <w:t>, where required by a Commonwealth Agency, adhere to any provisions concerning the security of people, information and assets contained in multilateral or bilateral agreements and arrangements to which they agency is</w:t>
            </w:r>
            <w:r>
              <w:t xml:space="preserve"> </w:t>
            </w:r>
            <w:r w:rsidRPr="00B35F0B">
              <w:t>a party</w:t>
            </w:r>
          </w:p>
        </w:tc>
        <w:tc>
          <w:tcPr>
            <w:tcW w:w="794" w:type="pct"/>
          </w:tcPr>
          <w:p w14:paraId="4E5CBBAC" w14:textId="77777777" w:rsidR="00215226" w:rsidRPr="00B35F0B" w:rsidRDefault="00215226" w:rsidP="003D72CB">
            <w:pPr>
              <w:pStyle w:val="Normal-TableText"/>
            </w:pPr>
            <w:r w:rsidRPr="00B35F0B">
              <w:t>GOV</w:t>
            </w:r>
            <w:r>
              <w:t>–1</w:t>
            </w:r>
            <w:r w:rsidRPr="00B35F0B">
              <w:t>0</w:t>
            </w:r>
          </w:p>
        </w:tc>
      </w:tr>
      <w:tr w:rsidR="00215226" w:rsidRPr="00B35F0B" w14:paraId="6F3DB557" w14:textId="77777777" w:rsidTr="00BD2B67">
        <w:trPr>
          <w:trHeight w:val="113"/>
        </w:trPr>
        <w:tc>
          <w:tcPr>
            <w:tcW w:w="938" w:type="pct"/>
          </w:tcPr>
          <w:p w14:paraId="3599D682" w14:textId="77777777" w:rsidR="00215226" w:rsidRPr="00C6440C" w:rsidRDefault="00215226" w:rsidP="003D72CB">
            <w:pPr>
              <w:pStyle w:val="Normal-TableText"/>
              <w:rPr>
                <w:rStyle w:val="Strong"/>
              </w:rPr>
            </w:pPr>
            <w:r w:rsidRPr="00B35F0B">
              <w:lastRenderedPageBreak/>
              <w:br w:type="page"/>
            </w:r>
            <w:r w:rsidRPr="00C6440C">
              <w:rPr>
                <w:rStyle w:val="Strong"/>
              </w:rPr>
              <w:t>Gatekeeper 7:</w:t>
            </w:r>
          </w:p>
          <w:p w14:paraId="69C6FB76" w14:textId="77777777" w:rsidR="00215226" w:rsidRPr="00B35F0B" w:rsidRDefault="00215226" w:rsidP="003D72CB">
            <w:pPr>
              <w:pStyle w:val="Normal-TableText"/>
              <w:rPr>
                <w:b/>
              </w:rPr>
            </w:pPr>
            <w:r w:rsidRPr="00C6440C">
              <w:rPr>
                <w:rStyle w:val="Strong"/>
              </w:rPr>
              <w:t xml:space="preserve">Disaster Recovery and Business Continuity Plan </w:t>
            </w:r>
          </w:p>
        </w:tc>
        <w:tc>
          <w:tcPr>
            <w:tcW w:w="3268" w:type="pct"/>
          </w:tcPr>
          <w:p w14:paraId="11A9CD97" w14:textId="77777777" w:rsidR="00215226" w:rsidRDefault="00215226" w:rsidP="003D72CB">
            <w:pPr>
              <w:pStyle w:val="Normal-TableText"/>
            </w:pPr>
            <w:r w:rsidRPr="00B35F0B">
              <w:t xml:space="preserve">Service Providers </w:t>
            </w:r>
            <w:r w:rsidRPr="00C6440C">
              <w:rPr>
                <w:rStyle w:val="Strong"/>
              </w:rPr>
              <w:t xml:space="preserve">MUST </w:t>
            </w:r>
            <w:r w:rsidRPr="00B35F0B">
              <w:t>establish a Disaster Recovery and Business Continuity Plan (DRBCP) to provide for the continued availability of critical services and assets, and of other services and assets when warranted by a threat and risk assessment.</w:t>
            </w:r>
          </w:p>
          <w:p w14:paraId="3A40C6AA" w14:textId="77777777" w:rsidR="00215226" w:rsidRPr="00B35F0B" w:rsidRDefault="00215226" w:rsidP="003D72CB">
            <w:pPr>
              <w:pStyle w:val="Normal-TableText"/>
            </w:pPr>
            <w:r w:rsidRPr="00B35F0B">
              <w:t>The Plan</w:t>
            </w:r>
            <w:r w:rsidRPr="00C6440C">
              <w:rPr>
                <w:rStyle w:val="Strong"/>
              </w:rPr>
              <w:t xml:space="preserve"> SHOULD</w:t>
            </w:r>
            <w:r w:rsidRPr="00B35F0B">
              <w:t xml:space="preserve"> be consistent with the </w:t>
            </w:r>
            <w:r w:rsidRPr="00C6440C">
              <w:rPr>
                <w:rStyle w:val="Emphasis"/>
              </w:rPr>
              <w:t>Australian National Audit Office Better Practice Guide on Business Continuity Management</w:t>
            </w:r>
            <w:r w:rsidRPr="00B35F0B">
              <w:t>.</w:t>
            </w:r>
          </w:p>
        </w:tc>
        <w:tc>
          <w:tcPr>
            <w:tcW w:w="794" w:type="pct"/>
          </w:tcPr>
          <w:p w14:paraId="6212330F" w14:textId="77777777" w:rsidR="00215226" w:rsidRPr="00B35F0B" w:rsidRDefault="00215226" w:rsidP="003D72CB">
            <w:pPr>
              <w:pStyle w:val="Normal-TableText"/>
            </w:pPr>
            <w:r w:rsidRPr="00B35F0B">
              <w:t>GOV</w:t>
            </w:r>
            <w:r>
              <w:t>–1</w:t>
            </w:r>
            <w:r w:rsidRPr="00B35F0B">
              <w:t>1</w:t>
            </w:r>
          </w:p>
        </w:tc>
      </w:tr>
      <w:tr w:rsidR="0042410C" w:rsidRPr="00B35F0B" w14:paraId="52F7726D" w14:textId="77777777" w:rsidTr="00BD2B67">
        <w:trPr>
          <w:trHeight w:val="113"/>
        </w:trPr>
        <w:tc>
          <w:tcPr>
            <w:tcW w:w="938" w:type="pct"/>
            <w:vMerge w:val="restart"/>
          </w:tcPr>
          <w:p w14:paraId="2D62C437" w14:textId="77777777" w:rsidR="0042410C" w:rsidRPr="00C6440C" w:rsidRDefault="0042410C" w:rsidP="003D72CB">
            <w:pPr>
              <w:pStyle w:val="Normal-TableText"/>
              <w:rPr>
                <w:rStyle w:val="Strong"/>
              </w:rPr>
            </w:pPr>
            <w:r w:rsidRPr="00C6440C">
              <w:rPr>
                <w:rStyle w:val="Strong"/>
              </w:rPr>
              <w:t>Gatekeeper 8:</w:t>
            </w:r>
          </w:p>
          <w:p w14:paraId="410E4454" w14:textId="77777777" w:rsidR="0042410C" w:rsidRPr="00B35F0B" w:rsidRDefault="0042410C" w:rsidP="003D72CB">
            <w:pPr>
              <w:pStyle w:val="Normal-TableText"/>
              <w:rPr>
                <w:b/>
              </w:rPr>
            </w:pPr>
            <w:r w:rsidRPr="00C6440C">
              <w:rPr>
                <w:rStyle w:val="Strong"/>
              </w:rPr>
              <w:t>Security vetting</w:t>
            </w:r>
          </w:p>
        </w:tc>
        <w:tc>
          <w:tcPr>
            <w:tcW w:w="3268" w:type="pct"/>
          </w:tcPr>
          <w:p w14:paraId="5B6015E4" w14:textId="77777777" w:rsidR="0042410C" w:rsidRPr="00B35F0B" w:rsidRDefault="0042410C" w:rsidP="0042410C">
            <w:pPr>
              <w:pStyle w:val="Normal-TableText"/>
            </w:pPr>
            <w:r w:rsidRPr="00B35F0B">
              <w:t xml:space="preserve">Service Providers </w:t>
            </w:r>
            <w:r w:rsidRPr="00C6440C">
              <w:rPr>
                <w:rStyle w:val="Strong"/>
              </w:rPr>
              <w:t>MUST</w:t>
            </w:r>
            <w:r w:rsidRPr="00B35F0B">
              <w:t xml:space="preserve"> ensure that employees, contractors and temporary staff who require access to PKI resources and Subscriber/Relying Party information:</w:t>
            </w:r>
          </w:p>
        </w:tc>
        <w:tc>
          <w:tcPr>
            <w:tcW w:w="794" w:type="pct"/>
          </w:tcPr>
          <w:p w14:paraId="1034C1B2" w14:textId="77777777" w:rsidR="0042410C" w:rsidRPr="00B35F0B" w:rsidRDefault="0042410C" w:rsidP="003D72CB">
            <w:pPr>
              <w:pStyle w:val="Normal-TableText"/>
            </w:pPr>
            <w:r w:rsidRPr="00B35F0B">
              <w:t>PERSEC</w:t>
            </w:r>
            <w:r>
              <w:t>–1</w:t>
            </w:r>
          </w:p>
        </w:tc>
      </w:tr>
      <w:tr w:rsidR="0042410C" w:rsidRPr="00B35F0B" w14:paraId="52686710" w14:textId="77777777" w:rsidTr="00BD2B67">
        <w:trPr>
          <w:trHeight w:val="113"/>
        </w:trPr>
        <w:tc>
          <w:tcPr>
            <w:tcW w:w="938" w:type="pct"/>
            <w:vMerge/>
          </w:tcPr>
          <w:p w14:paraId="79ED923E" w14:textId="77777777" w:rsidR="0042410C" w:rsidRPr="00B35F0B" w:rsidRDefault="0042410C" w:rsidP="003D72CB">
            <w:pPr>
              <w:pStyle w:val="Normal-TableText"/>
              <w:rPr>
                <w:b/>
              </w:rPr>
            </w:pPr>
          </w:p>
        </w:tc>
        <w:tc>
          <w:tcPr>
            <w:tcW w:w="3268" w:type="pct"/>
          </w:tcPr>
          <w:p w14:paraId="2A103BC7" w14:textId="77777777" w:rsidR="0042410C" w:rsidRPr="00B35F0B" w:rsidRDefault="0042410C" w:rsidP="003D72CB">
            <w:pPr>
              <w:pStyle w:val="Bullet1"/>
            </w:pPr>
            <w:r w:rsidRPr="00B35F0B">
              <w:t>Are authorised to have access, have had their identities established, have undertaken appropriate security training; and hold a Security Clearance appropriate to their job requirements.</w:t>
            </w:r>
          </w:p>
        </w:tc>
        <w:tc>
          <w:tcPr>
            <w:tcW w:w="794" w:type="pct"/>
          </w:tcPr>
          <w:p w14:paraId="4BD20075" w14:textId="7C9583E4" w:rsidR="0042410C" w:rsidRPr="00B35F0B" w:rsidRDefault="0042410C" w:rsidP="003D72CB">
            <w:pPr>
              <w:pStyle w:val="Normal-TableText"/>
            </w:pPr>
            <w:r w:rsidRPr="00B35F0B">
              <w:t>PERSEC</w:t>
            </w:r>
            <w:r>
              <w:t>–5</w:t>
            </w:r>
          </w:p>
        </w:tc>
      </w:tr>
      <w:tr w:rsidR="0042410C" w:rsidRPr="00B35F0B" w14:paraId="3FB300CA" w14:textId="77777777" w:rsidTr="00BD2B67">
        <w:trPr>
          <w:trHeight w:val="113"/>
        </w:trPr>
        <w:tc>
          <w:tcPr>
            <w:tcW w:w="938" w:type="pct"/>
            <w:vMerge/>
          </w:tcPr>
          <w:p w14:paraId="0A46B37F" w14:textId="77777777" w:rsidR="0042410C" w:rsidRPr="00B35F0B" w:rsidRDefault="0042410C" w:rsidP="003D72CB">
            <w:pPr>
              <w:pStyle w:val="Normal-TableText"/>
              <w:rPr>
                <w:b/>
              </w:rPr>
            </w:pPr>
          </w:p>
        </w:tc>
        <w:tc>
          <w:tcPr>
            <w:tcW w:w="3268" w:type="pct"/>
          </w:tcPr>
          <w:p w14:paraId="5560CB14" w14:textId="77777777" w:rsidR="0042410C" w:rsidRPr="00B35F0B" w:rsidRDefault="0042410C" w:rsidP="0042410C">
            <w:pPr>
              <w:pStyle w:val="Bullet1"/>
            </w:pPr>
            <w:r w:rsidRPr="00B35F0B">
              <w:t xml:space="preserve">Security clearances </w:t>
            </w:r>
            <w:r w:rsidRPr="00BD2B67">
              <w:rPr>
                <w:b/>
              </w:rPr>
              <w:t>MUST</w:t>
            </w:r>
            <w:r w:rsidRPr="00B35F0B">
              <w:t xml:space="preserve"> be sponsored by an Australian Government agency and undertaken by the Australian Government Security Vetting Agency (AGSVA).</w:t>
            </w:r>
          </w:p>
        </w:tc>
        <w:tc>
          <w:tcPr>
            <w:tcW w:w="794" w:type="pct"/>
          </w:tcPr>
          <w:p w14:paraId="7D5BA417" w14:textId="77777777" w:rsidR="0042410C" w:rsidRPr="00B35F0B" w:rsidRDefault="0042410C" w:rsidP="003D72CB">
            <w:pPr>
              <w:pStyle w:val="Normal-TableText"/>
            </w:pPr>
            <w:r w:rsidRPr="00B35F0B">
              <w:t>PERSEC</w:t>
            </w:r>
            <w:r>
              <w:t>–6</w:t>
            </w:r>
          </w:p>
        </w:tc>
      </w:tr>
      <w:tr w:rsidR="0042410C" w:rsidRPr="00B35F0B" w14:paraId="599B9A55" w14:textId="77777777" w:rsidTr="00BD2B67">
        <w:trPr>
          <w:trHeight w:val="113"/>
        </w:trPr>
        <w:tc>
          <w:tcPr>
            <w:tcW w:w="938" w:type="pct"/>
            <w:vMerge w:val="restart"/>
          </w:tcPr>
          <w:p w14:paraId="513217BA" w14:textId="77777777" w:rsidR="0042410C" w:rsidRPr="00C6440C" w:rsidRDefault="0042410C" w:rsidP="003D72CB">
            <w:pPr>
              <w:pStyle w:val="Normal-TableText"/>
              <w:rPr>
                <w:rStyle w:val="Strong"/>
              </w:rPr>
            </w:pPr>
            <w:r w:rsidRPr="00C6440C">
              <w:rPr>
                <w:rStyle w:val="Strong"/>
              </w:rPr>
              <w:t>Gatekeeper 9:</w:t>
            </w:r>
          </w:p>
          <w:p w14:paraId="09C52C51" w14:textId="77777777" w:rsidR="0042410C" w:rsidRPr="00B35F0B" w:rsidRDefault="0042410C" w:rsidP="003D72CB">
            <w:pPr>
              <w:pStyle w:val="Normal-TableText"/>
            </w:pPr>
            <w:r w:rsidRPr="00C6440C">
              <w:rPr>
                <w:rStyle w:val="Strong"/>
              </w:rPr>
              <w:t>Personnel security</w:t>
            </w:r>
          </w:p>
        </w:tc>
        <w:tc>
          <w:tcPr>
            <w:tcW w:w="3268" w:type="pct"/>
          </w:tcPr>
          <w:p w14:paraId="6C41C88F" w14:textId="77777777" w:rsidR="0042410C" w:rsidRPr="00B35F0B" w:rsidRDefault="0042410C" w:rsidP="0042410C">
            <w:pPr>
              <w:pStyle w:val="Normal-TableText"/>
            </w:pPr>
            <w:r w:rsidRPr="00B35F0B">
              <w:t xml:space="preserve">Service Providers </w:t>
            </w:r>
            <w:r w:rsidRPr="00C6440C">
              <w:rPr>
                <w:rStyle w:val="Strong"/>
              </w:rPr>
              <w:t>MUST</w:t>
            </w:r>
            <w:r w:rsidRPr="00B35F0B">
              <w:t xml:space="preserve"> have in place personnel security aftercare arrangements.</w:t>
            </w:r>
            <w:r>
              <w:t xml:space="preserve"> </w:t>
            </w:r>
            <w:r w:rsidRPr="00B35F0B">
              <w:t>Individuals holding security clearances should advise the AGSVA of any significant change in personal circumstance that may impact on their continuing suitability to access security classified resources.</w:t>
            </w:r>
          </w:p>
        </w:tc>
        <w:tc>
          <w:tcPr>
            <w:tcW w:w="794" w:type="pct"/>
          </w:tcPr>
          <w:p w14:paraId="32B80B70" w14:textId="77777777" w:rsidR="0042410C" w:rsidRPr="00B35F0B" w:rsidRDefault="0042410C" w:rsidP="003D72CB">
            <w:pPr>
              <w:pStyle w:val="Normal-TableText"/>
            </w:pPr>
          </w:p>
        </w:tc>
      </w:tr>
      <w:tr w:rsidR="00FF121B" w:rsidRPr="00B35F0B" w14:paraId="4DC10519" w14:textId="77777777" w:rsidTr="00BD2B67">
        <w:trPr>
          <w:trHeight w:val="113"/>
        </w:trPr>
        <w:tc>
          <w:tcPr>
            <w:tcW w:w="938" w:type="pct"/>
            <w:vMerge/>
          </w:tcPr>
          <w:p w14:paraId="6FECA193" w14:textId="77777777" w:rsidR="00FF121B" w:rsidRPr="00B35F0B" w:rsidRDefault="00FF121B" w:rsidP="0042410C">
            <w:pPr>
              <w:pStyle w:val="Normal-TableText"/>
              <w:rPr>
                <w:b/>
              </w:rPr>
            </w:pPr>
          </w:p>
        </w:tc>
        <w:tc>
          <w:tcPr>
            <w:tcW w:w="3268" w:type="pct"/>
          </w:tcPr>
          <w:p w14:paraId="63FF7F5C" w14:textId="01D36DB8" w:rsidR="00FF121B" w:rsidRPr="00B35F0B" w:rsidRDefault="00FF121B" w:rsidP="0042410C">
            <w:pPr>
              <w:pStyle w:val="Normal-TableText"/>
            </w:pPr>
            <w:r w:rsidRPr="00B35F0B">
              <w:t xml:space="preserve">Service Providers </w:t>
            </w:r>
            <w:r w:rsidRPr="00C6440C">
              <w:rPr>
                <w:rStyle w:val="Strong"/>
              </w:rPr>
              <w:t>MUST</w:t>
            </w:r>
            <w:r w:rsidRPr="00B35F0B">
              <w:t xml:space="preserve"> have separation policies and procedures for departing clearance holders, which include a requirement to:</w:t>
            </w:r>
          </w:p>
        </w:tc>
        <w:tc>
          <w:tcPr>
            <w:tcW w:w="794" w:type="pct"/>
            <w:vMerge w:val="restart"/>
          </w:tcPr>
          <w:p w14:paraId="5BC5C91B" w14:textId="49FB9F2E" w:rsidR="00FF121B" w:rsidRPr="00B35F0B" w:rsidRDefault="00FF121B" w:rsidP="0042410C">
            <w:pPr>
              <w:pStyle w:val="Normal-TableText"/>
            </w:pPr>
            <w:r w:rsidRPr="00B35F0B">
              <w:t>PERSEC 9</w:t>
            </w:r>
          </w:p>
        </w:tc>
      </w:tr>
      <w:tr w:rsidR="00FF121B" w:rsidRPr="00B35F0B" w14:paraId="05BE4CCE" w14:textId="77777777" w:rsidTr="00BD2B67">
        <w:trPr>
          <w:trHeight w:val="113"/>
        </w:trPr>
        <w:tc>
          <w:tcPr>
            <w:tcW w:w="938" w:type="pct"/>
            <w:vMerge/>
          </w:tcPr>
          <w:p w14:paraId="7B864BD2" w14:textId="77777777" w:rsidR="00FF121B" w:rsidRPr="00B35F0B" w:rsidRDefault="00FF121B" w:rsidP="0042410C">
            <w:pPr>
              <w:pStyle w:val="Normal-TableText"/>
              <w:rPr>
                <w:b/>
              </w:rPr>
            </w:pPr>
          </w:p>
        </w:tc>
        <w:tc>
          <w:tcPr>
            <w:tcW w:w="3268" w:type="pct"/>
          </w:tcPr>
          <w:p w14:paraId="6A17BCE2" w14:textId="76D79995" w:rsidR="00FF121B" w:rsidRPr="00B35F0B" w:rsidRDefault="00FF121B" w:rsidP="0042410C">
            <w:pPr>
              <w:pStyle w:val="Bullet1"/>
            </w:pPr>
            <w:r w:rsidRPr="00B35F0B">
              <w:t>Inform AGSVA when a clearance holder leaves their ongoing employment or contract engagement with the Service Provider; and</w:t>
            </w:r>
          </w:p>
        </w:tc>
        <w:tc>
          <w:tcPr>
            <w:tcW w:w="794" w:type="pct"/>
            <w:vMerge/>
          </w:tcPr>
          <w:p w14:paraId="2BB62536" w14:textId="2D2D9D63" w:rsidR="00FF121B" w:rsidRPr="00B35F0B" w:rsidRDefault="00FF121B" w:rsidP="0042410C">
            <w:pPr>
              <w:pStyle w:val="Normal-TableText"/>
            </w:pPr>
          </w:p>
        </w:tc>
      </w:tr>
      <w:tr w:rsidR="00FF121B" w:rsidRPr="00B35F0B" w14:paraId="369E6F9A" w14:textId="77777777" w:rsidTr="00BD2B67">
        <w:trPr>
          <w:trHeight w:val="113"/>
        </w:trPr>
        <w:tc>
          <w:tcPr>
            <w:tcW w:w="938" w:type="pct"/>
            <w:vMerge/>
          </w:tcPr>
          <w:p w14:paraId="417C9621" w14:textId="77777777" w:rsidR="00FF121B" w:rsidRPr="00B35F0B" w:rsidRDefault="00FF121B" w:rsidP="0042410C">
            <w:pPr>
              <w:pStyle w:val="Normal-TableText"/>
              <w:rPr>
                <w:b/>
              </w:rPr>
            </w:pPr>
          </w:p>
        </w:tc>
        <w:tc>
          <w:tcPr>
            <w:tcW w:w="3268" w:type="pct"/>
          </w:tcPr>
          <w:p w14:paraId="066FBB7E" w14:textId="77777777" w:rsidR="00FF121B" w:rsidRPr="00B35F0B" w:rsidRDefault="00FF121B" w:rsidP="0042410C">
            <w:pPr>
              <w:pStyle w:val="Bullet1"/>
            </w:pPr>
            <w:r w:rsidRPr="00B35F0B">
              <w:t>Advise AGSVA of any security concerns.</w:t>
            </w:r>
          </w:p>
        </w:tc>
        <w:tc>
          <w:tcPr>
            <w:tcW w:w="794" w:type="pct"/>
            <w:vMerge/>
          </w:tcPr>
          <w:p w14:paraId="07788BF8" w14:textId="17F7205F" w:rsidR="00FF121B" w:rsidRPr="00B35F0B" w:rsidRDefault="00FF121B" w:rsidP="0042410C">
            <w:pPr>
              <w:pStyle w:val="Normal-TableText"/>
            </w:pPr>
          </w:p>
        </w:tc>
      </w:tr>
      <w:tr w:rsidR="00121DD1" w:rsidRPr="00B35F0B" w14:paraId="2C8413D5" w14:textId="77777777" w:rsidTr="00BD2B67">
        <w:trPr>
          <w:trHeight w:val="113"/>
        </w:trPr>
        <w:tc>
          <w:tcPr>
            <w:tcW w:w="938" w:type="pct"/>
            <w:vMerge w:val="restart"/>
          </w:tcPr>
          <w:p w14:paraId="772C3DDC" w14:textId="77777777" w:rsidR="00121DD1" w:rsidRPr="00C6440C" w:rsidRDefault="00121DD1" w:rsidP="0042410C">
            <w:pPr>
              <w:pStyle w:val="Normal-TableText"/>
              <w:rPr>
                <w:rStyle w:val="Strong"/>
              </w:rPr>
            </w:pPr>
            <w:r w:rsidRPr="00C6440C">
              <w:rPr>
                <w:rStyle w:val="Strong"/>
              </w:rPr>
              <w:t>Gatekeeper 10:</w:t>
            </w:r>
          </w:p>
          <w:p w14:paraId="774E15BB" w14:textId="77777777" w:rsidR="00121DD1" w:rsidRPr="00C6440C" w:rsidRDefault="00121DD1" w:rsidP="0042410C">
            <w:pPr>
              <w:pStyle w:val="Normal-TableText"/>
              <w:rPr>
                <w:rStyle w:val="Strong"/>
              </w:rPr>
            </w:pPr>
            <w:r w:rsidRPr="00C6440C">
              <w:rPr>
                <w:rStyle w:val="Strong"/>
              </w:rPr>
              <w:t>Information classification</w:t>
            </w:r>
          </w:p>
          <w:p w14:paraId="09A4AE08" w14:textId="77777777" w:rsidR="00121DD1" w:rsidRPr="00C6440C" w:rsidRDefault="00121DD1" w:rsidP="0042410C">
            <w:pPr>
              <w:pStyle w:val="Normal-TableText"/>
              <w:rPr>
                <w:rStyle w:val="Strong"/>
              </w:rPr>
            </w:pPr>
            <w:r w:rsidRPr="00B35F0B">
              <w:br w:type="page"/>
            </w:r>
            <w:r w:rsidRPr="00C6440C">
              <w:rPr>
                <w:rStyle w:val="Strong"/>
              </w:rPr>
              <w:t xml:space="preserve"> </w:t>
            </w:r>
          </w:p>
        </w:tc>
        <w:tc>
          <w:tcPr>
            <w:tcW w:w="3268" w:type="pct"/>
          </w:tcPr>
          <w:p w14:paraId="0DB52F91" w14:textId="77777777" w:rsidR="00121DD1" w:rsidRPr="00B35F0B" w:rsidRDefault="00121DD1" w:rsidP="00121DD1">
            <w:pPr>
              <w:pStyle w:val="Normal-TableText"/>
            </w:pPr>
            <w:r w:rsidRPr="00B35F0B">
              <w:t xml:space="preserve">Service Providers </w:t>
            </w:r>
            <w:r w:rsidRPr="00C6440C">
              <w:rPr>
                <w:rStyle w:val="Strong"/>
              </w:rPr>
              <w:t>MUST</w:t>
            </w:r>
            <w:r w:rsidRPr="00B35F0B">
              <w:t>:</w:t>
            </w:r>
          </w:p>
        </w:tc>
        <w:tc>
          <w:tcPr>
            <w:tcW w:w="794" w:type="pct"/>
          </w:tcPr>
          <w:p w14:paraId="7AEE8C2A" w14:textId="77777777" w:rsidR="00121DD1" w:rsidRPr="00B35F0B" w:rsidRDefault="00121DD1" w:rsidP="0042410C">
            <w:pPr>
              <w:pStyle w:val="Normal-TableText"/>
            </w:pPr>
          </w:p>
        </w:tc>
      </w:tr>
      <w:tr w:rsidR="00121DD1" w:rsidRPr="00B35F0B" w14:paraId="1888E590" w14:textId="77777777" w:rsidTr="00BD2B67">
        <w:trPr>
          <w:trHeight w:val="113"/>
        </w:trPr>
        <w:tc>
          <w:tcPr>
            <w:tcW w:w="938" w:type="pct"/>
            <w:vMerge/>
          </w:tcPr>
          <w:p w14:paraId="61F98D7F" w14:textId="77777777" w:rsidR="00121DD1" w:rsidRPr="00B35F0B" w:rsidRDefault="00121DD1" w:rsidP="0042410C">
            <w:pPr>
              <w:pStyle w:val="Normal-TableText"/>
              <w:rPr>
                <w:b/>
              </w:rPr>
            </w:pPr>
          </w:p>
        </w:tc>
        <w:tc>
          <w:tcPr>
            <w:tcW w:w="3268" w:type="pct"/>
          </w:tcPr>
          <w:p w14:paraId="3DB6270A" w14:textId="77777777" w:rsidR="00121DD1" w:rsidRPr="00B35F0B" w:rsidRDefault="00121DD1" w:rsidP="0042410C">
            <w:pPr>
              <w:pStyle w:val="Bullet1"/>
            </w:pPr>
            <w:r w:rsidRPr="00B35F0B">
              <w:t>Implement policies and procedures for the security classification and protective control of information assets (in electronic and paper-based formats) which match their value, importance and sensitivity;</w:t>
            </w:r>
          </w:p>
        </w:tc>
        <w:tc>
          <w:tcPr>
            <w:tcW w:w="794" w:type="pct"/>
          </w:tcPr>
          <w:p w14:paraId="100485AD" w14:textId="77777777" w:rsidR="00121DD1" w:rsidRPr="00B35F0B" w:rsidRDefault="00121DD1" w:rsidP="0042410C">
            <w:pPr>
              <w:pStyle w:val="Normal-TableText"/>
            </w:pPr>
            <w:r w:rsidRPr="00B35F0B">
              <w:t>INFOSEC</w:t>
            </w:r>
            <w:r>
              <w:t>–3</w:t>
            </w:r>
          </w:p>
        </w:tc>
      </w:tr>
      <w:tr w:rsidR="00121DD1" w:rsidRPr="00B35F0B" w14:paraId="4C75A387" w14:textId="77777777" w:rsidTr="00BD2B67">
        <w:trPr>
          <w:trHeight w:val="113"/>
        </w:trPr>
        <w:tc>
          <w:tcPr>
            <w:tcW w:w="938" w:type="pct"/>
            <w:vMerge/>
          </w:tcPr>
          <w:p w14:paraId="56DB8321" w14:textId="77777777" w:rsidR="00121DD1" w:rsidRPr="00B35F0B" w:rsidRDefault="00121DD1" w:rsidP="0042410C">
            <w:pPr>
              <w:pStyle w:val="Normal-TableText"/>
              <w:rPr>
                <w:b/>
              </w:rPr>
            </w:pPr>
          </w:p>
        </w:tc>
        <w:tc>
          <w:tcPr>
            <w:tcW w:w="3268" w:type="pct"/>
          </w:tcPr>
          <w:p w14:paraId="3E425D35" w14:textId="77777777" w:rsidR="00121DD1" w:rsidRPr="00B35F0B" w:rsidRDefault="00121DD1" w:rsidP="0042410C">
            <w:pPr>
              <w:pStyle w:val="Bullet1"/>
            </w:pPr>
            <w:r w:rsidRPr="00B35F0B">
              <w:t>Document and implement operational procedures and measures to ensure information, ICT systems and network tasks are managed securely and consistently, in accordance with the level of required security.</w:t>
            </w:r>
            <w:r>
              <w:t xml:space="preserve"> </w:t>
            </w:r>
            <w:r w:rsidRPr="00B35F0B">
              <w:t>This includes implementing the mandatory Top 4 Strategies to Mitigate Targeted Cyber Intrusions as detailed in the ISM.</w:t>
            </w:r>
          </w:p>
        </w:tc>
        <w:tc>
          <w:tcPr>
            <w:tcW w:w="794" w:type="pct"/>
          </w:tcPr>
          <w:p w14:paraId="12FE9A64" w14:textId="77777777" w:rsidR="00121DD1" w:rsidRPr="00B35F0B" w:rsidRDefault="00121DD1" w:rsidP="0042410C">
            <w:pPr>
              <w:pStyle w:val="Normal-TableText"/>
            </w:pPr>
            <w:r w:rsidRPr="00B35F0B">
              <w:t>INFOSEC</w:t>
            </w:r>
            <w:r>
              <w:t>–4</w:t>
            </w:r>
          </w:p>
        </w:tc>
      </w:tr>
      <w:tr w:rsidR="00121DD1" w:rsidRPr="00B35F0B" w14:paraId="69AAA35D" w14:textId="77777777" w:rsidTr="00BD2B67">
        <w:trPr>
          <w:trHeight w:val="113"/>
        </w:trPr>
        <w:tc>
          <w:tcPr>
            <w:tcW w:w="938" w:type="pct"/>
            <w:vMerge/>
          </w:tcPr>
          <w:p w14:paraId="580F4A88" w14:textId="77777777" w:rsidR="00121DD1" w:rsidRPr="00B35F0B" w:rsidRDefault="00121DD1" w:rsidP="0042410C">
            <w:pPr>
              <w:pStyle w:val="Normal-TableText"/>
              <w:rPr>
                <w:b/>
              </w:rPr>
            </w:pPr>
          </w:p>
        </w:tc>
        <w:tc>
          <w:tcPr>
            <w:tcW w:w="3268" w:type="pct"/>
          </w:tcPr>
          <w:p w14:paraId="5DAB311A" w14:textId="77777777" w:rsidR="00121DD1" w:rsidRPr="00B35F0B" w:rsidRDefault="00121DD1" w:rsidP="00121DD1">
            <w:pPr>
              <w:pStyle w:val="Bullet1"/>
            </w:pPr>
            <w:r w:rsidRPr="00B35F0B">
              <w:t>Have in place control measures based on business requirements and assessed/accepted risks for controlling access to all information, ICT systems, networks (including remote access), infrastructures and applications.</w:t>
            </w:r>
            <w:r>
              <w:t xml:space="preserve"> </w:t>
            </w:r>
            <w:r w:rsidRPr="00B35F0B">
              <w:t>Access control rules must</w:t>
            </w:r>
            <w:r>
              <w:t xml:space="preserve"> </w:t>
            </w:r>
            <w:r w:rsidRPr="00B35F0B">
              <w:t>be consistent with business requirements and information classification as well as legal obligations;</w:t>
            </w:r>
          </w:p>
        </w:tc>
        <w:tc>
          <w:tcPr>
            <w:tcW w:w="794" w:type="pct"/>
          </w:tcPr>
          <w:p w14:paraId="0B87894A" w14:textId="77777777" w:rsidR="00121DD1" w:rsidRPr="00B35F0B" w:rsidRDefault="00121DD1" w:rsidP="0042410C">
            <w:pPr>
              <w:pStyle w:val="Normal-TableText"/>
            </w:pPr>
            <w:r w:rsidRPr="00B35F0B">
              <w:t>INFOSEC</w:t>
            </w:r>
            <w:r>
              <w:t>–5</w:t>
            </w:r>
          </w:p>
        </w:tc>
      </w:tr>
      <w:tr w:rsidR="00121DD1" w:rsidRPr="00B35F0B" w14:paraId="2781FC68" w14:textId="77777777" w:rsidTr="00BD2B67">
        <w:trPr>
          <w:trHeight w:val="113"/>
        </w:trPr>
        <w:tc>
          <w:tcPr>
            <w:tcW w:w="938" w:type="pct"/>
            <w:vMerge/>
          </w:tcPr>
          <w:p w14:paraId="524A0B90" w14:textId="77777777" w:rsidR="00121DD1" w:rsidRPr="00B35F0B" w:rsidRDefault="00121DD1" w:rsidP="0042410C">
            <w:pPr>
              <w:pStyle w:val="Normal-TableText"/>
            </w:pPr>
          </w:p>
        </w:tc>
        <w:tc>
          <w:tcPr>
            <w:tcW w:w="3268" w:type="pct"/>
          </w:tcPr>
          <w:p w14:paraId="7DAA78E9" w14:textId="77777777" w:rsidR="00121DD1" w:rsidRPr="00B35F0B" w:rsidRDefault="00121DD1" w:rsidP="00121DD1">
            <w:pPr>
              <w:pStyle w:val="Bullet1"/>
            </w:pPr>
            <w:r w:rsidRPr="00B35F0B">
              <w:t>Have in place security measures during all stages of ICT system development, as well as when new ICT systems are implemented into the operational environment.</w:t>
            </w:r>
            <w:r>
              <w:t xml:space="preserve"> </w:t>
            </w:r>
            <w:r w:rsidRPr="00B35F0B">
              <w:t>Such measures must match the assessed security risk of the information holdings contained within, or passing across, ICT networks infrastructures and applications;</w:t>
            </w:r>
          </w:p>
        </w:tc>
        <w:tc>
          <w:tcPr>
            <w:tcW w:w="794" w:type="pct"/>
          </w:tcPr>
          <w:p w14:paraId="0FED8E8A" w14:textId="77777777" w:rsidR="00121DD1" w:rsidRPr="00B35F0B" w:rsidRDefault="00121DD1" w:rsidP="0042410C">
            <w:pPr>
              <w:pStyle w:val="Normal-TableText"/>
            </w:pPr>
            <w:r w:rsidRPr="00B35F0B">
              <w:t>INFOSEC</w:t>
            </w:r>
            <w:r>
              <w:t>–6</w:t>
            </w:r>
          </w:p>
        </w:tc>
      </w:tr>
      <w:tr w:rsidR="00121DD1" w:rsidRPr="00B35F0B" w14:paraId="35C510AD" w14:textId="77777777" w:rsidTr="00BD2B67">
        <w:trPr>
          <w:trHeight w:val="113"/>
        </w:trPr>
        <w:tc>
          <w:tcPr>
            <w:tcW w:w="938" w:type="pct"/>
            <w:vMerge/>
          </w:tcPr>
          <w:p w14:paraId="40BCE511" w14:textId="77777777" w:rsidR="00121DD1" w:rsidRPr="00B35F0B" w:rsidRDefault="00121DD1" w:rsidP="0042410C">
            <w:pPr>
              <w:pStyle w:val="Normal-TableText"/>
            </w:pPr>
          </w:p>
        </w:tc>
        <w:tc>
          <w:tcPr>
            <w:tcW w:w="3268" w:type="pct"/>
          </w:tcPr>
          <w:p w14:paraId="29AC9B5D" w14:textId="77777777" w:rsidR="00121DD1" w:rsidRPr="00B35F0B" w:rsidRDefault="00121DD1" w:rsidP="0042410C">
            <w:pPr>
              <w:pStyle w:val="Bullet1"/>
            </w:pPr>
            <w:r w:rsidRPr="00B35F0B">
              <w:t>Ensure that information security measures for all information processes, ICT systems and infrastructure comply with any legislative or regulatory obligations under which they operate.</w:t>
            </w:r>
          </w:p>
        </w:tc>
        <w:tc>
          <w:tcPr>
            <w:tcW w:w="794" w:type="pct"/>
          </w:tcPr>
          <w:p w14:paraId="5DD0FE9F" w14:textId="77777777" w:rsidR="00121DD1" w:rsidRPr="00B35F0B" w:rsidRDefault="00121DD1" w:rsidP="0042410C">
            <w:pPr>
              <w:pStyle w:val="Normal-TableText"/>
            </w:pPr>
            <w:r w:rsidRPr="00B35F0B">
              <w:t>INFOSEC</w:t>
            </w:r>
            <w:r>
              <w:t>–7</w:t>
            </w:r>
          </w:p>
        </w:tc>
      </w:tr>
      <w:tr w:rsidR="00121DD1" w:rsidRPr="00B35F0B" w14:paraId="2F3FFA46" w14:textId="77777777" w:rsidTr="00BD2B67">
        <w:trPr>
          <w:trHeight w:val="113"/>
        </w:trPr>
        <w:tc>
          <w:tcPr>
            <w:tcW w:w="938" w:type="pct"/>
            <w:vMerge w:val="restart"/>
          </w:tcPr>
          <w:p w14:paraId="641D7A70" w14:textId="77777777" w:rsidR="00121DD1" w:rsidRPr="00C6440C" w:rsidRDefault="00121DD1" w:rsidP="0042410C">
            <w:pPr>
              <w:pStyle w:val="Normal-TableText"/>
              <w:rPr>
                <w:rStyle w:val="Strong"/>
              </w:rPr>
            </w:pPr>
            <w:r w:rsidRPr="00C6440C">
              <w:rPr>
                <w:rStyle w:val="Strong"/>
              </w:rPr>
              <w:t>Gatekeeper 11:</w:t>
            </w:r>
          </w:p>
          <w:p w14:paraId="59EF005D" w14:textId="77777777" w:rsidR="00121DD1" w:rsidRPr="00B35F0B" w:rsidRDefault="00121DD1" w:rsidP="0042410C">
            <w:pPr>
              <w:pStyle w:val="Normal-TableText"/>
              <w:rPr>
                <w:b/>
              </w:rPr>
            </w:pPr>
            <w:r w:rsidRPr="00C6440C">
              <w:rPr>
                <w:rStyle w:val="Strong"/>
              </w:rPr>
              <w:t>Physical Security</w:t>
            </w:r>
          </w:p>
        </w:tc>
        <w:tc>
          <w:tcPr>
            <w:tcW w:w="3268" w:type="pct"/>
          </w:tcPr>
          <w:p w14:paraId="40EDDC48" w14:textId="77777777" w:rsidR="00121DD1" w:rsidRPr="00B35F0B" w:rsidRDefault="00121DD1" w:rsidP="00121DD1">
            <w:pPr>
              <w:pStyle w:val="Normal-TableText"/>
            </w:pPr>
            <w:r w:rsidRPr="00B35F0B">
              <w:t xml:space="preserve">Service Providers </w:t>
            </w:r>
            <w:r w:rsidRPr="00C6440C">
              <w:rPr>
                <w:rStyle w:val="Strong"/>
              </w:rPr>
              <w:t>MUST</w:t>
            </w:r>
            <w:r w:rsidRPr="00B35F0B">
              <w:t>:</w:t>
            </w:r>
          </w:p>
        </w:tc>
        <w:tc>
          <w:tcPr>
            <w:tcW w:w="794" w:type="pct"/>
          </w:tcPr>
          <w:p w14:paraId="00289099" w14:textId="77777777" w:rsidR="00121DD1" w:rsidRPr="00B35F0B" w:rsidRDefault="00121DD1" w:rsidP="0042410C">
            <w:pPr>
              <w:pStyle w:val="Normal-TableText"/>
            </w:pPr>
          </w:p>
        </w:tc>
      </w:tr>
      <w:tr w:rsidR="00121DD1" w:rsidRPr="00B35F0B" w14:paraId="7A257050" w14:textId="77777777" w:rsidTr="00BD2B67">
        <w:trPr>
          <w:trHeight w:val="113"/>
        </w:trPr>
        <w:tc>
          <w:tcPr>
            <w:tcW w:w="938" w:type="pct"/>
            <w:vMerge/>
          </w:tcPr>
          <w:p w14:paraId="44712E37" w14:textId="77777777" w:rsidR="00121DD1" w:rsidRPr="00B35F0B" w:rsidRDefault="00121DD1" w:rsidP="0042410C">
            <w:pPr>
              <w:pStyle w:val="Normal-TableText"/>
              <w:rPr>
                <w:b/>
              </w:rPr>
            </w:pPr>
          </w:p>
        </w:tc>
        <w:tc>
          <w:tcPr>
            <w:tcW w:w="3268" w:type="pct"/>
          </w:tcPr>
          <w:p w14:paraId="4506D397" w14:textId="77777777" w:rsidR="00121DD1" w:rsidRPr="00B35F0B" w:rsidRDefault="00121DD1" w:rsidP="0042410C">
            <w:pPr>
              <w:pStyle w:val="Bullet1"/>
            </w:pPr>
            <w:r w:rsidRPr="00B35F0B">
              <w:t>Provide clear direction on and address, physical security through the development and implementation of a Physical and Environmental Security Plan;</w:t>
            </w:r>
          </w:p>
        </w:tc>
        <w:tc>
          <w:tcPr>
            <w:tcW w:w="794" w:type="pct"/>
          </w:tcPr>
          <w:p w14:paraId="62FC0A56" w14:textId="7AC8F69D" w:rsidR="00121DD1" w:rsidRPr="00B35F0B" w:rsidRDefault="00121DD1" w:rsidP="0042410C">
            <w:pPr>
              <w:pStyle w:val="Normal-TableText"/>
            </w:pPr>
            <w:r w:rsidRPr="00B35F0B">
              <w:t>PHYSEC</w:t>
            </w:r>
            <w:r>
              <w:t>–1</w:t>
            </w:r>
          </w:p>
        </w:tc>
      </w:tr>
      <w:tr w:rsidR="00121DD1" w:rsidRPr="00B35F0B" w14:paraId="64EE83ED" w14:textId="77777777" w:rsidTr="00BD2B67">
        <w:trPr>
          <w:trHeight w:val="113"/>
        </w:trPr>
        <w:tc>
          <w:tcPr>
            <w:tcW w:w="938" w:type="pct"/>
            <w:vMerge/>
          </w:tcPr>
          <w:p w14:paraId="09529C8F" w14:textId="77777777" w:rsidR="00121DD1" w:rsidRPr="00B35F0B" w:rsidRDefault="00121DD1" w:rsidP="0042410C">
            <w:pPr>
              <w:pStyle w:val="Normal-TableText"/>
              <w:rPr>
                <w:b/>
              </w:rPr>
            </w:pPr>
          </w:p>
        </w:tc>
        <w:tc>
          <w:tcPr>
            <w:tcW w:w="3268" w:type="pct"/>
          </w:tcPr>
          <w:p w14:paraId="414CD837" w14:textId="77777777" w:rsidR="00121DD1" w:rsidRPr="00B35F0B" w:rsidRDefault="00121DD1" w:rsidP="0042410C">
            <w:pPr>
              <w:pStyle w:val="Bullet1"/>
            </w:pPr>
            <w:r w:rsidRPr="00B35F0B">
              <w:t>Ensure they fully integrate protective security early in the process of planning, selecting, designing and modifying their facility(s);</w:t>
            </w:r>
          </w:p>
        </w:tc>
        <w:tc>
          <w:tcPr>
            <w:tcW w:w="794" w:type="pct"/>
          </w:tcPr>
          <w:p w14:paraId="3BB9E0B6" w14:textId="4E1A5087" w:rsidR="00121DD1" w:rsidRPr="00B35F0B" w:rsidRDefault="00121DD1" w:rsidP="0042410C">
            <w:pPr>
              <w:pStyle w:val="Normal-TableText"/>
            </w:pPr>
            <w:r w:rsidRPr="00B35F0B">
              <w:t>PHYSEC</w:t>
            </w:r>
            <w:r>
              <w:t>–3</w:t>
            </w:r>
          </w:p>
        </w:tc>
      </w:tr>
      <w:tr w:rsidR="00121DD1" w:rsidRPr="00B35F0B" w14:paraId="1ED230DD" w14:textId="77777777" w:rsidTr="00BD2B67">
        <w:trPr>
          <w:trHeight w:val="113"/>
        </w:trPr>
        <w:tc>
          <w:tcPr>
            <w:tcW w:w="938" w:type="pct"/>
            <w:vMerge/>
          </w:tcPr>
          <w:p w14:paraId="2D4804D3" w14:textId="77777777" w:rsidR="00121DD1" w:rsidRPr="00B35F0B" w:rsidRDefault="00121DD1" w:rsidP="0042410C">
            <w:pPr>
              <w:pStyle w:val="Normal-TableText"/>
              <w:rPr>
                <w:b/>
              </w:rPr>
            </w:pPr>
          </w:p>
        </w:tc>
        <w:tc>
          <w:tcPr>
            <w:tcW w:w="3268" w:type="pct"/>
          </w:tcPr>
          <w:p w14:paraId="3EEDD171" w14:textId="77777777" w:rsidR="00121DD1" w:rsidRPr="00B35F0B" w:rsidRDefault="00121DD1" w:rsidP="0042410C">
            <w:pPr>
              <w:pStyle w:val="Bullet1"/>
            </w:pPr>
            <w:r w:rsidRPr="00B35F0B">
              <w:t>Ensure that any proposed physical security measure or activity does not breach relevant employer occupational health and safety obligations; and</w:t>
            </w:r>
          </w:p>
        </w:tc>
        <w:tc>
          <w:tcPr>
            <w:tcW w:w="794" w:type="pct"/>
          </w:tcPr>
          <w:p w14:paraId="4CF2EF46" w14:textId="0AEA3EAE" w:rsidR="00121DD1" w:rsidRPr="00B35F0B" w:rsidRDefault="00121DD1" w:rsidP="0042410C">
            <w:pPr>
              <w:pStyle w:val="Normal-TableText"/>
            </w:pPr>
            <w:r w:rsidRPr="00B35F0B">
              <w:t>PHYSEC</w:t>
            </w:r>
            <w:r>
              <w:t>–4</w:t>
            </w:r>
          </w:p>
        </w:tc>
      </w:tr>
      <w:tr w:rsidR="00121DD1" w:rsidRPr="00B35F0B" w14:paraId="61BF6EBB" w14:textId="77777777" w:rsidTr="00BD2B67">
        <w:trPr>
          <w:trHeight w:val="113"/>
        </w:trPr>
        <w:tc>
          <w:tcPr>
            <w:tcW w:w="938" w:type="pct"/>
            <w:vMerge/>
          </w:tcPr>
          <w:p w14:paraId="00A95F5D" w14:textId="77777777" w:rsidR="00121DD1" w:rsidRPr="00B35F0B" w:rsidRDefault="00121DD1" w:rsidP="0042410C">
            <w:pPr>
              <w:pStyle w:val="Normal-TableText"/>
              <w:rPr>
                <w:b/>
              </w:rPr>
            </w:pPr>
          </w:p>
        </w:tc>
        <w:tc>
          <w:tcPr>
            <w:tcW w:w="3268" w:type="pct"/>
          </w:tcPr>
          <w:p w14:paraId="7CBC146D" w14:textId="77777777" w:rsidR="00121DD1" w:rsidRPr="00B35F0B" w:rsidRDefault="00121DD1" w:rsidP="0042410C">
            <w:pPr>
              <w:pStyle w:val="Bullet1"/>
            </w:pPr>
            <w:r w:rsidRPr="00B35F0B">
              <w:t>Implement a level of physical security measures that minimises or removes the risk of ICT equipment and information being made inoperable or inaccessible, or being accessed, used or removed without appropriate authorisation.</w:t>
            </w:r>
          </w:p>
        </w:tc>
        <w:tc>
          <w:tcPr>
            <w:tcW w:w="794" w:type="pct"/>
          </w:tcPr>
          <w:p w14:paraId="0354A80B" w14:textId="665011B2" w:rsidR="00121DD1" w:rsidRPr="00B35F0B" w:rsidRDefault="00121DD1" w:rsidP="0042410C">
            <w:pPr>
              <w:pStyle w:val="Normal-TableText"/>
            </w:pPr>
            <w:r w:rsidRPr="00B35F0B">
              <w:t>PHYSEC</w:t>
            </w:r>
            <w:r>
              <w:t>–6</w:t>
            </w:r>
          </w:p>
        </w:tc>
      </w:tr>
      <w:tr w:rsidR="00DA0F56" w:rsidRPr="00B35F0B" w14:paraId="66CFF059" w14:textId="77777777" w:rsidTr="00BD2B67">
        <w:trPr>
          <w:trHeight w:val="113"/>
        </w:trPr>
        <w:tc>
          <w:tcPr>
            <w:tcW w:w="938" w:type="pct"/>
            <w:vMerge/>
          </w:tcPr>
          <w:p w14:paraId="78374CB8" w14:textId="77777777" w:rsidR="00DA0F56" w:rsidRPr="00B35F0B" w:rsidRDefault="00DA0F56" w:rsidP="0042410C">
            <w:pPr>
              <w:pStyle w:val="Normal-TableText"/>
              <w:rPr>
                <w:b/>
              </w:rPr>
            </w:pPr>
          </w:p>
        </w:tc>
        <w:tc>
          <w:tcPr>
            <w:tcW w:w="3268" w:type="pct"/>
            <w:shd w:val="clear" w:color="auto" w:fill="FFFFFF" w:themeFill="background1"/>
          </w:tcPr>
          <w:p w14:paraId="7C873928" w14:textId="2B3C0555" w:rsidR="00DA0F56" w:rsidRPr="00B35F0B" w:rsidRDefault="00DA0F56" w:rsidP="00121DD1">
            <w:pPr>
              <w:pStyle w:val="Normal-TableText"/>
            </w:pPr>
            <w:r w:rsidRPr="00B35F0B">
              <w:t xml:space="preserve">Service Providers </w:t>
            </w:r>
            <w:r w:rsidRPr="00C6440C">
              <w:rPr>
                <w:rStyle w:val="Strong"/>
              </w:rPr>
              <w:t>SHOULD</w:t>
            </w:r>
            <w:r w:rsidRPr="00B35F0B">
              <w:t xml:space="preserve"> have in place policies and procedures to:</w:t>
            </w:r>
          </w:p>
        </w:tc>
        <w:tc>
          <w:tcPr>
            <w:tcW w:w="794" w:type="pct"/>
            <w:vMerge w:val="restart"/>
            <w:shd w:val="clear" w:color="auto" w:fill="FFFFFF" w:themeFill="background1"/>
          </w:tcPr>
          <w:p w14:paraId="6AA8BFB8" w14:textId="70245D44" w:rsidR="00DA0F56" w:rsidRPr="00B35F0B" w:rsidRDefault="00DA0F56" w:rsidP="0042410C">
            <w:pPr>
              <w:pStyle w:val="Normal-TableText"/>
            </w:pPr>
            <w:r w:rsidRPr="00B35F0B">
              <w:t>PHYSEC</w:t>
            </w:r>
            <w:r>
              <w:t>–2</w:t>
            </w:r>
          </w:p>
        </w:tc>
      </w:tr>
      <w:tr w:rsidR="00DA0F56" w:rsidRPr="00B35F0B" w14:paraId="2BDB1274" w14:textId="77777777" w:rsidTr="00BD2B67">
        <w:trPr>
          <w:trHeight w:val="113"/>
        </w:trPr>
        <w:tc>
          <w:tcPr>
            <w:tcW w:w="938" w:type="pct"/>
            <w:vMerge/>
          </w:tcPr>
          <w:p w14:paraId="524485DC" w14:textId="77777777" w:rsidR="00DA0F56" w:rsidRPr="00B35F0B" w:rsidRDefault="00DA0F56" w:rsidP="0042410C">
            <w:pPr>
              <w:pStyle w:val="Normal-TableText"/>
              <w:rPr>
                <w:b/>
              </w:rPr>
            </w:pPr>
          </w:p>
        </w:tc>
        <w:tc>
          <w:tcPr>
            <w:tcW w:w="3268" w:type="pct"/>
            <w:shd w:val="clear" w:color="auto" w:fill="FFFFFF" w:themeFill="background1"/>
          </w:tcPr>
          <w:p w14:paraId="29D0289B" w14:textId="1F1A04FA" w:rsidR="00DA0F56" w:rsidRPr="00B35F0B" w:rsidRDefault="00DA0F56" w:rsidP="00BD2B67">
            <w:pPr>
              <w:pStyle w:val="Bullet1"/>
            </w:pPr>
            <w:r w:rsidRPr="00B35F0B">
              <w:t>Identify, protect and support employees under threat of violence, based on a threat and risk assessment of specific situations.</w:t>
            </w:r>
            <w:r>
              <w:t xml:space="preserve"> </w:t>
            </w:r>
            <w:r w:rsidRPr="00B35F0B">
              <w:t>In certain cases, Service Providers may have to extend protection and support to family members and others;</w:t>
            </w:r>
          </w:p>
        </w:tc>
        <w:tc>
          <w:tcPr>
            <w:tcW w:w="794" w:type="pct"/>
            <w:vMerge/>
            <w:shd w:val="clear" w:color="auto" w:fill="FFFFFF" w:themeFill="background1"/>
          </w:tcPr>
          <w:p w14:paraId="31B29A6D" w14:textId="74F18265" w:rsidR="00DA0F56" w:rsidRPr="00B35F0B" w:rsidRDefault="00DA0F56" w:rsidP="0042410C">
            <w:pPr>
              <w:pStyle w:val="Normal-TableText"/>
            </w:pPr>
          </w:p>
        </w:tc>
      </w:tr>
      <w:tr w:rsidR="00DA0F56" w:rsidRPr="00B35F0B" w14:paraId="16D15C16" w14:textId="77777777" w:rsidTr="00BD2B67">
        <w:trPr>
          <w:trHeight w:val="113"/>
        </w:trPr>
        <w:tc>
          <w:tcPr>
            <w:tcW w:w="938" w:type="pct"/>
            <w:vMerge/>
          </w:tcPr>
          <w:p w14:paraId="7BF8D7E9" w14:textId="77777777" w:rsidR="00DA0F56" w:rsidRPr="00B35F0B" w:rsidRDefault="00DA0F56" w:rsidP="0042410C">
            <w:pPr>
              <w:pStyle w:val="Normal-TableText"/>
              <w:rPr>
                <w:b/>
              </w:rPr>
            </w:pPr>
          </w:p>
        </w:tc>
        <w:tc>
          <w:tcPr>
            <w:tcW w:w="3268" w:type="pct"/>
            <w:shd w:val="clear" w:color="auto" w:fill="FFFFFF" w:themeFill="background1"/>
          </w:tcPr>
          <w:p w14:paraId="147FF61D" w14:textId="603F8B7D" w:rsidR="00DA0F56" w:rsidRPr="00B35F0B" w:rsidRDefault="00DA0F56" w:rsidP="00BD2B67">
            <w:pPr>
              <w:pStyle w:val="Bullet1"/>
            </w:pPr>
            <w:r w:rsidRPr="00B35F0B">
              <w:t>Report incidents to management, human resources, security and law enforcement authorities, as appropriate;</w:t>
            </w:r>
          </w:p>
        </w:tc>
        <w:tc>
          <w:tcPr>
            <w:tcW w:w="794" w:type="pct"/>
            <w:vMerge/>
            <w:shd w:val="clear" w:color="auto" w:fill="FFFFFF" w:themeFill="background1"/>
          </w:tcPr>
          <w:p w14:paraId="0C1182BE" w14:textId="7E97E185" w:rsidR="00DA0F56" w:rsidRPr="00B35F0B" w:rsidRDefault="00DA0F56" w:rsidP="0042410C">
            <w:pPr>
              <w:pStyle w:val="Normal-TableText"/>
            </w:pPr>
          </w:p>
        </w:tc>
      </w:tr>
      <w:tr w:rsidR="00DA0F56" w:rsidRPr="00B35F0B" w14:paraId="25255CB3" w14:textId="77777777" w:rsidTr="00BD2B67">
        <w:trPr>
          <w:trHeight w:val="113"/>
        </w:trPr>
        <w:tc>
          <w:tcPr>
            <w:tcW w:w="938" w:type="pct"/>
            <w:vMerge/>
          </w:tcPr>
          <w:p w14:paraId="2A99B048" w14:textId="77777777" w:rsidR="00DA0F56" w:rsidRPr="00B35F0B" w:rsidRDefault="00DA0F56" w:rsidP="0042410C">
            <w:pPr>
              <w:pStyle w:val="Normal-TableText"/>
              <w:rPr>
                <w:b/>
              </w:rPr>
            </w:pPr>
          </w:p>
        </w:tc>
        <w:tc>
          <w:tcPr>
            <w:tcW w:w="3268" w:type="pct"/>
            <w:shd w:val="clear" w:color="auto" w:fill="FFFFFF" w:themeFill="background1"/>
          </w:tcPr>
          <w:p w14:paraId="650C9185" w14:textId="312BCFFC" w:rsidR="00DA0F56" w:rsidRPr="00B35F0B" w:rsidRDefault="00DA0F56" w:rsidP="00BD2B67">
            <w:pPr>
              <w:pStyle w:val="Bullet1"/>
            </w:pPr>
            <w:r w:rsidRPr="00B35F0B">
              <w:t>Provide information, training and counselling to employees; and</w:t>
            </w:r>
          </w:p>
        </w:tc>
        <w:tc>
          <w:tcPr>
            <w:tcW w:w="794" w:type="pct"/>
            <w:vMerge/>
            <w:shd w:val="clear" w:color="auto" w:fill="FFFFFF" w:themeFill="background1"/>
          </w:tcPr>
          <w:p w14:paraId="2E379394" w14:textId="0C35A4EA" w:rsidR="00DA0F56" w:rsidRPr="00B35F0B" w:rsidRDefault="00DA0F56" w:rsidP="0042410C">
            <w:pPr>
              <w:pStyle w:val="Normal-TableText"/>
            </w:pPr>
          </w:p>
        </w:tc>
      </w:tr>
      <w:tr w:rsidR="00DA0F56" w:rsidRPr="00B35F0B" w14:paraId="5DD37B28" w14:textId="77777777" w:rsidTr="00BD2B67">
        <w:trPr>
          <w:trHeight w:val="113"/>
        </w:trPr>
        <w:tc>
          <w:tcPr>
            <w:tcW w:w="938" w:type="pct"/>
            <w:vMerge/>
          </w:tcPr>
          <w:p w14:paraId="0807F9BF" w14:textId="77777777" w:rsidR="00DA0F56" w:rsidRPr="00B35F0B" w:rsidRDefault="00DA0F56" w:rsidP="0042410C">
            <w:pPr>
              <w:pStyle w:val="Normal-TableText"/>
              <w:rPr>
                <w:b/>
              </w:rPr>
            </w:pPr>
          </w:p>
        </w:tc>
        <w:tc>
          <w:tcPr>
            <w:tcW w:w="3268" w:type="pct"/>
            <w:shd w:val="clear" w:color="auto" w:fill="FFFFFF" w:themeFill="background1"/>
          </w:tcPr>
          <w:p w14:paraId="52CDFEAF" w14:textId="77777777" w:rsidR="00DA0F56" w:rsidRPr="00B35F0B" w:rsidRDefault="00DA0F56" w:rsidP="00121DD1">
            <w:pPr>
              <w:pStyle w:val="Bullet1"/>
            </w:pPr>
            <w:r w:rsidRPr="00B35F0B">
              <w:t>Maintain thorough records and statements on reported incidents.</w:t>
            </w:r>
          </w:p>
        </w:tc>
        <w:tc>
          <w:tcPr>
            <w:tcW w:w="794" w:type="pct"/>
            <w:vMerge/>
            <w:shd w:val="clear" w:color="auto" w:fill="FFFFFF" w:themeFill="background1"/>
          </w:tcPr>
          <w:p w14:paraId="43B04F00" w14:textId="13E8492D" w:rsidR="00DA0F56" w:rsidRPr="00B35F0B" w:rsidRDefault="00DA0F56" w:rsidP="0042410C">
            <w:pPr>
              <w:pStyle w:val="Normal-TableText"/>
            </w:pPr>
          </w:p>
        </w:tc>
      </w:tr>
      <w:tr w:rsidR="0042410C" w:rsidRPr="00B35F0B" w14:paraId="287F8E21" w14:textId="77777777" w:rsidTr="00BD2B67">
        <w:trPr>
          <w:trHeight w:val="113"/>
        </w:trPr>
        <w:tc>
          <w:tcPr>
            <w:tcW w:w="938" w:type="pct"/>
          </w:tcPr>
          <w:p w14:paraId="1528844D" w14:textId="77777777" w:rsidR="0042410C" w:rsidRPr="00C6440C" w:rsidRDefault="0042410C" w:rsidP="0042410C">
            <w:pPr>
              <w:pStyle w:val="Normal-TableText"/>
              <w:rPr>
                <w:rStyle w:val="Strong"/>
              </w:rPr>
            </w:pPr>
            <w:r w:rsidRPr="00C6440C">
              <w:rPr>
                <w:rStyle w:val="Strong"/>
              </w:rPr>
              <w:lastRenderedPageBreak/>
              <w:t>Gatekeeper 12:</w:t>
            </w:r>
          </w:p>
          <w:p w14:paraId="4E683E7C" w14:textId="77777777" w:rsidR="0042410C" w:rsidRPr="00B35F0B" w:rsidRDefault="0042410C" w:rsidP="0042410C">
            <w:pPr>
              <w:pStyle w:val="Normal-TableText"/>
              <w:rPr>
                <w:b/>
              </w:rPr>
            </w:pPr>
            <w:r w:rsidRPr="00C6440C">
              <w:rPr>
                <w:rStyle w:val="Strong"/>
              </w:rPr>
              <w:t>Security responsiveness</w:t>
            </w:r>
          </w:p>
        </w:tc>
        <w:tc>
          <w:tcPr>
            <w:tcW w:w="3268" w:type="pct"/>
          </w:tcPr>
          <w:p w14:paraId="103203F3" w14:textId="77777777" w:rsidR="0042410C" w:rsidRPr="00B35F0B" w:rsidRDefault="0042410C" w:rsidP="0042410C">
            <w:pPr>
              <w:pStyle w:val="Normal-TableText"/>
            </w:pPr>
            <w:r w:rsidRPr="00B35F0B">
              <w:t xml:space="preserve">Service Providers </w:t>
            </w:r>
            <w:r w:rsidRPr="00C6440C">
              <w:rPr>
                <w:rStyle w:val="Strong"/>
              </w:rPr>
              <w:t>MUST</w:t>
            </w:r>
            <w:r w:rsidRPr="00B35F0B">
              <w:t xml:space="preserve"> develop plans and procedures to move up to heightened security levels in case of emergency and increased threat.</w:t>
            </w:r>
            <w:r>
              <w:t xml:space="preserve"> </w:t>
            </w:r>
            <w:r w:rsidRPr="00B35F0B">
              <w:t>The Australian Government may direct its Service Providers to implement heightened security levels.</w:t>
            </w:r>
          </w:p>
        </w:tc>
        <w:tc>
          <w:tcPr>
            <w:tcW w:w="794" w:type="pct"/>
          </w:tcPr>
          <w:p w14:paraId="69CE4024" w14:textId="77777777" w:rsidR="0042410C" w:rsidRPr="00B35F0B" w:rsidRDefault="0042410C" w:rsidP="0042410C">
            <w:pPr>
              <w:pStyle w:val="Normal-TableText"/>
            </w:pPr>
            <w:r w:rsidRPr="00B35F0B">
              <w:t>PHYSEC</w:t>
            </w:r>
            <w:r>
              <w:t>–7</w:t>
            </w:r>
          </w:p>
        </w:tc>
      </w:tr>
    </w:tbl>
    <w:p w14:paraId="407C54CA" w14:textId="77777777" w:rsidR="00215226" w:rsidRDefault="00215226" w:rsidP="00121DD1">
      <w:pPr>
        <w:pStyle w:val="Heading1Numbered"/>
      </w:pPr>
      <w:bookmarkStart w:id="207" w:name="_Toc430268928"/>
      <w:bookmarkEnd w:id="206"/>
      <w:r w:rsidRPr="003E302C">
        <w:lastRenderedPageBreak/>
        <w:t>Operational Evaluations</w:t>
      </w:r>
      <w:bookmarkEnd w:id="207"/>
    </w:p>
    <w:p w14:paraId="7CCDAA30" w14:textId="77777777" w:rsidR="00215226" w:rsidRPr="003E302C" w:rsidRDefault="00215226" w:rsidP="00121DD1">
      <w:pPr>
        <w:pStyle w:val="Heading2Numbered"/>
      </w:pPr>
      <w:bookmarkStart w:id="208" w:name="_Toc426636693"/>
      <w:bookmarkStart w:id="209" w:name="_Toc426639977"/>
      <w:bookmarkStart w:id="210" w:name="_Toc430268929"/>
      <w:bookmarkStart w:id="211" w:name="_Toc271532269"/>
      <w:r w:rsidRPr="003E302C">
        <w:t>Information Security Registered Assessors Program</w:t>
      </w:r>
      <w:bookmarkEnd w:id="208"/>
      <w:bookmarkEnd w:id="209"/>
      <w:bookmarkEnd w:id="210"/>
    </w:p>
    <w:p w14:paraId="7906E759" w14:textId="77777777" w:rsidR="00215226" w:rsidRPr="00B35F0B" w:rsidRDefault="00215226" w:rsidP="005D451C">
      <w:r w:rsidRPr="00B35F0B">
        <w:t>The ASD is the Commonwealth authority on information and cyber security with a mandate to provide technical advice and assistance to secure Australian government information.</w:t>
      </w:r>
      <w:r>
        <w:t xml:space="preserve"> </w:t>
      </w:r>
      <w:r w:rsidRPr="00B35F0B">
        <w:t>Cyber and information security is a top national security priority for government. Cyber intrusions on government, critical infrastructure and other information networks are a real threat to Australia’s national security and national interests.</w:t>
      </w:r>
    </w:p>
    <w:p w14:paraId="18E64189" w14:textId="77777777" w:rsidR="00215226" w:rsidRDefault="00215226" w:rsidP="005D451C">
      <w:r w:rsidRPr="00B35F0B">
        <w:t>The Information Security Registered Assessors Program is an ASD initiative to provide high quality ICT assessment services aimed at maximising the security of Australian government information and associated ICT systems.</w:t>
      </w:r>
    </w:p>
    <w:p w14:paraId="546CF684" w14:textId="77777777" w:rsidR="00215226" w:rsidRDefault="00215226" w:rsidP="005D451C">
      <w:r w:rsidRPr="00B35F0B">
        <w:t>IRAP Assessors must demonstrate a strong understanding of Australian government information security policies through a combination of recognised ICT and audit qualifications, experience, tailored training and the successful completion of an IRAP entrance examination.</w:t>
      </w:r>
      <w:r>
        <w:t xml:space="preserve"> </w:t>
      </w:r>
      <w:r w:rsidRPr="00B35F0B">
        <w:t>Successful applicants who become registered IRAP Assessors are able to provide ICT assessment services to government.</w:t>
      </w:r>
    </w:p>
    <w:p w14:paraId="733A064F" w14:textId="77777777" w:rsidR="00215226" w:rsidRPr="00B35F0B" w:rsidRDefault="00215226" w:rsidP="005D451C">
      <w:r w:rsidRPr="00B35F0B">
        <w:t>IRAP Assessors are endorsed by ASD to conduct independent assessment of any system, network or gateway, for compliance with the ISM, PSPF and other Australian government guidance.</w:t>
      </w:r>
    </w:p>
    <w:p w14:paraId="1410F52B" w14:textId="77777777" w:rsidR="00215226" w:rsidRPr="00B35F0B" w:rsidRDefault="00215226" w:rsidP="005D451C">
      <w:r w:rsidRPr="00B35F0B">
        <w:t>The IRAP Assessor will conduct an assessment through the following activities:</w:t>
      </w:r>
    </w:p>
    <w:p w14:paraId="699A3ED2" w14:textId="77777777" w:rsidR="00215226" w:rsidRPr="00B35F0B" w:rsidRDefault="00215226" w:rsidP="005D451C">
      <w:pPr>
        <w:pStyle w:val="Bullet1"/>
      </w:pPr>
      <w:r w:rsidRPr="00B35F0B">
        <w:t>System documentation review,</w:t>
      </w:r>
    </w:p>
    <w:p w14:paraId="5D68F413" w14:textId="77777777" w:rsidR="00215226" w:rsidRPr="00B35F0B" w:rsidRDefault="00215226" w:rsidP="005D451C">
      <w:pPr>
        <w:pStyle w:val="Bullet1"/>
      </w:pPr>
      <w:r w:rsidRPr="00B35F0B">
        <w:t>Onsite evidence gathering,</w:t>
      </w:r>
    </w:p>
    <w:p w14:paraId="1E686B6D" w14:textId="77777777" w:rsidR="00215226" w:rsidRPr="00B35F0B" w:rsidRDefault="00215226" w:rsidP="005D451C">
      <w:pPr>
        <w:pStyle w:val="Bullet1"/>
      </w:pPr>
      <w:r w:rsidRPr="00B35F0B">
        <w:t>Interviews with key staff, and</w:t>
      </w:r>
    </w:p>
    <w:p w14:paraId="26EDE501" w14:textId="77777777" w:rsidR="00215226" w:rsidRPr="00B35F0B" w:rsidRDefault="00215226" w:rsidP="005D451C">
      <w:pPr>
        <w:pStyle w:val="Bullet1"/>
      </w:pPr>
      <w:r w:rsidRPr="00B35F0B">
        <w:t>Evidence gathering against ISM and PSPF requirements.</w:t>
      </w:r>
    </w:p>
    <w:p w14:paraId="0F7717E1" w14:textId="77777777" w:rsidR="00215226" w:rsidRDefault="005D451C" w:rsidP="005D451C">
      <w:pPr>
        <w:pStyle w:val="BoxText"/>
      </w:pPr>
      <w:r w:rsidRPr="00B35F0B">
        <w:t xml:space="preserve">Service Providers </w:t>
      </w:r>
      <w:r w:rsidRPr="00D825A0">
        <w:rPr>
          <w:rStyle w:val="Strong"/>
        </w:rPr>
        <w:t xml:space="preserve">MUST </w:t>
      </w:r>
      <w:r w:rsidRPr="00B35F0B">
        <w:t>undertake an assessment of all PKI-related systems using a registered IRAP Assessor listed on the ASD IRAP website.</w:t>
      </w:r>
    </w:p>
    <w:p w14:paraId="66DBD546" w14:textId="77777777" w:rsidR="00215226" w:rsidRDefault="00215226" w:rsidP="00575D58">
      <w:pPr>
        <w:pStyle w:val="Heading2Numbered"/>
      </w:pPr>
      <w:bookmarkStart w:id="212" w:name="_Toc426636694"/>
      <w:bookmarkStart w:id="213" w:name="_Toc426639978"/>
      <w:bookmarkStart w:id="214" w:name="_Toc430268930"/>
      <w:r w:rsidRPr="003E302C">
        <w:t>Privacy Impact Assessment</w:t>
      </w:r>
      <w:bookmarkEnd w:id="212"/>
      <w:bookmarkEnd w:id="213"/>
      <w:bookmarkEnd w:id="214"/>
    </w:p>
    <w:p w14:paraId="1A91C3A9" w14:textId="77777777" w:rsidR="00215226" w:rsidRPr="00B35F0B" w:rsidRDefault="00215226" w:rsidP="00575D58">
      <w:r w:rsidRPr="00B35F0B">
        <w:t xml:space="preserve">The </w:t>
      </w:r>
      <w:r w:rsidRPr="00E64190">
        <w:rPr>
          <w:rStyle w:val="Emphasis"/>
        </w:rPr>
        <w:t>Privacy Amendment (Enhancing Privacy Protection) Act 2012 (Privacy Amendment Act)</w:t>
      </w:r>
      <w:r w:rsidRPr="00B35F0B">
        <w:t xml:space="preserve"> made many significant changes to the </w:t>
      </w:r>
      <w:r w:rsidRPr="00E64190">
        <w:rPr>
          <w:rStyle w:val="Emphasis"/>
        </w:rPr>
        <w:t>Privacy Act 1988</w:t>
      </w:r>
      <w:r w:rsidRPr="00B35F0B">
        <w:t>.</w:t>
      </w:r>
      <w:r>
        <w:t xml:space="preserve"> </w:t>
      </w:r>
      <w:r w:rsidRPr="00B35F0B">
        <w:t>These changes commenced on 12 March</w:t>
      </w:r>
      <w:r>
        <w:t> 201</w:t>
      </w:r>
      <w:r w:rsidRPr="00B35F0B">
        <w:t>4.</w:t>
      </w:r>
      <w:r>
        <w:t xml:space="preserve"> </w:t>
      </w:r>
      <w:r w:rsidRPr="00E64190">
        <w:rPr>
          <w:rStyle w:val="Emphasis"/>
        </w:rPr>
        <w:t>The Privacy Regulations 2013</w:t>
      </w:r>
      <w:r w:rsidRPr="00B35F0B">
        <w:t>, made under the Privacy Act, also commenced on 12 March</w:t>
      </w:r>
      <w:r>
        <w:t> 201</w:t>
      </w:r>
      <w:r w:rsidRPr="00B35F0B">
        <w:t>4.</w:t>
      </w:r>
    </w:p>
    <w:p w14:paraId="650BED14" w14:textId="77777777" w:rsidR="00215226" w:rsidRPr="00B35F0B" w:rsidRDefault="00215226" w:rsidP="00575D58">
      <w:r w:rsidRPr="00B35F0B">
        <w:t xml:space="preserve">The </w:t>
      </w:r>
      <w:r w:rsidRPr="00E64190">
        <w:rPr>
          <w:rStyle w:val="Emphasis"/>
        </w:rPr>
        <w:t xml:space="preserve">Privacy Act </w:t>
      </w:r>
      <w:r w:rsidRPr="00B35F0B">
        <w:t>now includes a set of 13 new harmonised privacy principles</w:t>
      </w:r>
      <w:r w:rsidRPr="00E64190">
        <w:rPr>
          <w:rStyle w:val="FootnoteReference"/>
        </w:rPr>
        <w:footnoteReference w:id="11"/>
      </w:r>
      <w:r w:rsidRPr="00B35F0B">
        <w:t xml:space="preserve"> that regulate the handling of personal information by Australian and Norfolk Island Government agencies and some private sector organisations.</w:t>
      </w:r>
      <w:r>
        <w:t xml:space="preserve"> </w:t>
      </w:r>
      <w:r w:rsidRPr="00B35F0B">
        <w:t xml:space="preserve">These principles are called the </w:t>
      </w:r>
      <w:r w:rsidRPr="00E64190">
        <w:rPr>
          <w:rStyle w:val="Emphasis"/>
        </w:rPr>
        <w:t>Australian Privacy Principles</w:t>
      </w:r>
      <w:r w:rsidRPr="00B35F0B">
        <w:t>.</w:t>
      </w:r>
      <w:r>
        <w:t xml:space="preserve"> </w:t>
      </w:r>
      <w:r w:rsidRPr="00B35F0B">
        <w:t xml:space="preserve">They replace both the </w:t>
      </w:r>
      <w:r w:rsidRPr="00E64190">
        <w:rPr>
          <w:rStyle w:val="Emphasis"/>
        </w:rPr>
        <w:t>Information Privacy Principles</w:t>
      </w:r>
      <w:r w:rsidRPr="00B35F0B">
        <w:t xml:space="preserve"> (IPPs) that applied to Australian Government agencies and the </w:t>
      </w:r>
      <w:r w:rsidRPr="00E64190">
        <w:rPr>
          <w:rStyle w:val="Emphasis"/>
        </w:rPr>
        <w:t>National Privacy Principles</w:t>
      </w:r>
      <w:r w:rsidRPr="00B35F0B">
        <w:t xml:space="preserve"> (NPPs) that applied to some private sector organisations.</w:t>
      </w:r>
    </w:p>
    <w:p w14:paraId="15930B6F" w14:textId="77777777" w:rsidR="00215226" w:rsidRPr="00B35F0B" w:rsidRDefault="00215226" w:rsidP="00575D58">
      <w:r w:rsidRPr="00B35F0B">
        <w:t>The APPs set out standards, rights and obligations for the handling, holding, accessing and correction of personal information (including sensitive information).</w:t>
      </w:r>
    </w:p>
    <w:p w14:paraId="452A5BC5" w14:textId="77777777" w:rsidR="00215226" w:rsidRDefault="00215226" w:rsidP="00575D58">
      <w:r w:rsidRPr="00B35F0B">
        <w:lastRenderedPageBreak/>
        <w:t>APP1 requires APP entities to take reasonable steps to implement practices, procedures and systems that will ensure compliance with the APPs and enable them to deal with enquiries or complaints about privacy compliance. Conducting a PIA will assist entities to ensure privacy compliance. A PIA identifies how a Service Provider can have an impact on an individual’s privacy, and makes recommendations for managing, minimising or eliminating privacy impacts.</w:t>
      </w:r>
    </w:p>
    <w:p w14:paraId="050F621F" w14:textId="77777777" w:rsidR="00215226" w:rsidRDefault="00215226" w:rsidP="00575D58">
      <w:r w:rsidRPr="00B35F0B">
        <w:t xml:space="preserve">The </w:t>
      </w:r>
      <w:r w:rsidRPr="00E64190">
        <w:rPr>
          <w:rStyle w:val="Emphasis"/>
        </w:rPr>
        <w:t>Guide to undertake privacy impact assessments</w:t>
      </w:r>
      <w:r w:rsidRPr="00B35F0B">
        <w:t xml:space="preserve"> </w:t>
      </w:r>
      <w:r w:rsidRPr="00E64190">
        <w:rPr>
          <w:rStyle w:val="Emphasis"/>
        </w:rPr>
        <w:t>(PIA guide)</w:t>
      </w:r>
      <w:r w:rsidRPr="00E64190">
        <w:rPr>
          <w:rStyle w:val="FootnoteReference"/>
        </w:rPr>
        <w:footnoteReference w:id="12"/>
      </w:r>
      <w:r w:rsidRPr="00B35F0B">
        <w:t xml:space="preserve"> has been prepared by the OAIC to</w:t>
      </w:r>
      <w:r w:rsidR="00897FA3">
        <w:t> </w:t>
      </w:r>
      <w:r w:rsidRPr="00B35F0B">
        <w:t>describe the process for undertaking a PIA.</w:t>
      </w:r>
      <w:r>
        <w:t xml:space="preserve"> </w:t>
      </w:r>
      <w:r w:rsidRPr="00B35F0B">
        <w:t>The PIA Guide is intended to provide guidance to all APP entities.</w:t>
      </w:r>
    </w:p>
    <w:p w14:paraId="3A33F2AA" w14:textId="77777777" w:rsidR="00575D58" w:rsidRPr="00B35F0B" w:rsidRDefault="00575D58" w:rsidP="00575D58">
      <w:pPr>
        <w:pStyle w:val="BoxText"/>
      </w:pPr>
      <w:r w:rsidRPr="00B35F0B">
        <w:t xml:space="preserve">Service Providers </w:t>
      </w:r>
      <w:r w:rsidRPr="00D825A0">
        <w:rPr>
          <w:rStyle w:val="Strong"/>
        </w:rPr>
        <w:t>MUST</w:t>
      </w:r>
      <w:r w:rsidRPr="00B35F0B">
        <w:t xml:space="preserve"> undertake a PIA for all PKI-related systems that collect, process, store or disclose personal information.</w:t>
      </w:r>
    </w:p>
    <w:p w14:paraId="75F12E75" w14:textId="77777777" w:rsidR="00215226" w:rsidRPr="00B35F0B" w:rsidRDefault="00215226" w:rsidP="00575D58">
      <w:r w:rsidRPr="00B35F0B">
        <w:t>Privacy and security are inherently linked insofar as good security practices will contribute to the protection of a Subscriber’s personal and sensitive information.</w:t>
      </w:r>
      <w:r>
        <w:t xml:space="preserve"> </w:t>
      </w:r>
      <w:r w:rsidRPr="00B35F0B">
        <w:t>Similarly an analysis of data flows will identify potential privacy issues that will require mitigation as part of the Service Provider’s overall security risk management practices.</w:t>
      </w:r>
    </w:p>
    <w:p w14:paraId="40904261" w14:textId="77777777" w:rsidR="00215226" w:rsidRPr="00B35F0B" w:rsidRDefault="00215226" w:rsidP="00575D58">
      <w:r w:rsidRPr="00B35F0B">
        <w:t>The outcomes of a PIA will provide a valuable input to the Service Provider’s risk management strategy and ensure that the Service Provider’s security policies and practices are adequate to ensure the protection of personal information.</w:t>
      </w:r>
    </w:p>
    <w:p w14:paraId="794F5116" w14:textId="77777777" w:rsidR="00215226" w:rsidRPr="003E302C" w:rsidRDefault="00215226" w:rsidP="00575D58">
      <w:pPr>
        <w:pStyle w:val="Heading1Numbered"/>
      </w:pPr>
      <w:bookmarkStart w:id="215" w:name="_Toc430268931"/>
      <w:bookmarkEnd w:id="211"/>
      <w:r w:rsidRPr="003E302C">
        <w:lastRenderedPageBreak/>
        <w:t>Gatekeeper Approved Documents</w:t>
      </w:r>
      <w:bookmarkEnd w:id="215"/>
    </w:p>
    <w:p w14:paraId="72E6AEA0" w14:textId="77777777" w:rsidR="00215226" w:rsidRPr="003E302C" w:rsidRDefault="00215226" w:rsidP="00575D58">
      <w:pPr>
        <w:pStyle w:val="Heading2Numbered"/>
      </w:pPr>
      <w:bookmarkStart w:id="216" w:name="_Toc426636695"/>
      <w:bookmarkStart w:id="217" w:name="_Toc426639979"/>
      <w:bookmarkStart w:id="218" w:name="_Toc430268932"/>
      <w:r w:rsidRPr="003E302C">
        <w:t>Information Security Documentation</w:t>
      </w:r>
      <w:bookmarkEnd w:id="216"/>
      <w:bookmarkEnd w:id="217"/>
      <w:bookmarkEnd w:id="218"/>
    </w:p>
    <w:p w14:paraId="16C63739" w14:textId="77777777" w:rsidR="00215226" w:rsidRDefault="00215226" w:rsidP="00575D58">
      <w:r w:rsidRPr="00B35F0B">
        <w:t xml:space="preserve">In support of the PSPF and ISM compliance obligations, Gatekeeper contains mandatory security requirements to which accredited Service Providers </w:t>
      </w:r>
      <w:r w:rsidRPr="00D825A0">
        <w:rPr>
          <w:rStyle w:val="Strong"/>
        </w:rPr>
        <w:t>MUST</w:t>
      </w:r>
      <w:r w:rsidRPr="00B35F0B">
        <w:t xml:space="preserve"> comply.</w:t>
      </w:r>
    </w:p>
    <w:p w14:paraId="4D414C5D" w14:textId="77777777" w:rsidR="00215226" w:rsidRDefault="00215226" w:rsidP="00575D58">
      <w:r w:rsidRPr="00B35F0B">
        <w:t>Implementation of the relevant PSPF and ISM requirements will be fully documented in the Service Providers Information Security Documentation.</w:t>
      </w:r>
      <w:r>
        <w:t xml:space="preserve"> </w:t>
      </w:r>
      <w:r w:rsidRPr="00B35F0B">
        <w:t>Where appropriate, the Framework will provide guidance on compliance requirements and the source of the requirement.</w:t>
      </w:r>
    </w:p>
    <w:p w14:paraId="5D1B70A3" w14:textId="77777777" w:rsidR="00215226" w:rsidRPr="00B35F0B" w:rsidRDefault="00215226" w:rsidP="00575D58">
      <w:r w:rsidRPr="00B35F0B">
        <w:t>It is a mandatory Gatekeeper requirement that Service Providers adopt a risk management approach to cover all areas of protective security activities across their PKI operating environment. The following documents form the mandatory Information Security Documentation suite that accredited Service Providers are required to develop and maintain:</w:t>
      </w:r>
    </w:p>
    <w:p w14:paraId="00BD09CA" w14:textId="77777777" w:rsidR="00215226" w:rsidRPr="00B35F0B" w:rsidRDefault="00215226" w:rsidP="00575D58">
      <w:pPr>
        <w:pStyle w:val="Bullet1"/>
      </w:pPr>
      <w:r w:rsidRPr="00B35F0B">
        <w:t>Information Security Policy (ISP);</w:t>
      </w:r>
    </w:p>
    <w:p w14:paraId="6F2D456C" w14:textId="77777777" w:rsidR="00215226" w:rsidRDefault="00215226" w:rsidP="00575D58">
      <w:pPr>
        <w:pStyle w:val="Bullet1"/>
      </w:pPr>
      <w:r w:rsidRPr="00B35F0B">
        <w:t>Protective Security Risk Review;</w:t>
      </w:r>
    </w:p>
    <w:p w14:paraId="36CD4589" w14:textId="77777777" w:rsidR="00215226" w:rsidRPr="00B35F0B" w:rsidRDefault="00215226" w:rsidP="00575D58">
      <w:pPr>
        <w:pStyle w:val="Bullet1"/>
      </w:pPr>
      <w:r w:rsidRPr="00B35F0B">
        <w:t>Security Risk Management Plan (SRMP);</w:t>
      </w:r>
    </w:p>
    <w:p w14:paraId="7BF15D2D" w14:textId="77777777" w:rsidR="00215226" w:rsidRPr="00B35F0B" w:rsidRDefault="00215226" w:rsidP="00575D58">
      <w:pPr>
        <w:pStyle w:val="Bullet1"/>
      </w:pPr>
      <w:r w:rsidRPr="00B35F0B">
        <w:t>System Security Plan (SSP), comprising;</w:t>
      </w:r>
    </w:p>
    <w:p w14:paraId="75908154" w14:textId="77777777" w:rsidR="00215226" w:rsidRPr="00B35F0B" w:rsidRDefault="00215226" w:rsidP="00575D58">
      <w:pPr>
        <w:pStyle w:val="Bullet2"/>
      </w:pPr>
      <w:r w:rsidRPr="00B35F0B">
        <w:t>Standard Operating Procedures;</w:t>
      </w:r>
    </w:p>
    <w:p w14:paraId="43BE68A1" w14:textId="77777777" w:rsidR="00215226" w:rsidRPr="00B35F0B" w:rsidRDefault="00215226" w:rsidP="00575D58">
      <w:pPr>
        <w:pStyle w:val="Bullet1"/>
      </w:pPr>
      <w:r w:rsidRPr="00B35F0B">
        <w:t>Physical and Environmental Security Plan;</w:t>
      </w:r>
    </w:p>
    <w:p w14:paraId="7AC0BEBA" w14:textId="77777777" w:rsidR="00215226" w:rsidRPr="00B35F0B" w:rsidRDefault="00215226" w:rsidP="00575D58">
      <w:pPr>
        <w:pStyle w:val="Bullet1"/>
      </w:pPr>
      <w:r w:rsidRPr="00B35F0B">
        <w:t>Personnel Security Plan;</w:t>
      </w:r>
    </w:p>
    <w:p w14:paraId="4F61E865" w14:textId="77777777" w:rsidR="00215226" w:rsidRDefault="00215226" w:rsidP="00575D58">
      <w:pPr>
        <w:pStyle w:val="Bullet1"/>
      </w:pPr>
      <w:r w:rsidRPr="00B35F0B">
        <w:t>Incident Response Plan (IRP);</w:t>
      </w:r>
    </w:p>
    <w:p w14:paraId="7A1D4A39" w14:textId="77777777" w:rsidR="00215226" w:rsidRPr="00B35F0B" w:rsidRDefault="00215226" w:rsidP="00575D58">
      <w:pPr>
        <w:pStyle w:val="Bullet1"/>
      </w:pPr>
      <w:r w:rsidRPr="00B35F0B">
        <w:t>Cryptographic Key Management Plan; and,</w:t>
      </w:r>
    </w:p>
    <w:p w14:paraId="50B55D40" w14:textId="77777777" w:rsidR="00215226" w:rsidRDefault="00215226" w:rsidP="00575D58">
      <w:pPr>
        <w:pStyle w:val="Bullet1"/>
      </w:pPr>
      <w:r w:rsidRPr="00B35F0B">
        <w:t>Disaster Recovery and Business Continuity Plan (DRBCP).</w:t>
      </w:r>
    </w:p>
    <w:p w14:paraId="58C7337F" w14:textId="77777777" w:rsidR="00215226" w:rsidRPr="00B35F0B" w:rsidRDefault="00215226" w:rsidP="00575D58">
      <w:pPr>
        <w:pStyle w:val="BoxText"/>
      </w:pPr>
      <w:r w:rsidRPr="00B35F0B">
        <w:t xml:space="preserve">Information Security Documentation is a core document suite that </w:t>
      </w:r>
      <w:r w:rsidRPr="00D825A0">
        <w:rPr>
          <w:rStyle w:val="Strong"/>
        </w:rPr>
        <w:t>MUST</w:t>
      </w:r>
      <w:r w:rsidRPr="00B35F0B">
        <w:t xml:space="preserve"> be maintained by all Service Providers.</w:t>
      </w:r>
      <w:r w:rsidR="00575D58">
        <w:t xml:space="preserve"> </w:t>
      </w:r>
    </w:p>
    <w:p w14:paraId="6D0F6168" w14:textId="77777777" w:rsidR="00215226" w:rsidRDefault="00215226" w:rsidP="00575D58">
      <w:r w:rsidRPr="00B35F0B">
        <w:t>These documents address all elements of the Service Provider’s protective security arrangements and are used to support the accurate and consistent application of policy and procedure within a Service Provider’s PKI environment.</w:t>
      </w:r>
    </w:p>
    <w:p w14:paraId="0218BD8F" w14:textId="77777777" w:rsidR="00215226" w:rsidRDefault="00215226" w:rsidP="00575D58">
      <w:r w:rsidRPr="00B35F0B">
        <w:t>Service Providers should ensure that Information Security Documentation is developed by personnel with a degree of competency in Public Key Infrastructure and general knowledge of Gatekeeper Policies and Criteria.</w:t>
      </w:r>
    </w:p>
    <w:p w14:paraId="0A2CC449" w14:textId="77777777" w:rsidR="00215226" w:rsidRDefault="00215226" w:rsidP="00575D58">
      <w:r w:rsidRPr="00B35F0B">
        <w:t>As the SRMP, SSP, SOPs, IRP and DRBCP form the underpinning documentation suite for an information system, it is essential that they are logically connected and consistent.</w:t>
      </w:r>
      <w:r>
        <w:t xml:space="preserve"> </w:t>
      </w:r>
      <w:r w:rsidRPr="00B35F0B">
        <w:t>Furthermore, each</w:t>
      </w:r>
      <w:r w:rsidR="00897FA3">
        <w:t> </w:t>
      </w:r>
      <w:r w:rsidRPr="00B35F0B">
        <w:t>document developed for an information system will need to be consistent with the ISP.</w:t>
      </w:r>
    </w:p>
    <w:p w14:paraId="7272D3E0" w14:textId="77777777" w:rsidR="00215226" w:rsidRPr="00B35F0B" w:rsidRDefault="00215226" w:rsidP="00575D58">
      <w:r w:rsidRPr="00B35F0B">
        <w:t>The suite of Gatekeeper Approved Documents to be developed is dependent on the type of accreditation being sought by the Service Provider.</w:t>
      </w:r>
      <w:r>
        <w:t xml:space="preserve"> </w:t>
      </w:r>
      <w:r w:rsidRPr="00B35F0B">
        <w:t>Below is a summary of the Approved Documents to be developed for Gatekeeper Accreditation.</w:t>
      </w:r>
      <w:r>
        <w:t xml:space="preserve"> </w:t>
      </w:r>
      <w:r w:rsidRPr="00B35F0B">
        <w:t>Any changes to these documents will require a Service Provider to vary their accreditation in accordance with Section 5.6.3.</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080"/>
        <w:gridCol w:w="5980"/>
      </w:tblGrid>
      <w:tr w:rsidR="00215226" w:rsidRPr="00B35F0B" w14:paraId="419F4B6A" w14:textId="77777777" w:rsidTr="00575D58">
        <w:trPr>
          <w:cnfStyle w:val="100000000000" w:firstRow="1" w:lastRow="0" w:firstColumn="0" w:lastColumn="0" w:oddVBand="0" w:evenVBand="0" w:oddHBand="0" w:evenHBand="0" w:firstRowFirstColumn="0" w:firstRowLastColumn="0" w:lastRowFirstColumn="0" w:lastRowLastColumn="0"/>
          <w:tblHeader/>
        </w:trPr>
        <w:tc>
          <w:tcPr>
            <w:tcW w:w="1700" w:type="pct"/>
          </w:tcPr>
          <w:p w14:paraId="3A37216A" w14:textId="77777777" w:rsidR="00215226" w:rsidRPr="00B35F0B" w:rsidRDefault="00215226" w:rsidP="00575D58">
            <w:pPr>
              <w:pStyle w:val="Normal-TableText"/>
            </w:pPr>
            <w:r w:rsidRPr="00B35F0B">
              <w:lastRenderedPageBreak/>
              <w:t>Accreditation Category</w:t>
            </w:r>
          </w:p>
        </w:tc>
        <w:tc>
          <w:tcPr>
            <w:tcW w:w="3300" w:type="pct"/>
          </w:tcPr>
          <w:p w14:paraId="7009C389" w14:textId="77777777" w:rsidR="00215226" w:rsidRPr="00B35F0B" w:rsidRDefault="00215226" w:rsidP="00575D58">
            <w:pPr>
              <w:pStyle w:val="Normal-TableText"/>
            </w:pPr>
            <w:r w:rsidRPr="00B35F0B">
              <w:t>Gatekeeper Approved Documents</w:t>
            </w:r>
          </w:p>
        </w:tc>
      </w:tr>
      <w:tr w:rsidR="00215226" w:rsidRPr="00B35F0B" w14:paraId="1376AD53" w14:textId="77777777" w:rsidTr="00575D58">
        <w:tc>
          <w:tcPr>
            <w:tcW w:w="1700" w:type="pct"/>
          </w:tcPr>
          <w:p w14:paraId="171D0A09" w14:textId="77777777" w:rsidR="00215226" w:rsidRPr="00B35F0B" w:rsidRDefault="00215226" w:rsidP="00575D58">
            <w:pPr>
              <w:pStyle w:val="Normal-TableText"/>
            </w:pPr>
            <w:r w:rsidRPr="00B35F0B">
              <w:t>Registration Authority</w:t>
            </w:r>
          </w:p>
        </w:tc>
        <w:tc>
          <w:tcPr>
            <w:tcW w:w="3300" w:type="pct"/>
          </w:tcPr>
          <w:p w14:paraId="5016BDA8" w14:textId="77777777" w:rsidR="00215226" w:rsidRPr="00B35F0B" w:rsidRDefault="00215226" w:rsidP="00575D58">
            <w:pPr>
              <w:pStyle w:val="Normal-TableText"/>
            </w:pPr>
            <w:r w:rsidRPr="00B35F0B">
              <w:t xml:space="preserve">Information Security Documentation </w:t>
            </w:r>
            <w:r w:rsidRPr="00C6440C">
              <w:t>AND</w:t>
            </w:r>
            <w:r w:rsidRPr="00B35F0B">
              <w:t xml:space="preserve"> Registration Authority Operations Manual </w:t>
            </w:r>
          </w:p>
        </w:tc>
      </w:tr>
      <w:tr w:rsidR="00215226" w:rsidRPr="00B35F0B" w14:paraId="698F3C0F" w14:textId="77777777" w:rsidTr="00575D58">
        <w:tc>
          <w:tcPr>
            <w:tcW w:w="1700" w:type="pct"/>
          </w:tcPr>
          <w:p w14:paraId="4AE41415" w14:textId="77777777" w:rsidR="00215226" w:rsidRPr="00B35F0B" w:rsidRDefault="00215226" w:rsidP="00575D58">
            <w:pPr>
              <w:pStyle w:val="Normal-TableText"/>
            </w:pPr>
            <w:r w:rsidRPr="00B35F0B">
              <w:t>Certification Authority</w:t>
            </w:r>
          </w:p>
        </w:tc>
        <w:tc>
          <w:tcPr>
            <w:tcW w:w="3300" w:type="pct"/>
          </w:tcPr>
          <w:p w14:paraId="2AE335AF" w14:textId="77777777" w:rsidR="00215226" w:rsidRPr="00B35F0B" w:rsidRDefault="00215226" w:rsidP="00DA0F56">
            <w:pPr>
              <w:pStyle w:val="Normal-TableText"/>
            </w:pPr>
            <w:r w:rsidRPr="00B35F0B">
              <w:t xml:space="preserve">Information Security Documentation </w:t>
            </w:r>
            <w:r w:rsidRPr="00C6440C">
              <w:t>AND</w:t>
            </w:r>
            <w:r w:rsidRPr="00B35F0B">
              <w:t xml:space="preserve"> Certification Practices Statement </w:t>
            </w:r>
            <w:r w:rsidRPr="00C6440C">
              <w:t>AND</w:t>
            </w:r>
            <w:r w:rsidRPr="00B35F0B">
              <w:t xml:space="preserve"> Certificate Policy(s).</w:t>
            </w:r>
          </w:p>
        </w:tc>
      </w:tr>
      <w:tr w:rsidR="00215226" w:rsidRPr="00B35F0B" w14:paraId="3B68DFC6" w14:textId="77777777" w:rsidTr="00575D58">
        <w:tc>
          <w:tcPr>
            <w:tcW w:w="1700" w:type="pct"/>
          </w:tcPr>
          <w:p w14:paraId="37000236" w14:textId="77777777" w:rsidR="00215226" w:rsidRPr="00B35F0B" w:rsidRDefault="00215226" w:rsidP="00575D58">
            <w:pPr>
              <w:pStyle w:val="Normal-TableText"/>
            </w:pPr>
            <w:r w:rsidRPr="00B35F0B">
              <w:t>Validation Authority</w:t>
            </w:r>
          </w:p>
        </w:tc>
        <w:tc>
          <w:tcPr>
            <w:tcW w:w="3300" w:type="pct"/>
          </w:tcPr>
          <w:p w14:paraId="1661A7A3" w14:textId="77777777" w:rsidR="00215226" w:rsidRPr="00B35F0B" w:rsidRDefault="00215226" w:rsidP="00575D58">
            <w:pPr>
              <w:pStyle w:val="Normal-TableText"/>
            </w:pPr>
            <w:r w:rsidRPr="00B35F0B">
              <w:t xml:space="preserve">Information Security Documentation. </w:t>
            </w:r>
          </w:p>
        </w:tc>
      </w:tr>
    </w:tbl>
    <w:p w14:paraId="39B9D09C" w14:textId="77777777" w:rsidR="00037866" w:rsidRDefault="00037866" w:rsidP="00575D58">
      <w:pPr>
        <w:rPr>
          <w:rStyle w:val="Strong"/>
        </w:rPr>
      </w:pPr>
    </w:p>
    <w:p w14:paraId="415D7450" w14:textId="77777777" w:rsidR="00575D58" w:rsidRPr="00575D58" w:rsidRDefault="00575D58" w:rsidP="00BD2B67">
      <w:pPr>
        <w:pStyle w:val="BoxText"/>
        <w:rPr>
          <w:rStyle w:val="Strong"/>
        </w:rPr>
      </w:pPr>
      <w:r w:rsidRPr="00575D58">
        <w:rPr>
          <w:rStyle w:val="Strong"/>
        </w:rPr>
        <w:t>Note</w:t>
      </w:r>
    </w:p>
    <w:p w14:paraId="3944028C" w14:textId="77777777" w:rsidR="00575D58" w:rsidRDefault="00575D58" w:rsidP="00BD2B67">
      <w:pPr>
        <w:pStyle w:val="BoxText"/>
      </w:pPr>
      <w:r w:rsidRPr="00B35F0B">
        <w:t>An important component of a Service Provider’s risk management approach relates to information handling and applying protective markings to assets.</w:t>
      </w:r>
      <w:r>
        <w:t xml:space="preserve"> </w:t>
      </w:r>
      <w:r w:rsidRPr="00B35F0B">
        <w:t>Appropriate marking and/or classification of information applies not only to the collection of personal and other information as part of the registration process (relevant to Registration Authorities) but also information such as passwords and passphrases that enable CA employees and contractors access to PKI hardware and software.</w:t>
      </w:r>
    </w:p>
    <w:p w14:paraId="01227467" w14:textId="77777777" w:rsidR="00575D58" w:rsidRPr="00B35F0B" w:rsidRDefault="00575D58" w:rsidP="00BD2B67">
      <w:pPr>
        <w:pStyle w:val="BoxText"/>
      </w:pPr>
      <w:r w:rsidRPr="00B35F0B">
        <w:t xml:space="preserve">In relation to information collected as part of the registration process Service Providers </w:t>
      </w:r>
      <w:r w:rsidRPr="00D825A0">
        <w:rPr>
          <w:rStyle w:val="Strong"/>
        </w:rPr>
        <w:t>MUST</w:t>
      </w:r>
      <w:r w:rsidRPr="00B35F0B">
        <w:t xml:space="preserve"> also consider issues of data aggregation and its impacts on handling requirements, security markings and/or classification.</w:t>
      </w:r>
    </w:p>
    <w:p w14:paraId="21D84818" w14:textId="77777777" w:rsidR="00575D58" w:rsidRPr="00B35F0B" w:rsidRDefault="00575D58" w:rsidP="00BD2B67">
      <w:pPr>
        <w:pStyle w:val="BoxText"/>
      </w:pPr>
      <w:r w:rsidRPr="00B35F0B">
        <w:t xml:space="preserve">The </w:t>
      </w:r>
      <w:r w:rsidRPr="00E64190">
        <w:rPr>
          <w:rStyle w:val="Emphasis"/>
        </w:rPr>
        <w:t>Information Security Management Guideline – Management of aggregated information</w:t>
      </w:r>
      <w:r w:rsidRPr="00E64190">
        <w:rPr>
          <w:rStyle w:val="FootnoteReference"/>
        </w:rPr>
        <w:footnoteReference w:id="13"/>
      </w:r>
      <w:r w:rsidRPr="00B35F0B">
        <w:t xml:space="preserve"> provides</w:t>
      </w:r>
      <w:r w:rsidR="00897FA3">
        <w:t> </w:t>
      </w:r>
      <w:r w:rsidRPr="00B35F0B">
        <w:t>guidance on good management practices to address the security risks associated with the</w:t>
      </w:r>
      <w:r w:rsidR="00897FA3">
        <w:t> </w:t>
      </w:r>
      <w:r w:rsidRPr="00B35F0B">
        <w:t>aggregation of large volumes of information.</w:t>
      </w:r>
      <w:r>
        <w:t xml:space="preserve"> </w:t>
      </w:r>
      <w:r w:rsidRPr="00B35F0B">
        <w:t>The guidelines assist in identifying the value of aggregated information and provide guidance on the appropriate protections for aggregated information.</w:t>
      </w:r>
      <w:r>
        <w:t xml:space="preserve"> </w:t>
      </w:r>
    </w:p>
    <w:p w14:paraId="01528ECD" w14:textId="77777777" w:rsidR="00215226" w:rsidRPr="003E302C" w:rsidRDefault="00215226" w:rsidP="00575D58">
      <w:pPr>
        <w:pStyle w:val="Heading3Numbered"/>
      </w:pPr>
      <w:bookmarkStart w:id="219" w:name="_Toc426636696"/>
      <w:bookmarkStart w:id="220" w:name="_Toc426636820"/>
      <w:bookmarkStart w:id="221" w:name="_Toc426639980"/>
      <w:r w:rsidRPr="003E302C">
        <w:t>Documentation maintenance</w:t>
      </w:r>
      <w:bookmarkEnd w:id="219"/>
      <w:bookmarkEnd w:id="220"/>
      <w:bookmarkEnd w:id="221"/>
    </w:p>
    <w:p w14:paraId="573CF16D" w14:textId="6CA40A0E" w:rsidR="00215226" w:rsidRDefault="00215226" w:rsidP="00575D58">
      <w:r w:rsidRPr="00B35F0B">
        <w:t>The threat environment and Service Providers’ businesses are dynamic.</w:t>
      </w:r>
      <w:r>
        <w:t xml:space="preserve"> </w:t>
      </w:r>
      <w:r w:rsidRPr="00B35F0B">
        <w:t>If a Service Provider fails to maintain their</w:t>
      </w:r>
      <w:r w:rsidR="00D50809">
        <w:t xml:space="preserve"> current</w:t>
      </w:r>
      <w:r w:rsidRPr="00B35F0B">
        <w:t xml:space="preserve"> Information Security Documentation, their security measures and processes may cease to be effective.</w:t>
      </w:r>
    </w:p>
    <w:p w14:paraId="5806C577" w14:textId="77777777" w:rsidR="00215226" w:rsidRPr="00B35F0B" w:rsidRDefault="00215226" w:rsidP="00575D58">
      <w:pPr>
        <w:pStyle w:val="BoxText"/>
      </w:pPr>
      <w:r w:rsidRPr="00B35F0B">
        <w:t xml:space="preserve">Service Providers </w:t>
      </w:r>
      <w:r w:rsidRPr="00D825A0">
        <w:rPr>
          <w:rStyle w:val="Strong"/>
        </w:rPr>
        <w:t>MUST</w:t>
      </w:r>
      <w:r w:rsidRPr="00B35F0B">
        <w:t xml:space="preserve"> review their Gatekeeper Approved Documents at least annually or sooner when changes occur in threats, risks or the Service Provider’s PKI operating environment.</w:t>
      </w:r>
    </w:p>
    <w:p w14:paraId="16D25248" w14:textId="77777777" w:rsidR="00215226" w:rsidRPr="003E302C" w:rsidRDefault="00215226" w:rsidP="00575D58">
      <w:pPr>
        <w:pStyle w:val="Heading2Numbered"/>
      </w:pPr>
      <w:bookmarkStart w:id="222" w:name="_Toc426636697"/>
      <w:bookmarkStart w:id="223" w:name="_Toc426639981"/>
      <w:bookmarkStart w:id="224" w:name="_Toc430268933"/>
      <w:r w:rsidRPr="003E302C">
        <w:t>Information Security Policy</w:t>
      </w:r>
      <w:bookmarkEnd w:id="222"/>
      <w:bookmarkEnd w:id="223"/>
      <w:bookmarkEnd w:id="224"/>
    </w:p>
    <w:p w14:paraId="1DAB44CA" w14:textId="77777777" w:rsidR="00215226" w:rsidRDefault="00215226" w:rsidP="00575D58">
      <w:r w:rsidRPr="00B35F0B">
        <w:t>The ISP describes a Service Provider’s commitment to information security, its approach to information security management and defines information security management responsibilities.</w:t>
      </w:r>
      <w:r>
        <w:t xml:space="preserve"> </w:t>
      </w:r>
      <w:r w:rsidRPr="00B35F0B">
        <w:t>It addresses the intended security objectives relating to personnel, access controls, business continuity and protection of services, assets and business processes.</w:t>
      </w:r>
      <w:r>
        <w:t xml:space="preserve"> </w:t>
      </w:r>
      <w:r w:rsidRPr="00B35F0B">
        <w:t>These objectives are linked to the Service Provider’s PSRR and SRMP.</w:t>
      </w:r>
    </w:p>
    <w:p w14:paraId="4E7AA870" w14:textId="77777777" w:rsidR="00575D58" w:rsidRPr="00B35F0B" w:rsidRDefault="00575D58" w:rsidP="00575D58">
      <w:pPr>
        <w:pStyle w:val="BoxText"/>
      </w:pPr>
      <w:r w:rsidRPr="00DB230F">
        <w:lastRenderedPageBreak/>
        <w:t xml:space="preserve">Service Providers </w:t>
      </w:r>
      <w:r w:rsidRPr="00D825A0">
        <w:rPr>
          <w:rStyle w:val="Strong"/>
        </w:rPr>
        <w:t>MUST</w:t>
      </w:r>
      <w:r w:rsidRPr="00DB230F">
        <w:t xml:space="preserve"> have an ISP</w:t>
      </w:r>
      <w:r>
        <w:t>.</w:t>
      </w:r>
    </w:p>
    <w:p w14:paraId="529CAD39" w14:textId="77777777" w:rsidR="00215226" w:rsidRPr="00B35F0B" w:rsidRDefault="00215226" w:rsidP="00575D58">
      <w:r w:rsidRPr="00B35F0B">
        <w:t xml:space="preserve">The Service Provider </w:t>
      </w:r>
      <w:r w:rsidRPr="00D825A0">
        <w:rPr>
          <w:rStyle w:val="Strong"/>
        </w:rPr>
        <w:t>SHOULD</w:t>
      </w:r>
      <w:r w:rsidRPr="00B35F0B">
        <w:t xml:space="preserve"> consider the following when developing their ISP:</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4532"/>
        <w:gridCol w:w="4528"/>
      </w:tblGrid>
      <w:tr w:rsidR="00EC359A" w:rsidRPr="00DA0F56" w14:paraId="1908E636" w14:textId="77777777" w:rsidTr="00EC359A">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4664832B" w14:textId="5E182AC3" w:rsidR="00EC359A" w:rsidRPr="00DA0F56" w:rsidRDefault="00EC359A">
            <w:pPr>
              <w:pStyle w:val="Normal-TableText"/>
              <w:rPr>
                <w:lang w:val="en-GB"/>
              </w:rPr>
            </w:pPr>
            <w:r>
              <w:rPr>
                <w:lang w:val="en-GB"/>
              </w:rPr>
              <w:t>ISP Considerations</w:t>
            </w:r>
          </w:p>
        </w:tc>
      </w:tr>
      <w:tr w:rsidR="00EA4FAE" w:rsidRPr="00DA0F56" w14:paraId="1D7F6E41" w14:textId="77777777" w:rsidTr="003C7976">
        <w:tc>
          <w:tcPr>
            <w:tcW w:w="2501" w:type="pct"/>
          </w:tcPr>
          <w:p w14:paraId="3BAC2658" w14:textId="77777777" w:rsidR="00DA0F56" w:rsidRPr="00DA0F56" w:rsidRDefault="00DA0F56" w:rsidP="00C12941">
            <w:pPr>
              <w:pStyle w:val="Normal-TableText"/>
              <w:rPr>
                <w:lang w:val="en-GB"/>
              </w:rPr>
            </w:pPr>
            <w:r w:rsidRPr="00DA0F56">
              <w:rPr>
                <w:lang w:val="en-GB"/>
              </w:rPr>
              <w:t>The policy objectives</w:t>
            </w:r>
          </w:p>
        </w:tc>
        <w:tc>
          <w:tcPr>
            <w:tcW w:w="2499" w:type="pct"/>
          </w:tcPr>
          <w:p w14:paraId="5647D9E8" w14:textId="77777777" w:rsidR="00DA0F56" w:rsidRPr="00DA0F56" w:rsidRDefault="00DA0F56" w:rsidP="00C12941">
            <w:pPr>
              <w:pStyle w:val="Normal-TableText"/>
              <w:rPr>
                <w:lang w:val="en-GB"/>
              </w:rPr>
            </w:pPr>
            <w:r w:rsidRPr="00DA0F56">
              <w:rPr>
                <w:lang w:val="en-GB"/>
              </w:rPr>
              <w:t>How the policy objective will be achieved</w:t>
            </w:r>
          </w:p>
        </w:tc>
      </w:tr>
      <w:tr w:rsidR="00DA0F56" w:rsidRPr="00DA0F56" w14:paraId="7BC75606" w14:textId="77777777" w:rsidTr="00EA4FAE">
        <w:tc>
          <w:tcPr>
            <w:tcW w:w="2501" w:type="pct"/>
          </w:tcPr>
          <w:p w14:paraId="3CB56657" w14:textId="77777777" w:rsidR="00DA0F56" w:rsidRPr="00DA0F56" w:rsidRDefault="00DA0F56" w:rsidP="00C12941">
            <w:pPr>
              <w:pStyle w:val="Normal-TableText"/>
              <w:rPr>
                <w:lang w:val="en-GB"/>
              </w:rPr>
            </w:pPr>
            <w:r w:rsidRPr="00DA0F56">
              <w:rPr>
                <w:lang w:val="en-GB"/>
              </w:rPr>
              <w:t>The guidelines and legal framework under which the policy will operate</w:t>
            </w:r>
          </w:p>
        </w:tc>
        <w:tc>
          <w:tcPr>
            <w:tcW w:w="2499" w:type="pct"/>
          </w:tcPr>
          <w:p w14:paraId="1623F053" w14:textId="77777777" w:rsidR="00DA0F56" w:rsidRPr="00DA0F56" w:rsidRDefault="00DA0F56" w:rsidP="00C12941">
            <w:pPr>
              <w:pStyle w:val="Normal-TableText"/>
              <w:rPr>
                <w:lang w:val="en-GB"/>
              </w:rPr>
            </w:pPr>
            <w:r w:rsidRPr="00DA0F56">
              <w:rPr>
                <w:lang w:val="en-GB"/>
              </w:rPr>
              <w:t>The stakeholders</w:t>
            </w:r>
          </w:p>
        </w:tc>
      </w:tr>
      <w:tr w:rsidR="00DA0F56" w:rsidRPr="00DA0F56" w14:paraId="5DAA6BF9" w14:textId="77777777" w:rsidTr="00EA4FAE">
        <w:tc>
          <w:tcPr>
            <w:tcW w:w="2501" w:type="pct"/>
          </w:tcPr>
          <w:p w14:paraId="293C1506" w14:textId="77777777" w:rsidR="00DA0F56" w:rsidRPr="00DA0F56" w:rsidRDefault="00DA0F56" w:rsidP="00C12941">
            <w:pPr>
              <w:pStyle w:val="Normal-TableText"/>
              <w:rPr>
                <w:lang w:val="en-GB"/>
              </w:rPr>
            </w:pPr>
            <w:r w:rsidRPr="00DA0F56">
              <w:rPr>
                <w:lang w:val="en-GB"/>
              </w:rPr>
              <w:t>What resourcing will be available to support the implementation of the policy</w:t>
            </w:r>
          </w:p>
        </w:tc>
        <w:tc>
          <w:tcPr>
            <w:tcW w:w="2499" w:type="pct"/>
          </w:tcPr>
          <w:p w14:paraId="00FF4FF0" w14:textId="77777777" w:rsidR="00DA0F56" w:rsidRPr="00DA0F56" w:rsidRDefault="00DA0F56" w:rsidP="00C12941">
            <w:pPr>
              <w:pStyle w:val="Normal-TableText"/>
              <w:rPr>
                <w:lang w:val="en-GB"/>
              </w:rPr>
            </w:pPr>
            <w:r w:rsidRPr="00DA0F56">
              <w:rPr>
                <w:lang w:val="en-GB"/>
              </w:rPr>
              <w:t>What performance measures will be established to ensure that the policy is implemented effectively</w:t>
            </w:r>
          </w:p>
        </w:tc>
      </w:tr>
    </w:tbl>
    <w:p w14:paraId="6A1E24B6" w14:textId="77777777" w:rsidR="00215226" w:rsidRPr="00B35F0B" w:rsidRDefault="00215226" w:rsidP="00EA4FAE">
      <w:pPr>
        <w:keepNext/>
      </w:pPr>
      <w:r w:rsidRPr="00B35F0B">
        <w:t xml:space="preserve">The key components in a Service Provider’s ISP </w:t>
      </w:r>
      <w:r w:rsidRPr="00D825A0">
        <w:rPr>
          <w:rStyle w:val="Strong"/>
        </w:rPr>
        <w:t>SHOULD</w:t>
      </w:r>
      <w:r w:rsidRPr="00B35F0B">
        <w:t xml:space="preserve"> include at a minimum:</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4512"/>
        <w:gridCol w:w="4548"/>
      </w:tblGrid>
      <w:tr w:rsidR="00EC359A" w:rsidRPr="00DA0F56" w14:paraId="2951D3D5" w14:textId="77777777" w:rsidTr="00EC359A">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24714ADD" w14:textId="087D4BD9" w:rsidR="00EC359A" w:rsidRPr="00DA0F56" w:rsidRDefault="00EC359A">
            <w:pPr>
              <w:pStyle w:val="Normal-TableText"/>
              <w:rPr>
                <w:lang w:val="en-GB"/>
              </w:rPr>
            </w:pPr>
            <w:r>
              <w:rPr>
                <w:lang w:val="en-GB"/>
              </w:rPr>
              <w:t>ISP Key Components</w:t>
            </w:r>
          </w:p>
        </w:tc>
      </w:tr>
      <w:tr w:rsidR="00DA0F56" w:rsidRPr="00DA0F56" w14:paraId="761AADBB" w14:textId="77777777" w:rsidTr="00EA4FAE">
        <w:tc>
          <w:tcPr>
            <w:tcW w:w="2490" w:type="pct"/>
          </w:tcPr>
          <w:p w14:paraId="2F9DA1EA" w14:textId="77777777" w:rsidR="00DA0F56" w:rsidRPr="00DA0F56" w:rsidRDefault="00DA0F56" w:rsidP="00C12941">
            <w:pPr>
              <w:pStyle w:val="Normal-TableText"/>
              <w:rPr>
                <w:lang w:val="en-GB"/>
              </w:rPr>
            </w:pPr>
            <w:bookmarkStart w:id="225" w:name="_Toc390862342"/>
            <w:bookmarkStart w:id="226" w:name="_Toc426636698"/>
            <w:bookmarkStart w:id="227" w:name="_Toc426639982"/>
            <w:bookmarkStart w:id="228" w:name="_Toc430268934"/>
            <w:r w:rsidRPr="00DA0F56">
              <w:rPr>
                <w:lang w:val="en-GB"/>
              </w:rPr>
              <w:t>Configuration control</w:t>
            </w:r>
          </w:p>
        </w:tc>
        <w:tc>
          <w:tcPr>
            <w:tcW w:w="2510" w:type="pct"/>
          </w:tcPr>
          <w:p w14:paraId="4D594E39" w14:textId="77777777" w:rsidR="00DA0F56" w:rsidRPr="00DA0F56" w:rsidRDefault="00DA0F56" w:rsidP="00C12941">
            <w:pPr>
              <w:pStyle w:val="Normal-TableText"/>
              <w:rPr>
                <w:lang w:val="en-GB"/>
              </w:rPr>
            </w:pPr>
            <w:r w:rsidRPr="00DA0F56">
              <w:rPr>
                <w:lang w:val="en-GB"/>
              </w:rPr>
              <w:t>Personnel responsibilities</w:t>
            </w:r>
          </w:p>
        </w:tc>
      </w:tr>
      <w:tr w:rsidR="00DA0F56" w:rsidRPr="00DA0F56" w14:paraId="23DD8D9C" w14:textId="77777777" w:rsidTr="00EA4FAE">
        <w:tc>
          <w:tcPr>
            <w:tcW w:w="2490" w:type="pct"/>
          </w:tcPr>
          <w:p w14:paraId="7887D4A5" w14:textId="77777777" w:rsidR="00DA0F56" w:rsidRPr="00DA0F56" w:rsidRDefault="00DA0F56" w:rsidP="00C12941">
            <w:pPr>
              <w:pStyle w:val="Normal-TableText"/>
              <w:rPr>
                <w:lang w:val="en-GB"/>
              </w:rPr>
            </w:pPr>
            <w:r w:rsidRPr="00DA0F56">
              <w:rPr>
                <w:lang w:val="en-GB"/>
              </w:rPr>
              <w:t>Networking and connections with other systems</w:t>
            </w:r>
          </w:p>
        </w:tc>
        <w:tc>
          <w:tcPr>
            <w:tcW w:w="2510" w:type="pct"/>
          </w:tcPr>
          <w:p w14:paraId="0DF5A592" w14:textId="77777777" w:rsidR="00DA0F56" w:rsidRPr="00DA0F56" w:rsidRDefault="00DA0F56" w:rsidP="00C12941">
            <w:pPr>
              <w:pStyle w:val="Normal-TableText"/>
              <w:rPr>
                <w:lang w:val="en-GB"/>
              </w:rPr>
            </w:pPr>
            <w:r w:rsidRPr="00DA0F56">
              <w:rPr>
                <w:lang w:val="en-GB"/>
              </w:rPr>
              <w:t>Access control</w:t>
            </w:r>
          </w:p>
        </w:tc>
      </w:tr>
      <w:tr w:rsidR="00DA0F56" w:rsidRPr="00DA0F56" w14:paraId="39CDCD14" w14:textId="77777777" w:rsidTr="00EA4FAE">
        <w:tc>
          <w:tcPr>
            <w:tcW w:w="2490" w:type="pct"/>
          </w:tcPr>
          <w:p w14:paraId="058E5CA9" w14:textId="77777777" w:rsidR="00DA0F56" w:rsidRPr="00DA0F56" w:rsidRDefault="00DA0F56" w:rsidP="00C12941">
            <w:pPr>
              <w:pStyle w:val="Normal-TableText"/>
              <w:rPr>
                <w:lang w:val="en-GB"/>
              </w:rPr>
            </w:pPr>
            <w:r w:rsidRPr="00DA0F56">
              <w:rPr>
                <w:lang w:val="en-GB"/>
              </w:rPr>
              <w:t>Emergency procedures and cyber security incident management</w:t>
            </w:r>
          </w:p>
        </w:tc>
        <w:tc>
          <w:tcPr>
            <w:tcW w:w="2510" w:type="pct"/>
          </w:tcPr>
          <w:p w14:paraId="418581B5" w14:textId="77777777" w:rsidR="00DA0F56" w:rsidRPr="00DA0F56" w:rsidRDefault="00DA0F56" w:rsidP="00C12941">
            <w:pPr>
              <w:pStyle w:val="Normal-TableText"/>
              <w:rPr>
                <w:lang w:val="en-GB"/>
              </w:rPr>
            </w:pPr>
            <w:r w:rsidRPr="00DA0F56">
              <w:rPr>
                <w:lang w:val="en-GB"/>
              </w:rPr>
              <w:t>Personnel security, physical security and media control</w:t>
            </w:r>
          </w:p>
        </w:tc>
      </w:tr>
      <w:tr w:rsidR="00DA0F56" w:rsidRPr="00DA0F56" w14:paraId="234562D2" w14:textId="77777777" w:rsidTr="00EA4FAE">
        <w:tc>
          <w:tcPr>
            <w:tcW w:w="2490" w:type="pct"/>
          </w:tcPr>
          <w:p w14:paraId="27414751" w14:textId="77777777" w:rsidR="00DA0F56" w:rsidRPr="00DA0F56" w:rsidRDefault="00DA0F56" w:rsidP="00C12941">
            <w:pPr>
              <w:pStyle w:val="Normal-TableText"/>
              <w:rPr>
                <w:lang w:val="en-GB"/>
              </w:rPr>
            </w:pPr>
            <w:r w:rsidRPr="00DA0F56">
              <w:rPr>
                <w:lang w:val="en-GB"/>
              </w:rPr>
              <w:t>Information security awareness and training</w:t>
            </w:r>
          </w:p>
        </w:tc>
        <w:tc>
          <w:tcPr>
            <w:tcW w:w="2510" w:type="pct"/>
          </w:tcPr>
          <w:p w14:paraId="0E59BA1B" w14:textId="77777777" w:rsidR="00DA0F56" w:rsidRPr="00DA0F56" w:rsidRDefault="00DA0F56" w:rsidP="00C12941">
            <w:pPr>
              <w:pStyle w:val="Normal-TableText"/>
              <w:rPr>
                <w:lang w:val="en-GB"/>
              </w:rPr>
            </w:pPr>
            <w:r w:rsidRPr="00DA0F56">
              <w:rPr>
                <w:lang w:val="en-GB"/>
              </w:rPr>
              <w:t>Change management</w:t>
            </w:r>
          </w:p>
        </w:tc>
      </w:tr>
    </w:tbl>
    <w:p w14:paraId="2661653C" w14:textId="77777777" w:rsidR="00215226" w:rsidRPr="003E302C" w:rsidRDefault="00215226" w:rsidP="00575D58">
      <w:pPr>
        <w:pStyle w:val="Heading2Numbered"/>
      </w:pPr>
      <w:r w:rsidRPr="003E302C">
        <w:t>Protective Security Risk Review</w:t>
      </w:r>
      <w:bookmarkEnd w:id="225"/>
      <w:bookmarkEnd w:id="226"/>
      <w:bookmarkEnd w:id="227"/>
      <w:bookmarkEnd w:id="228"/>
    </w:p>
    <w:p w14:paraId="01756B91" w14:textId="77777777" w:rsidR="00215226" w:rsidRDefault="00215226" w:rsidP="00575D58">
      <w:r w:rsidRPr="001D7A27">
        <w:t>Security risks cannot be managed if they are unknown.</w:t>
      </w:r>
      <w:r>
        <w:t xml:space="preserve"> </w:t>
      </w:r>
      <w:r w:rsidRPr="001D7A27">
        <w:t xml:space="preserve">Even if they are known, failing to deal with them is a failure of security risk management. For this reason a PSRR and a SRMP are required to identify and manage security risks. </w:t>
      </w:r>
    </w:p>
    <w:p w14:paraId="10AC5911" w14:textId="77777777" w:rsidR="0031226E" w:rsidRPr="001D7A27" w:rsidRDefault="0031226E" w:rsidP="0031226E">
      <w:pPr>
        <w:pStyle w:val="BoxText"/>
      </w:pPr>
      <w:r w:rsidRPr="001D7A27">
        <w:t xml:space="preserve">Service Providers </w:t>
      </w:r>
      <w:r w:rsidRPr="00D825A0">
        <w:rPr>
          <w:rStyle w:val="Strong"/>
        </w:rPr>
        <w:t>MUST</w:t>
      </w:r>
      <w:r w:rsidRPr="001D7A27">
        <w:t xml:space="preserve"> ensure that every PKI-related system is covered by a PSRR and a SRMP.</w:t>
      </w:r>
    </w:p>
    <w:p w14:paraId="3EE1AE47" w14:textId="77777777" w:rsidR="00215226" w:rsidRPr="00B35F0B" w:rsidRDefault="00215226" w:rsidP="0031226E">
      <w:pPr>
        <w:pStyle w:val="Heading3"/>
      </w:pPr>
      <w:r w:rsidRPr="00B35F0B">
        <w:t>Risk Management Standards</w:t>
      </w:r>
    </w:p>
    <w:p w14:paraId="72E7BB9C" w14:textId="77777777" w:rsidR="00215226" w:rsidRPr="00B35F0B" w:rsidRDefault="00215226" w:rsidP="0031226E">
      <w:r w:rsidRPr="00B35F0B">
        <w:t xml:space="preserve">Service Providers </w:t>
      </w:r>
      <w:r w:rsidRPr="00D825A0">
        <w:rPr>
          <w:rStyle w:val="Strong"/>
        </w:rPr>
        <w:t>SHOULD</w:t>
      </w:r>
      <w:r w:rsidRPr="00B35F0B">
        <w:t xml:space="preserve"> develop the PSRR and SRMP in accordance with Australian or international standards for risk management.</w:t>
      </w:r>
    </w:p>
    <w:p w14:paraId="3F1541B7" w14:textId="77777777" w:rsidR="00215226" w:rsidRPr="00B35F0B" w:rsidRDefault="00215226" w:rsidP="0031226E">
      <w:r w:rsidRPr="00B35F0B">
        <w:t>Security risk management is of greater value to a Service Provider when it is based on an industry-recognised approach to risk management, such as those produced by Standards Australia and the International Organisation for Standardization (ISO) / International Electro-technical Commission (IEC).</w:t>
      </w:r>
    </w:p>
    <w:p w14:paraId="2D86CEA4" w14:textId="77777777" w:rsidR="00215226" w:rsidRPr="00B35F0B" w:rsidRDefault="00215226" w:rsidP="0031226E">
      <w:r w:rsidRPr="00B35F0B">
        <w:t>Standards Australia publishes AS/NSZ ISO 31000:2009 Risk Management Principles and Guidelines and HB 167:2006 Security Risk Management.</w:t>
      </w:r>
      <w:r>
        <w:t xml:space="preserve"> </w:t>
      </w:r>
      <w:r w:rsidRPr="00B35F0B">
        <w:t>The ISO/IEC has developed the risk management standard ISO/IEC 27005:2011 Information Technology – Security Techniques – Information Security Risk Management, as part of the ISO/IEC 27000 family of information security management system standards.</w:t>
      </w:r>
    </w:p>
    <w:p w14:paraId="27B23628" w14:textId="77777777" w:rsidR="00215226" w:rsidRPr="00B35F0B" w:rsidRDefault="00215226" w:rsidP="0031226E">
      <w:r w:rsidRPr="00B35F0B">
        <w:lastRenderedPageBreak/>
        <w:t>The PSRR addresses all aspects of a Service Provider’s operations (physical, logical and personnel) and addresses both internal and external threats.</w:t>
      </w:r>
      <w:r>
        <w:t xml:space="preserve"> </w:t>
      </w:r>
      <w:r w:rsidRPr="00B35F0B">
        <w:t>The PSRR should also consider the threat and risks to the provider not only from its own perspective but also from the perspective of Subscribers and Relying Parties.</w:t>
      </w:r>
    </w:p>
    <w:p w14:paraId="7AD4686E" w14:textId="77777777" w:rsidR="00215226" w:rsidRPr="00B35F0B" w:rsidRDefault="00215226" w:rsidP="0031226E">
      <w:r w:rsidRPr="00B35F0B">
        <w:t>Protection of business-critical assets involves the identification and classification of threats and risks to the Service Provider’s PKI services, assets and business processes; and the development and implementation of appropriate risk management strategies.</w:t>
      </w:r>
    </w:p>
    <w:p w14:paraId="41B7443D" w14:textId="77777777" w:rsidR="00215226" w:rsidRDefault="00215226" w:rsidP="0031226E">
      <w:pPr>
        <w:pStyle w:val="BoxText"/>
      </w:pPr>
      <w:r w:rsidRPr="00B35F0B">
        <w:t xml:space="preserve">Service Providers </w:t>
      </w:r>
      <w:r w:rsidRPr="00D825A0">
        <w:rPr>
          <w:rStyle w:val="Strong"/>
        </w:rPr>
        <w:t>MUST</w:t>
      </w:r>
      <w:r w:rsidRPr="00B35F0B">
        <w:t xml:space="preserve"> document their risk tolerance threshold.</w:t>
      </w:r>
      <w:r>
        <w:t xml:space="preserve"> </w:t>
      </w:r>
      <w:r w:rsidRPr="00B35F0B">
        <w:t xml:space="preserve">Security risks deemed acceptable </w:t>
      </w:r>
      <w:r w:rsidRPr="00D825A0">
        <w:rPr>
          <w:rStyle w:val="Strong"/>
        </w:rPr>
        <w:t>MUST</w:t>
      </w:r>
      <w:r w:rsidRPr="00B35F0B">
        <w:t xml:space="preserve"> be formally accepted by the responsible authority and continually monitored</w:t>
      </w:r>
    </w:p>
    <w:p w14:paraId="2EC1B0CD" w14:textId="77777777" w:rsidR="00215226" w:rsidRDefault="00215226" w:rsidP="0031226E">
      <w:r w:rsidRPr="00B35F0B">
        <w:t>The PSRR contributes to the development of the SRMP.</w:t>
      </w:r>
      <w:r>
        <w:t xml:space="preserve"> </w:t>
      </w:r>
      <w:r w:rsidRPr="00B35F0B">
        <w:t>This element of the Service Provider’s Information Security Documentation sets out effective threat mitigation plans that reduce residual risk to a level that is acceptable to the Service Provider.</w:t>
      </w:r>
    </w:p>
    <w:p w14:paraId="57A87DBD" w14:textId="77777777" w:rsidR="00215226" w:rsidRPr="00B35F0B" w:rsidRDefault="00215226" w:rsidP="0031226E">
      <w:r w:rsidRPr="00B35F0B">
        <w:t xml:space="preserve">Service Providers </w:t>
      </w:r>
      <w:r w:rsidRPr="00D825A0">
        <w:rPr>
          <w:rStyle w:val="Strong"/>
        </w:rPr>
        <w:t>SHOULD</w:t>
      </w:r>
      <w:r w:rsidRPr="00B35F0B">
        <w:t xml:space="preserve"> consider the following non-exhaustive list</w:t>
      </w:r>
      <w:r w:rsidRPr="00E64190">
        <w:rPr>
          <w:rStyle w:val="FootnoteReference"/>
        </w:rPr>
        <w:footnoteReference w:id="14"/>
      </w:r>
      <w:r w:rsidRPr="00B35F0B">
        <w:t xml:space="preserve"> of typical information security threats when developing their PSRR:</w:t>
      </w:r>
    </w:p>
    <w:tbl>
      <w:tblPr>
        <w:tblStyle w:val="DTOTable1"/>
        <w:tblW w:w="4914"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944"/>
        <w:gridCol w:w="3560"/>
        <w:gridCol w:w="3400"/>
      </w:tblGrid>
      <w:tr w:rsidR="00EA4FAE" w:rsidRPr="00EA4FAE" w14:paraId="04454793" w14:textId="77777777" w:rsidTr="00C12941">
        <w:trPr>
          <w:cnfStyle w:val="100000000000" w:firstRow="1" w:lastRow="0" w:firstColumn="0" w:lastColumn="0" w:oddVBand="0" w:evenVBand="0" w:oddHBand="0" w:evenHBand="0" w:firstRowFirstColumn="0" w:firstRowLastColumn="0" w:lastRowFirstColumn="0" w:lastRowLastColumn="0"/>
          <w:tblHeader/>
        </w:trPr>
        <w:tc>
          <w:tcPr>
            <w:tcW w:w="1092" w:type="pct"/>
          </w:tcPr>
          <w:p w14:paraId="48A1ECCA" w14:textId="77777777" w:rsidR="00EA4FAE" w:rsidRPr="00EA4FAE" w:rsidRDefault="00EA4FAE" w:rsidP="00FF121B">
            <w:pPr>
              <w:pStyle w:val="Normal-TableText"/>
              <w:rPr>
                <w:lang w:val="en-GB"/>
              </w:rPr>
            </w:pPr>
            <w:bookmarkStart w:id="229" w:name="_Toc390862343"/>
            <w:bookmarkStart w:id="230" w:name="_Toc426636699"/>
            <w:bookmarkStart w:id="231" w:name="_Toc426639983"/>
            <w:bookmarkStart w:id="232" w:name="_Toc430268935"/>
            <w:r w:rsidRPr="00EA4FAE">
              <w:rPr>
                <w:lang w:val="en-GB"/>
              </w:rPr>
              <w:t>Type</w:t>
            </w:r>
          </w:p>
        </w:tc>
        <w:tc>
          <w:tcPr>
            <w:tcW w:w="3908" w:type="pct"/>
            <w:gridSpan w:val="2"/>
          </w:tcPr>
          <w:p w14:paraId="0705CAE4" w14:textId="77777777" w:rsidR="00EA4FAE" w:rsidRPr="00EA4FAE" w:rsidRDefault="00EA4FAE" w:rsidP="00FF121B">
            <w:pPr>
              <w:pStyle w:val="Normal-TableText"/>
              <w:rPr>
                <w:lang w:val="en-GB"/>
              </w:rPr>
            </w:pPr>
            <w:r w:rsidRPr="00EA4FAE">
              <w:rPr>
                <w:lang w:val="en-GB"/>
              </w:rPr>
              <w:t>Threat Source</w:t>
            </w:r>
          </w:p>
        </w:tc>
      </w:tr>
      <w:tr w:rsidR="00EA4FAE" w:rsidRPr="00EA4FAE" w14:paraId="7D748AE8" w14:textId="77777777" w:rsidTr="00EA4FAE">
        <w:tc>
          <w:tcPr>
            <w:tcW w:w="1092" w:type="pct"/>
            <w:vMerge w:val="restart"/>
          </w:tcPr>
          <w:p w14:paraId="70D79576" w14:textId="77777777" w:rsidR="00EA4FAE" w:rsidRPr="00EA4FAE" w:rsidRDefault="00EA4FAE" w:rsidP="00FF121B">
            <w:pPr>
              <w:pStyle w:val="Normal-TableText"/>
              <w:rPr>
                <w:lang w:val="en-GB"/>
              </w:rPr>
            </w:pPr>
            <w:r w:rsidRPr="00EA4FAE">
              <w:rPr>
                <w:lang w:val="en-GB"/>
              </w:rPr>
              <w:t>Physical Damage</w:t>
            </w:r>
          </w:p>
        </w:tc>
        <w:tc>
          <w:tcPr>
            <w:tcW w:w="1999" w:type="pct"/>
          </w:tcPr>
          <w:p w14:paraId="198DBF83" w14:textId="77777777" w:rsidR="00EA4FAE" w:rsidRPr="00EA4FAE" w:rsidRDefault="00EA4FAE" w:rsidP="00FF121B">
            <w:pPr>
              <w:pStyle w:val="Normal-TableText"/>
              <w:rPr>
                <w:lang w:val="en-GB"/>
              </w:rPr>
            </w:pPr>
            <w:r w:rsidRPr="00EA4FAE">
              <w:rPr>
                <w:lang w:val="en-GB"/>
              </w:rPr>
              <w:t xml:space="preserve">Fire, water </w:t>
            </w:r>
          </w:p>
        </w:tc>
        <w:tc>
          <w:tcPr>
            <w:tcW w:w="1909" w:type="pct"/>
          </w:tcPr>
          <w:p w14:paraId="6DF8D0F0" w14:textId="77777777" w:rsidR="00EA4FAE" w:rsidRPr="00EA4FAE" w:rsidRDefault="00EA4FAE" w:rsidP="00FF121B">
            <w:pPr>
              <w:pStyle w:val="Normal-TableText"/>
              <w:rPr>
                <w:lang w:val="en-GB"/>
              </w:rPr>
            </w:pPr>
            <w:r w:rsidRPr="00EA4FAE">
              <w:rPr>
                <w:lang w:val="en-GB"/>
              </w:rPr>
              <w:t>Destruction of equipment</w:t>
            </w:r>
          </w:p>
        </w:tc>
      </w:tr>
      <w:tr w:rsidR="00EA4FAE" w:rsidRPr="00EA4FAE" w14:paraId="19D987DA" w14:textId="77777777" w:rsidTr="00EA4FAE">
        <w:tc>
          <w:tcPr>
            <w:tcW w:w="1092" w:type="pct"/>
            <w:vMerge/>
          </w:tcPr>
          <w:p w14:paraId="7B01F311" w14:textId="77777777" w:rsidR="00EA4FAE" w:rsidRPr="00EA4FAE" w:rsidRDefault="00EA4FAE" w:rsidP="00FF121B">
            <w:pPr>
              <w:pStyle w:val="Normal-TableText"/>
              <w:rPr>
                <w:lang w:val="en-GB"/>
              </w:rPr>
            </w:pPr>
          </w:p>
        </w:tc>
        <w:tc>
          <w:tcPr>
            <w:tcW w:w="1999" w:type="pct"/>
          </w:tcPr>
          <w:p w14:paraId="14D6DF12" w14:textId="77777777" w:rsidR="00EA4FAE" w:rsidRPr="00EA4FAE" w:rsidRDefault="00EA4FAE" w:rsidP="00FF121B">
            <w:pPr>
              <w:pStyle w:val="Normal-TableText"/>
              <w:rPr>
                <w:lang w:val="en-GB"/>
              </w:rPr>
            </w:pPr>
            <w:r w:rsidRPr="00EA4FAE">
              <w:rPr>
                <w:lang w:val="en-GB"/>
              </w:rPr>
              <w:t>Dust, corrosion, freezing</w:t>
            </w:r>
          </w:p>
        </w:tc>
        <w:tc>
          <w:tcPr>
            <w:tcW w:w="1909" w:type="pct"/>
          </w:tcPr>
          <w:p w14:paraId="12386DD0" w14:textId="77777777" w:rsidR="00EA4FAE" w:rsidRPr="00EA4FAE" w:rsidRDefault="00EA4FAE" w:rsidP="00FF121B">
            <w:pPr>
              <w:pStyle w:val="Normal-TableText"/>
              <w:rPr>
                <w:lang w:val="en-GB"/>
              </w:rPr>
            </w:pPr>
            <w:r w:rsidRPr="00EA4FAE">
              <w:rPr>
                <w:lang w:val="en-GB"/>
              </w:rPr>
              <w:t>Pollution</w:t>
            </w:r>
          </w:p>
        </w:tc>
      </w:tr>
      <w:tr w:rsidR="00EA4FAE" w:rsidRPr="00EA4FAE" w14:paraId="26FCD7B9" w14:textId="77777777" w:rsidTr="00EA4FAE">
        <w:trPr>
          <w:trHeight w:val="305"/>
        </w:trPr>
        <w:tc>
          <w:tcPr>
            <w:tcW w:w="1092" w:type="pct"/>
            <w:vMerge/>
          </w:tcPr>
          <w:p w14:paraId="493D6E04" w14:textId="77777777" w:rsidR="00EA4FAE" w:rsidRPr="00EA4FAE" w:rsidRDefault="00EA4FAE" w:rsidP="00FF121B">
            <w:pPr>
              <w:pStyle w:val="Normal-TableText"/>
              <w:rPr>
                <w:lang w:val="en-GB"/>
              </w:rPr>
            </w:pPr>
          </w:p>
        </w:tc>
        <w:tc>
          <w:tcPr>
            <w:tcW w:w="1999" w:type="pct"/>
          </w:tcPr>
          <w:p w14:paraId="54B275A8" w14:textId="77777777" w:rsidR="00EA4FAE" w:rsidRPr="00EA4FAE" w:rsidRDefault="00EA4FAE" w:rsidP="00FF121B">
            <w:pPr>
              <w:pStyle w:val="Normal-TableText"/>
              <w:rPr>
                <w:lang w:val="en-GB"/>
              </w:rPr>
            </w:pPr>
            <w:r w:rsidRPr="00EA4FAE">
              <w:rPr>
                <w:lang w:val="en-GB"/>
              </w:rPr>
              <w:t>Facility security breach</w:t>
            </w:r>
          </w:p>
        </w:tc>
        <w:tc>
          <w:tcPr>
            <w:tcW w:w="1909" w:type="pct"/>
          </w:tcPr>
          <w:p w14:paraId="5D587E94" w14:textId="77777777" w:rsidR="00EA4FAE" w:rsidRPr="00EA4FAE" w:rsidRDefault="00EA4FAE" w:rsidP="00FF121B">
            <w:pPr>
              <w:pStyle w:val="Normal-TableText"/>
            </w:pPr>
          </w:p>
        </w:tc>
      </w:tr>
      <w:tr w:rsidR="00EA4FAE" w:rsidRPr="00EA4FAE" w14:paraId="33231A0E" w14:textId="77777777" w:rsidTr="00EA4FAE">
        <w:tc>
          <w:tcPr>
            <w:tcW w:w="1092" w:type="pct"/>
            <w:vMerge w:val="restart"/>
          </w:tcPr>
          <w:p w14:paraId="4CEC9385" w14:textId="77777777" w:rsidR="00EA4FAE" w:rsidRPr="00EA4FAE" w:rsidRDefault="00EA4FAE" w:rsidP="00FF121B">
            <w:pPr>
              <w:pStyle w:val="Normal-TableText"/>
              <w:rPr>
                <w:lang w:val="en-GB"/>
              </w:rPr>
            </w:pPr>
            <w:r w:rsidRPr="00EA4FAE">
              <w:rPr>
                <w:lang w:val="en-GB"/>
              </w:rPr>
              <w:t xml:space="preserve"> </w:t>
            </w:r>
            <w:r w:rsidRPr="00EA4FAE">
              <w:rPr>
                <w:lang w:val="en-GB"/>
              </w:rPr>
              <w:br w:type="page"/>
              <w:t>Natural events</w:t>
            </w:r>
          </w:p>
        </w:tc>
        <w:tc>
          <w:tcPr>
            <w:tcW w:w="1999" w:type="pct"/>
          </w:tcPr>
          <w:p w14:paraId="2AE441D0" w14:textId="77777777" w:rsidR="00EA4FAE" w:rsidRPr="00EA4FAE" w:rsidRDefault="00EA4FAE" w:rsidP="00FF121B">
            <w:pPr>
              <w:pStyle w:val="Normal-TableText"/>
              <w:rPr>
                <w:lang w:val="en-GB"/>
              </w:rPr>
            </w:pPr>
            <w:r w:rsidRPr="00EA4FAE">
              <w:rPr>
                <w:lang w:val="en-GB"/>
              </w:rPr>
              <w:t>Climatic or Seismic phenomenon</w:t>
            </w:r>
          </w:p>
        </w:tc>
        <w:tc>
          <w:tcPr>
            <w:tcW w:w="1909" w:type="pct"/>
          </w:tcPr>
          <w:p w14:paraId="11BDA301" w14:textId="77777777" w:rsidR="00EA4FAE" w:rsidRPr="00EA4FAE" w:rsidRDefault="00EA4FAE" w:rsidP="00FF121B">
            <w:pPr>
              <w:pStyle w:val="Normal-TableText"/>
              <w:rPr>
                <w:lang w:val="en-GB"/>
              </w:rPr>
            </w:pPr>
            <w:r w:rsidRPr="00EA4FAE">
              <w:rPr>
                <w:lang w:val="en-GB"/>
              </w:rPr>
              <w:t>Flood</w:t>
            </w:r>
          </w:p>
        </w:tc>
      </w:tr>
      <w:tr w:rsidR="00EA4FAE" w:rsidRPr="00EA4FAE" w14:paraId="5963099C" w14:textId="77777777" w:rsidTr="00EA4FAE">
        <w:tc>
          <w:tcPr>
            <w:tcW w:w="1092" w:type="pct"/>
            <w:vMerge/>
          </w:tcPr>
          <w:p w14:paraId="64AB69DE" w14:textId="77777777" w:rsidR="00EA4FAE" w:rsidRPr="00EA4FAE" w:rsidRDefault="00EA4FAE" w:rsidP="00FF121B">
            <w:pPr>
              <w:pStyle w:val="Normal-TableText"/>
              <w:rPr>
                <w:lang w:val="en-GB"/>
              </w:rPr>
            </w:pPr>
          </w:p>
        </w:tc>
        <w:tc>
          <w:tcPr>
            <w:tcW w:w="1999" w:type="pct"/>
          </w:tcPr>
          <w:p w14:paraId="1F09613C" w14:textId="77777777" w:rsidR="00EA4FAE" w:rsidRPr="00EA4FAE" w:rsidRDefault="00EA4FAE" w:rsidP="00FF121B">
            <w:pPr>
              <w:pStyle w:val="Normal-TableText"/>
              <w:rPr>
                <w:lang w:val="en-GB"/>
              </w:rPr>
            </w:pPr>
            <w:r w:rsidRPr="00EA4FAE">
              <w:rPr>
                <w:lang w:val="en-GB"/>
              </w:rPr>
              <w:t>Volcanic or Meteorological phenomenon</w:t>
            </w:r>
          </w:p>
        </w:tc>
        <w:tc>
          <w:tcPr>
            <w:tcW w:w="1909" w:type="pct"/>
          </w:tcPr>
          <w:p w14:paraId="45E410BD" w14:textId="77777777" w:rsidR="00EA4FAE" w:rsidRPr="00EA4FAE" w:rsidRDefault="00EA4FAE" w:rsidP="00FF121B">
            <w:pPr>
              <w:pStyle w:val="Normal-TableText"/>
              <w:rPr>
                <w:lang w:val="en-GB"/>
              </w:rPr>
            </w:pPr>
            <w:r w:rsidRPr="00EA4FAE">
              <w:rPr>
                <w:lang w:val="en-GB"/>
              </w:rPr>
              <w:t>Bush fire</w:t>
            </w:r>
          </w:p>
        </w:tc>
      </w:tr>
      <w:tr w:rsidR="00EA4FAE" w:rsidRPr="00EA4FAE" w14:paraId="45AF2CC6" w14:textId="77777777" w:rsidTr="00EA4FAE">
        <w:tc>
          <w:tcPr>
            <w:tcW w:w="1092" w:type="pct"/>
            <w:vMerge w:val="restart"/>
          </w:tcPr>
          <w:p w14:paraId="4774958A" w14:textId="77777777" w:rsidR="00EA4FAE" w:rsidRPr="00EA4FAE" w:rsidRDefault="00EA4FAE" w:rsidP="00FF121B">
            <w:pPr>
              <w:pStyle w:val="Normal-TableText"/>
              <w:rPr>
                <w:lang w:val="en-GB"/>
              </w:rPr>
            </w:pPr>
            <w:r w:rsidRPr="00EA4FAE">
              <w:rPr>
                <w:lang w:val="en-GB"/>
              </w:rPr>
              <w:t>Loss of essential service</w:t>
            </w:r>
          </w:p>
        </w:tc>
        <w:tc>
          <w:tcPr>
            <w:tcW w:w="1999" w:type="pct"/>
          </w:tcPr>
          <w:p w14:paraId="5E99B03D" w14:textId="77777777" w:rsidR="00EA4FAE" w:rsidRPr="00EA4FAE" w:rsidRDefault="00EA4FAE" w:rsidP="00FF121B">
            <w:pPr>
              <w:pStyle w:val="Normal-TableText"/>
              <w:rPr>
                <w:lang w:val="en-GB"/>
              </w:rPr>
            </w:pPr>
            <w:r w:rsidRPr="00EA4FAE">
              <w:rPr>
                <w:lang w:val="en-GB"/>
              </w:rPr>
              <w:t>Failure of air conditioning or water supply system</w:t>
            </w:r>
          </w:p>
        </w:tc>
        <w:tc>
          <w:tcPr>
            <w:tcW w:w="1909" w:type="pct"/>
          </w:tcPr>
          <w:p w14:paraId="490AFD96" w14:textId="77777777" w:rsidR="00EA4FAE" w:rsidRPr="00EA4FAE" w:rsidRDefault="00EA4FAE" w:rsidP="00FF121B">
            <w:pPr>
              <w:pStyle w:val="Normal-TableText"/>
              <w:rPr>
                <w:lang w:val="en-GB"/>
              </w:rPr>
            </w:pPr>
            <w:r w:rsidRPr="00EA4FAE">
              <w:rPr>
                <w:lang w:val="en-GB"/>
              </w:rPr>
              <w:t>Loss of power supply</w:t>
            </w:r>
          </w:p>
        </w:tc>
      </w:tr>
      <w:tr w:rsidR="00EA4FAE" w:rsidRPr="00EA4FAE" w14:paraId="4AB19973" w14:textId="77777777" w:rsidTr="00EA4FAE">
        <w:tc>
          <w:tcPr>
            <w:tcW w:w="1092" w:type="pct"/>
            <w:vMerge/>
          </w:tcPr>
          <w:p w14:paraId="6C557421" w14:textId="77777777" w:rsidR="00EA4FAE" w:rsidRPr="00EA4FAE" w:rsidRDefault="00EA4FAE" w:rsidP="00FF121B">
            <w:pPr>
              <w:pStyle w:val="Normal-TableText"/>
              <w:rPr>
                <w:lang w:val="en-GB"/>
              </w:rPr>
            </w:pPr>
          </w:p>
        </w:tc>
        <w:tc>
          <w:tcPr>
            <w:tcW w:w="3908" w:type="pct"/>
            <w:gridSpan w:val="2"/>
          </w:tcPr>
          <w:p w14:paraId="25550BC7" w14:textId="77777777" w:rsidR="00EA4FAE" w:rsidRPr="00EA4FAE" w:rsidRDefault="00EA4FAE" w:rsidP="00FF121B">
            <w:pPr>
              <w:pStyle w:val="Normal-TableText"/>
            </w:pPr>
            <w:r w:rsidRPr="00EA4FAE">
              <w:t>Failure of telecommunications equipment</w:t>
            </w:r>
          </w:p>
        </w:tc>
      </w:tr>
      <w:tr w:rsidR="00EA4FAE" w:rsidRPr="00EA4FAE" w14:paraId="20352860" w14:textId="77777777" w:rsidTr="00EA4FAE">
        <w:tc>
          <w:tcPr>
            <w:tcW w:w="1092" w:type="pct"/>
            <w:vMerge w:val="restart"/>
          </w:tcPr>
          <w:p w14:paraId="1A58A78C" w14:textId="77777777" w:rsidR="00EA4FAE" w:rsidRPr="00EA4FAE" w:rsidRDefault="00EA4FAE" w:rsidP="00FF121B">
            <w:pPr>
              <w:pStyle w:val="Normal-TableText"/>
              <w:rPr>
                <w:lang w:val="en-GB"/>
              </w:rPr>
            </w:pPr>
            <w:r w:rsidRPr="00EA4FAE">
              <w:rPr>
                <w:lang w:val="en-GB"/>
              </w:rPr>
              <w:br w:type="page"/>
              <w:t>Compromise of information</w:t>
            </w:r>
          </w:p>
        </w:tc>
        <w:tc>
          <w:tcPr>
            <w:tcW w:w="1999" w:type="pct"/>
          </w:tcPr>
          <w:p w14:paraId="5620665F" w14:textId="77777777" w:rsidR="00EA4FAE" w:rsidRPr="00EA4FAE" w:rsidRDefault="00EA4FAE" w:rsidP="00FF121B">
            <w:pPr>
              <w:pStyle w:val="Normal-TableText"/>
              <w:rPr>
                <w:lang w:val="en-GB"/>
              </w:rPr>
            </w:pPr>
            <w:r w:rsidRPr="00EA4FAE">
              <w:rPr>
                <w:lang w:val="en-GB"/>
              </w:rPr>
              <w:t>Data from untrustworthy sources</w:t>
            </w:r>
          </w:p>
        </w:tc>
        <w:tc>
          <w:tcPr>
            <w:tcW w:w="1909" w:type="pct"/>
          </w:tcPr>
          <w:p w14:paraId="3404336A" w14:textId="77777777" w:rsidR="00EA4FAE" w:rsidRPr="00EA4FAE" w:rsidRDefault="00EA4FAE" w:rsidP="00FF121B">
            <w:pPr>
              <w:pStyle w:val="Normal-TableText"/>
              <w:rPr>
                <w:lang w:val="en-GB"/>
              </w:rPr>
            </w:pPr>
            <w:r w:rsidRPr="00EA4FAE">
              <w:rPr>
                <w:lang w:val="en-GB"/>
              </w:rPr>
              <w:t>Interception of compromised interference signals</w:t>
            </w:r>
          </w:p>
        </w:tc>
      </w:tr>
      <w:tr w:rsidR="00EA4FAE" w:rsidRPr="00EA4FAE" w14:paraId="775A3C84" w14:textId="77777777" w:rsidTr="00EA4FAE">
        <w:tc>
          <w:tcPr>
            <w:tcW w:w="1092" w:type="pct"/>
            <w:vMerge/>
          </w:tcPr>
          <w:p w14:paraId="325AAD90" w14:textId="77777777" w:rsidR="00EA4FAE" w:rsidRPr="00EA4FAE" w:rsidRDefault="00EA4FAE" w:rsidP="00FF121B">
            <w:pPr>
              <w:pStyle w:val="Normal-TableText"/>
              <w:rPr>
                <w:lang w:val="en-GB"/>
              </w:rPr>
            </w:pPr>
          </w:p>
        </w:tc>
        <w:tc>
          <w:tcPr>
            <w:tcW w:w="1999" w:type="pct"/>
          </w:tcPr>
          <w:p w14:paraId="5BC13A1D" w14:textId="77777777" w:rsidR="00EA4FAE" w:rsidRPr="00EA4FAE" w:rsidRDefault="00EA4FAE" w:rsidP="00FF121B">
            <w:pPr>
              <w:pStyle w:val="Normal-TableText"/>
              <w:rPr>
                <w:lang w:val="en-GB"/>
              </w:rPr>
            </w:pPr>
            <w:r w:rsidRPr="00EA4FAE">
              <w:rPr>
                <w:lang w:val="en-GB"/>
              </w:rPr>
              <w:t>Remote spying</w:t>
            </w:r>
          </w:p>
        </w:tc>
        <w:tc>
          <w:tcPr>
            <w:tcW w:w="1909" w:type="pct"/>
          </w:tcPr>
          <w:p w14:paraId="1EDF4B58" w14:textId="77777777" w:rsidR="00EA4FAE" w:rsidRPr="00EA4FAE" w:rsidRDefault="00EA4FAE" w:rsidP="00FF121B">
            <w:pPr>
              <w:pStyle w:val="Normal-TableText"/>
              <w:rPr>
                <w:lang w:val="en-GB"/>
              </w:rPr>
            </w:pPr>
            <w:r w:rsidRPr="00EA4FAE">
              <w:rPr>
                <w:lang w:val="en-GB"/>
              </w:rPr>
              <w:t>Tampering with hardware</w:t>
            </w:r>
          </w:p>
        </w:tc>
      </w:tr>
      <w:tr w:rsidR="00EA4FAE" w:rsidRPr="00EA4FAE" w14:paraId="6B37E41C" w14:textId="77777777" w:rsidTr="00EA4FAE">
        <w:tc>
          <w:tcPr>
            <w:tcW w:w="1092" w:type="pct"/>
            <w:vMerge/>
          </w:tcPr>
          <w:p w14:paraId="5BD09414" w14:textId="77777777" w:rsidR="00EA4FAE" w:rsidRPr="00EA4FAE" w:rsidRDefault="00EA4FAE" w:rsidP="00FF121B">
            <w:pPr>
              <w:pStyle w:val="Normal-TableText"/>
              <w:rPr>
                <w:lang w:val="en-GB"/>
              </w:rPr>
            </w:pPr>
          </w:p>
        </w:tc>
        <w:tc>
          <w:tcPr>
            <w:tcW w:w="1999" w:type="pct"/>
          </w:tcPr>
          <w:p w14:paraId="6BCDB47B" w14:textId="77777777" w:rsidR="00EA4FAE" w:rsidRPr="00EA4FAE" w:rsidRDefault="00EA4FAE" w:rsidP="00FF121B">
            <w:pPr>
              <w:pStyle w:val="Normal-TableText"/>
              <w:rPr>
                <w:lang w:val="en-GB"/>
              </w:rPr>
            </w:pPr>
            <w:r w:rsidRPr="00EA4FAE">
              <w:rPr>
                <w:lang w:val="en-GB"/>
              </w:rPr>
              <w:t>Eavesdropping</w:t>
            </w:r>
          </w:p>
        </w:tc>
        <w:tc>
          <w:tcPr>
            <w:tcW w:w="1909" w:type="pct"/>
          </w:tcPr>
          <w:p w14:paraId="4D91BE21" w14:textId="77777777" w:rsidR="00EA4FAE" w:rsidRPr="00EA4FAE" w:rsidRDefault="00EA4FAE" w:rsidP="00FF121B">
            <w:pPr>
              <w:pStyle w:val="Normal-TableText"/>
              <w:rPr>
                <w:lang w:val="en-GB"/>
              </w:rPr>
            </w:pPr>
            <w:r w:rsidRPr="00EA4FAE">
              <w:rPr>
                <w:lang w:val="en-GB"/>
              </w:rPr>
              <w:t>Tampering with software</w:t>
            </w:r>
          </w:p>
        </w:tc>
      </w:tr>
      <w:tr w:rsidR="00EA4FAE" w:rsidRPr="00EA4FAE" w14:paraId="50AD0297" w14:textId="77777777" w:rsidTr="00EA4FAE">
        <w:tc>
          <w:tcPr>
            <w:tcW w:w="1092" w:type="pct"/>
            <w:vMerge/>
          </w:tcPr>
          <w:p w14:paraId="5A36E421" w14:textId="77777777" w:rsidR="00EA4FAE" w:rsidRPr="00EA4FAE" w:rsidRDefault="00EA4FAE" w:rsidP="00FF121B">
            <w:pPr>
              <w:pStyle w:val="Normal-TableText"/>
              <w:rPr>
                <w:lang w:val="en-GB"/>
              </w:rPr>
            </w:pPr>
          </w:p>
        </w:tc>
        <w:tc>
          <w:tcPr>
            <w:tcW w:w="1999" w:type="pct"/>
          </w:tcPr>
          <w:p w14:paraId="06DABDCD" w14:textId="77777777" w:rsidR="00EA4FAE" w:rsidRPr="00EA4FAE" w:rsidRDefault="00EA4FAE" w:rsidP="00FF121B">
            <w:pPr>
              <w:pStyle w:val="Normal-TableText"/>
              <w:rPr>
                <w:lang w:val="en-GB"/>
              </w:rPr>
            </w:pPr>
            <w:r w:rsidRPr="00EA4FAE">
              <w:rPr>
                <w:lang w:val="en-GB"/>
              </w:rPr>
              <w:t>Theft of media or documents</w:t>
            </w:r>
          </w:p>
        </w:tc>
        <w:tc>
          <w:tcPr>
            <w:tcW w:w="1909" w:type="pct"/>
          </w:tcPr>
          <w:p w14:paraId="10B025F6" w14:textId="77777777" w:rsidR="00EA4FAE" w:rsidRPr="00EA4FAE" w:rsidRDefault="00EA4FAE" w:rsidP="00FF121B">
            <w:pPr>
              <w:pStyle w:val="Normal-TableText"/>
              <w:rPr>
                <w:lang w:val="en-GB"/>
              </w:rPr>
            </w:pPr>
            <w:r w:rsidRPr="00EA4FAE">
              <w:rPr>
                <w:lang w:val="en-GB"/>
              </w:rPr>
              <w:t>Theft of equipment</w:t>
            </w:r>
          </w:p>
        </w:tc>
      </w:tr>
      <w:tr w:rsidR="00EA4FAE" w:rsidRPr="00EA4FAE" w14:paraId="429921BB" w14:textId="77777777" w:rsidTr="00EA4FAE">
        <w:tc>
          <w:tcPr>
            <w:tcW w:w="1092" w:type="pct"/>
            <w:vMerge/>
          </w:tcPr>
          <w:p w14:paraId="18494BDA" w14:textId="77777777" w:rsidR="00EA4FAE" w:rsidRPr="00EA4FAE" w:rsidRDefault="00EA4FAE" w:rsidP="00FF121B">
            <w:pPr>
              <w:pStyle w:val="Normal-TableText"/>
              <w:rPr>
                <w:lang w:val="en-GB"/>
              </w:rPr>
            </w:pPr>
          </w:p>
        </w:tc>
        <w:tc>
          <w:tcPr>
            <w:tcW w:w="1999" w:type="pct"/>
          </w:tcPr>
          <w:p w14:paraId="4EEF9A60" w14:textId="77777777" w:rsidR="00EA4FAE" w:rsidRPr="00EA4FAE" w:rsidRDefault="00EA4FAE" w:rsidP="00FF121B">
            <w:pPr>
              <w:pStyle w:val="Normal-TableText"/>
              <w:rPr>
                <w:lang w:val="en-GB"/>
              </w:rPr>
            </w:pPr>
            <w:r w:rsidRPr="00EA4FAE">
              <w:rPr>
                <w:lang w:val="en-GB"/>
              </w:rPr>
              <w:t>Retrieval of recycled or discarded media</w:t>
            </w:r>
          </w:p>
        </w:tc>
        <w:tc>
          <w:tcPr>
            <w:tcW w:w="1909" w:type="pct"/>
          </w:tcPr>
          <w:p w14:paraId="590226D8" w14:textId="77777777" w:rsidR="00EA4FAE" w:rsidRPr="00EA4FAE" w:rsidRDefault="00EA4FAE" w:rsidP="00FF121B">
            <w:pPr>
              <w:pStyle w:val="Normal-TableText"/>
              <w:rPr>
                <w:lang w:val="en-GB"/>
              </w:rPr>
            </w:pPr>
            <w:r w:rsidRPr="00EA4FAE">
              <w:rPr>
                <w:lang w:val="en-GB"/>
              </w:rPr>
              <w:t>Unauthorised disclosure</w:t>
            </w:r>
          </w:p>
        </w:tc>
      </w:tr>
      <w:tr w:rsidR="00EA4FAE" w:rsidRPr="00EA4FAE" w14:paraId="6420273F" w14:textId="77777777" w:rsidTr="00EA4FAE">
        <w:tc>
          <w:tcPr>
            <w:tcW w:w="1092" w:type="pct"/>
            <w:vMerge w:val="restart"/>
          </w:tcPr>
          <w:p w14:paraId="07AFE70B" w14:textId="77777777" w:rsidR="00EA4FAE" w:rsidRPr="00EA4FAE" w:rsidRDefault="00EA4FAE" w:rsidP="00C12941">
            <w:pPr>
              <w:pStyle w:val="Normal-TableText"/>
              <w:pageBreakBefore/>
              <w:rPr>
                <w:lang w:val="en-GB"/>
              </w:rPr>
            </w:pPr>
            <w:r w:rsidRPr="00EA4FAE">
              <w:rPr>
                <w:lang w:val="en-GB"/>
              </w:rPr>
              <w:lastRenderedPageBreak/>
              <w:t>Technical failures</w:t>
            </w:r>
          </w:p>
        </w:tc>
        <w:tc>
          <w:tcPr>
            <w:tcW w:w="1999" w:type="pct"/>
          </w:tcPr>
          <w:p w14:paraId="023F37E3" w14:textId="77777777" w:rsidR="00EA4FAE" w:rsidRPr="00EA4FAE" w:rsidRDefault="00EA4FAE" w:rsidP="00C12941">
            <w:pPr>
              <w:pStyle w:val="Normal-TableText"/>
              <w:keepNext/>
              <w:rPr>
                <w:lang w:val="en-GB"/>
              </w:rPr>
            </w:pPr>
            <w:r w:rsidRPr="00EA4FAE">
              <w:rPr>
                <w:lang w:val="en-GB"/>
              </w:rPr>
              <w:t>Equipment failure or malfunction</w:t>
            </w:r>
          </w:p>
        </w:tc>
        <w:tc>
          <w:tcPr>
            <w:tcW w:w="1909" w:type="pct"/>
          </w:tcPr>
          <w:p w14:paraId="4E4FBD5B" w14:textId="77777777" w:rsidR="00EA4FAE" w:rsidRPr="00EA4FAE" w:rsidRDefault="00EA4FAE" w:rsidP="00FF121B">
            <w:pPr>
              <w:pStyle w:val="Normal-TableText"/>
              <w:rPr>
                <w:lang w:val="en-GB"/>
              </w:rPr>
            </w:pPr>
            <w:r w:rsidRPr="00EA4FAE">
              <w:rPr>
                <w:lang w:val="en-GB"/>
              </w:rPr>
              <w:t>System overloads due to business traffic</w:t>
            </w:r>
          </w:p>
        </w:tc>
      </w:tr>
      <w:tr w:rsidR="00EA4FAE" w:rsidRPr="00EA4FAE" w14:paraId="79661C5C" w14:textId="77777777" w:rsidTr="00EA4FAE">
        <w:tc>
          <w:tcPr>
            <w:tcW w:w="1092" w:type="pct"/>
            <w:vMerge/>
          </w:tcPr>
          <w:p w14:paraId="408E8EE7" w14:textId="77777777" w:rsidR="00EA4FAE" w:rsidRPr="00EA4FAE" w:rsidRDefault="00EA4FAE" w:rsidP="00FF121B">
            <w:pPr>
              <w:pStyle w:val="Normal-TableText"/>
              <w:rPr>
                <w:lang w:val="en-GB"/>
              </w:rPr>
            </w:pPr>
          </w:p>
        </w:tc>
        <w:tc>
          <w:tcPr>
            <w:tcW w:w="1999" w:type="pct"/>
          </w:tcPr>
          <w:p w14:paraId="380D06CA" w14:textId="77777777" w:rsidR="00EA4FAE" w:rsidRPr="00EA4FAE" w:rsidRDefault="00EA4FAE" w:rsidP="00FF121B">
            <w:pPr>
              <w:pStyle w:val="Normal-TableText"/>
              <w:rPr>
                <w:lang w:val="en-GB"/>
              </w:rPr>
            </w:pPr>
            <w:r w:rsidRPr="00EA4FAE">
              <w:rPr>
                <w:lang w:val="en-GB"/>
              </w:rPr>
              <w:t>Breach of information system maintainability</w:t>
            </w:r>
          </w:p>
        </w:tc>
        <w:tc>
          <w:tcPr>
            <w:tcW w:w="1909" w:type="pct"/>
          </w:tcPr>
          <w:p w14:paraId="66CA492C" w14:textId="77777777" w:rsidR="00EA4FAE" w:rsidRPr="00EA4FAE" w:rsidRDefault="00EA4FAE" w:rsidP="00FF121B">
            <w:pPr>
              <w:pStyle w:val="Normal-TableText"/>
              <w:rPr>
                <w:lang w:val="en-GB"/>
              </w:rPr>
            </w:pPr>
            <w:r w:rsidRPr="00EA4FAE">
              <w:rPr>
                <w:lang w:val="en-GB"/>
              </w:rPr>
              <w:t>Configuration errors</w:t>
            </w:r>
          </w:p>
        </w:tc>
      </w:tr>
      <w:tr w:rsidR="00EA4FAE" w:rsidRPr="00EA4FAE" w14:paraId="35CD9BB8" w14:textId="77777777" w:rsidTr="00EA4FAE">
        <w:tc>
          <w:tcPr>
            <w:tcW w:w="1092" w:type="pct"/>
            <w:vMerge w:val="restart"/>
          </w:tcPr>
          <w:p w14:paraId="5D5AED88" w14:textId="77777777" w:rsidR="00EA4FAE" w:rsidRPr="00EA4FAE" w:rsidRDefault="00EA4FAE" w:rsidP="00FF121B">
            <w:pPr>
              <w:pStyle w:val="Normal-TableText"/>
              <w:rPr>
                <w:lang w:val="en-GB"/>
              </w:rPr>
            </w:pPr>
            <w:r w:rsidRPr="00EA4FAE">
              <w:rPr>
                <w:lang w:val="en-GB"/>
              </w:rPr>
              <w:t>Unauthorised actions</w:t>
            </w:r>
          </w:p>
        </w:tc>
        <w:tc>
          <w:tcPr>
            <w:tcW w:w="1999" w:type="pct"/>
          </w:tcPr>
          <w:p w14:paraId="04575AD8" w14:textId="77777777" w:rsidR="00EA4FAE" w:rsidRPr="00EA4FAE" w:rsidRDefault="00EA4FAE" w:rsidP="00FF121B">
            <w:pPr>
              <w:pStyle w:val="Normal-TableText"/>
              <w:rPr>
                <w:lang w:val="en-GB"/>
              </w:rPr>
            </w:pPr>
            <w:r w:rsidRPr="00EA4FAE">
              <w:rPr>
                <w:lang w:val="en-GB"/>
              </w:rPr>
              <w:t>Fraudulent copying of information</w:t>
            </w:r>
          </w:p>
        </w:tc>
        <w:tc>
          <w:tcPr>
            <w:tcW w:w="1909" w:type="pct"/>
          </w:tcPr>
          <w:p w14:paraId="2644BB2E" w14:textId="77777777" w:rsidR="00EA4FAE" w:rsidRPr="00EA4FAE" w:rsidRDefault="00EA4FAE" w:rsidP="00FF121B">
            <w:pPr>
              <w:pStyle w:val="Normal-TableText"/>
              <w:rPr>
                <w:lang w:val="en-GB"/>
              </w:rPr>
            </w:pPr>
            <w:r w:rsidRPr="00EA4FAE">
              <w:rPr>
                <w:lang w:val="en-GB"/>
              </w:rPr>
              <w:t xml:space="preserve">Unauthorised use of equipment, services or user privileges </w:t>
            </w:r>
          </w:p>
        </w:tc>
      </w:tr>
      <w:tr w:rsidR="00EA4FAE" w:rsidRPr="00EA4FAE" w14:paraId="54AA7FFD" w14:textId="77777777" w:rsidTr="00EA4FAE">
        <w:tc>
          <w:tcPr>
            <w:tcW w:w="1092" w:type="pct"/>
            <w:vMerge/>
          </w:tcPr>
          <w:p w14:paraId="2BDBAAAD" w14:textId="77777777" w:rsidR="00EA4FAE" w:rsidRPr="00EA4FAE" w:rsidRDefault="00EA4FAE" w:rsidP="00FF121B">
            <w:pPr>
              <w:pStyle w:val="Normal-TableText"/>
              <w:rPr>
                <w:lang w:val="en-GB"/>
              </w:rPr>
            </w:pPr>
          </w:p>
        </w:tc>
        <w:tc>
          <w:tcPr>
            <w:tcW w:w="1999" w:type="pct"/>
          </w:tcPr>
          <w:p w14:paraId="252F779B" w14:textId="77777777" w:rsidR="00EA4FAE" w:rsidRPr="00EA4FAE" w:rsidRDefault="00EA4FAE" w:rsidP="00FF121B">
            <w:pPr>
              <w:pStyle w:val="Normal-TableText"/>
              <w:rPr>
                <w:lang w:val="en-GB"/>
              </w:rPr>
            </w:pPr>
            <w:r w:rsidRPr="00EA4FAE">
              <w:rPr>
                <w:lang w:val="en-GB"/>
              </w:rPr>
              <w:t>Corruption of data</w:t>
            </w:r>
          </w:p>
        </w:tc>
        <w:tc>
          <w:tcPr>
            <w:tcW w:w="1909" w:type="pct"/>
          </w:tcPr>
          <w:p w14:paraId="290C3719" w14:textId="77777777" w:rsidR="00EA4FAE" w:rsidRPr="00EA4FAE" w:rsidRDefault="00EA4FAE" w:rsidP="00FF121B">
            <w:pPr>
              <w:pStyle w:val="Normal-TableText"/>
              <w:rPr>
                <w:lang w:val="en-GB"/>
              </w:rPr>
            </w:pPr>
            <w:r w:rsidRPr="00EA4FAE">
              <w:rPr>
                <w:lang w:val="en-GB"/>
              </w:rPr>
              <w:t>Illegal processing of data</w:t>
            </w:r>
          </w:p>
        </w:tc>
      </w:tr>
      <w:tr w:rsidR="00EA4FAE" w:rsidRPr="00EA4FAE" w14:paraId="117B3E38" w14:textId="77777777" w:rsidTr="00EA4FAE">
        <w:tc>
          <w:tcPr>
            <w:tcW w:w="1092" w:type="pct"/>
            <w:vMerge/>
          </w:tcPr>
          <w:p w14:paraId="2BFCF8CF" w14:textId="77777777" w:rsidR="00EA4FAE" w:rsidRPr="00EA4FAE" w:rsidRDefault="00EA4FAE" w:rsidP="00FF121B">
            <w:pPr>
              <w:pStyle w:val="Normal-TableText"/>
              <w:rPr>
                <w:lang w:val="en-GB"/>
              </w:rPr>
            </w:pPr>
          </w:p>
        </w:tc>
        <w:tc>
          <w:tcPr>
            <w:tcW w:w="1999" w:type="pct"/>
          </w:tcPr>
          <w:p w14:paraId="22E1E642" w14:textId="77777777" w:rsidR="00EA4FAE" w:rsidRPr="00EA4FAE" w:rsidRDefault="00EA4FAE" w:rsidP="00FF121B">
            <w:pPr>
              <w:pStyle w:val="Normal-TableText"/>
              <w:rPr>
                <w:lang w:val="en-GB"/>
              </w:rPr>
            </w:pPr>
            <w:r w:rsidRPr="00EA4FAE">
              <w:rPr>
                <w:lang w:val="en-GB"/>
              </w:rPr>
              <w:t>Malicious use (internal – privileged user)</w:t>
            </w:r>
          </w:p>
        </w:tc>
        <w:tc>
          <w:tcPr>
            <w:tcW w:w="1909" w:type="pct"/>
          </w:tcPr>
          <w:p w14:paraId="4F4B2946" w14:textId="77777777" w:rsidR="00EA4FAE" w:rsidRPr="00EA4FAE" w:rsidRDefault="00EA4FAE" w:rsidP="00FF121B">
            <w:pPr>
              <w:pStyle w:val="Normal-TableText"/>
              <w:rPr>
                <w:lang w:val="en-GB"/>
              </w:rPr>
            </w:pPr>
            <w:r w:rsidRPr="00EA4FAE">
              <w:rPr>
                <w:lang w:val="en-GB"/>
              </w:rPr>
              <w:t xml:space="preserve">Data spill </w:t>
            </w:r>
          </w:p>
        </w:tc>
      </w:tr>
      <w:tr w:rsidR="00EA4FAE" w:rsidRPr="00EA4FAE" w14:paraId="62FE3873" w14:textId="77777777" w:rsidTr="00EA4FAE">
        <w:tc>
          <w:tcPr>
            <w:tcW w:w="1092" w:type="pct"/>
            <w:vMerge w:val="restart"/>
          </w:tcPr>
          <w:p w14:paraId="0EB79136" w14:textId="6E7FCD8E" w:rsidR="00EA4FAE" w:rsidRPr="00EA4FAE" w:rsidRDefault="00EA4FAE" w:rsidP="00FF121B">
            <w:pPr>
              <w:pStyle w:val="Normal-TableText"/>
              <w:rPr>
                <w:lang w:val="en-GB"/>
              </w:rPr>
            </w:pPr>
            <w:r w:rsidRPr="00EA4FAE">
              <w:rPr>
                <w:lang w:val="en-GB"/>
              </w:rPr>
              <w:t>Compromise of functions</w:t>
            </w:r>
          </w:p>
        </w:tc>
        <w:tc>
          <w:tcPr>
            <w:tcW w:w="1999" w:type="pct"/>
          </w:tcPr>
          <w:p w14:paraId="334A7639" w14:textId="77777777" w:rsidR="00EA4FAE" w:rsidRPr="00EA4FAE" w:rsidRDefault="00EA4FAE" w:rsidP="00FF121B">
            <w:pPr>
              <w:pStyle w:val="Normal-TableText"/>
              <w:rPr>
                <w:lang w:val="en-GB"/>
              </w:rPr>
            </w:pPr>
            <w:r w:rsidRPr="00EA4FAE">
              <w:rPr>
                <w:lang w:val="en-GB"/>
              </w:rPr>
              <w:t>Error in use</w:t>
            </w:r>
          </w:p>
        </w:tc>
        <w:tc>
          <w:tcPr>
            <w:tcW w:w="1909" w:type="pct"/>
          </w:tcPr>
          <w:p w14:paraId="4AA625A0" w14:textId="77777777" w:rsidR="00EA4FAE" w:rsidRPr="00EA4FAE" w:rsidRDefault="00EA4FAE" w:rsidP="00FF121B">
            <w:pPr>
              <w:pStyle w:val="Normal-TableText"/>
              <w:rPr>
                <w:lang w:val="en-GB"/>
              </w:rPr>
            </w:pPr>
            <w:r w:rsidRPr="00EA4FAE">
              <w:rPr>
                <w:lang w:val="en-GB"/>
              </w:rPr>
              <w:t>Abuse or forging of rights</w:t>
            </w:r>
          </w:p>
        </w:tc>
      </w:tr>
      <w:tr w:rsidR="00EA4FAE" w:rsidRPr="00EA4FAE" w14:paraId="2F1D7EBB" w14:textId="77777777" w:rsidTr="00EA4FAE">
        <w:tc>
          <w:tcPr>
            <w:tcW w:w="1092" w:type="pct"/>
            <w:vMerge/>
          </w:tcPr>
          <w:p w14:paraId="4DC87F00" w14:textId="77777777" w:rsidR="00EA4FAE" w:rsidRPr="00EA4FAE" w:rsidRDefault="00EA4FAE" w:rsidP="00FF121B">
            <w:pPr>
              <w:pStyle w:val="Normal-TableText"/>
              <w:rPr>
                <w:lang w:val="en-GB"/>
              </w:rPr>
            </w:pPr>
          </w:p>
        </w:tc>
        <w:tc>
          <w:tcPr>
            <w:tcW w:w="1999" w:type="pct"/>
          </w:tcPr>
          <w:p w14:paraId="1FBCFA12" w14:textId="77777777" w:rsidR="00EA4FAE" w:rsidRPr="00EA4FAE" w:rsidRDefault="00EA4FAE" w:rsidP="00FF121B">
            <w:pPr>
              <w:pStyle w:val="Normal-TableText"/>
              <w:rPr>
                <w:lang w:val="en-GB"/>
              </w:rPr>
            </w:pPr>
            <w:r w:rsidRPr="00EA4FAE">
              <w:rPr>
                <w:lang w:val="en-GB"/>
              </w:rPr>
              <w:t>Denial of actions</w:t>
            </w:r>
          </w:p>
        </w:tc>
        <w:tc>
          <w:tcPr>
            <w:tcW w:w="1909" w:type="pct"/>
          </w:tcPr>
          <w:p w14:paraId="2FD23A90" w14:textId="77777777" w:rsidR="00EA4FAE" w:rsidRPr="00EA4FAE" w:rsidRDefault="00EA4FAE" w:rsidP="00FF121B">
            <w:pPr>
              <w:pStyle w:val="Normal-TableText"/>
              <w:rPr>
                <w:lang w:val="en-GB"/>
              </w:rPr>
            </w:pPr>
            <w:r w:rsidRPr="00EA4FAE">
              <w:rPr>
                <w:lang w:val="en-GB"/>
              </w:rPr>
              <w:t>Breach of personal availability</w:t>
            </w:r>
          </w:p>
        </w:tc>
      </w:tr>
      <w:tr w:rsidR="00EA4FAE" w:rsidRPr="00EA4FAE" w14:paraId="3869A387" w14:textId="77777777" w:rsidTr="00EA4FAE">
        <w:tc>
          <w:tcPr>
            <w:tcW w:w="1092" w:type="pct"/>
            <w:vMerge/>
          </w:tcPr>
          <w:p w14:paraId="19938C4D" w14:textId="77777777" w:rsidR="00EA4FAE" w:rsidRPr="00EA4FAE" w:rsidRDefault="00EA4FAE" w:rsidP="00FF121B">
            <w:pPr>
              <w:pStyle w:val="Normal-TableText"/>
              <w:rPr>
                <w:lang w:val="en-GB"/>
              </w:rPr>
            </w:pPr>
          </w:p>
        </w:tc>
        <w:tc>
          <w:tcPr>
            <w:tcW w:w="1999" w:type="pct"/>
          </w:tcPr>
          <w:p w14:paraId="4C7A1A92" w14:textId="77777777" w:rsidR="00EA4FAE" w:rsidRPr="00EA4FAE" w:rsidRDefault="00EA4FAE" w:rsidP="00FF121B">
            <w:pPr>
              <w:pStyle w:val="Normal-TableText"/>
              <w:rPr>
                <w:lang w:val="en-GB"/>
              </w:rPr>
            </w:pPr>
            <w:r w:rsidRPr="00EA4FAE">
              <w:rPr>
                <w:lang w:val="en-GB"/>
              </w:rPr>
              <w:t>Operator negligence</w:t>
            </w:r>
          </w:p>
        </w:tc>
        <w:tc>
          <w:tcPr>
            <w:tcW w:w="1909" w:type="pct"/>
          </w:tcPr>
          <w:p w14:paraId="035A4083" w14:textId="77777777" w:rsidR="00EA4FAE" w:rsidRPr="00EA4FAE" w:rsidRDefault="00EA4FAE" w:rsidP="00FF121B">
            <w:pPr>
              <w:pStyle w:val="Normal-TableText"/>
              <w:rPr>
                <w:lang w:val="en-GB"/>
              </w:rPr>
            </w:pPr>
            <w:r w:rsidRPr="00EA4FAE">
              <w:rPr>
                <w:lang w:val="en-GB"/>
              </w:rPr>
              <w:t>Hacking</w:t>
            </w:r>
          </w:p>
        </w:tc>
      </w:tr>
      <w:tr w:rsidR="00EA4FAE" w:rsidRPr="00EA4FAE" w14:paraId="6B6336CA" w14:textId="77777777" w:rsidTr="00EA4FAE">
        <w:tc>
          <w:tcPr>
            <w:tcW w:w="1092" w:type="pct"/>
            <w:vMerge/>
          </w:tcPr>
          <w:p w14:paraId="47B345E3" w14:textId="77777777" w:rsidR="00EA4FAE" w:rsidRPr="00EA4FAE" w:rsidRDefault="00EA4FAE" w:rsidP="00FF121B">
            <w:pPr>
              <w:pStyle w:val="Normal-TableText"/>
              <w:rPr>
                <w:lang w:val="en-GB"/>
              </w:rPr>
            </w:pPr>
          </w:p>
        </w:tc>
        <w:tc>
          <w:tcPr>
            <w:tcW w:w="1999" w:type="pct"/>
          </w:tcPr>
          <w:p w14:paraId="438CF91F" w14:textId="77777777" w:rsidR="00EA4FAE" w:rsidRPr="00EA4FAE" w:rsidRDefault="00EA4FAE" w:rsidP="00FF121B">
            <w:pPr>
              <w:pStyle w:val="Normal-TableText"/>
              <w:rPr>
                <w:lang w:val="en-GB"/>
              </w:rPr>
            </w:pPr>
            <w:r w:rsidRPr="00EA4FAE">
              <w:rPr>
                <w:lang w:val="en-GB"/>
              </w:rPr>
              <w:t>Criminal use – identity fraud</w:t>
            </w:r>
          </w:p>
        </w:tc>
        <w:tc>
          <w:tcPr>
            <w:tcW w:w="1909" w:type="pct"/>
          </w:tcPr>
          <w:p w14:paraId="123DE412" w14:textId="77777777" w:rsidR="00EA4FAE" w:rsidRPr="00EA4FAE" w:rsidRDefault="00EA4FAE" w:rsidP="00FF121B">
            <w:pPr>
              <w:pStyle w:val="Normal-TableText"/>
              <w:rPr>
                <w:lang w:val="en-GB"/>
              </w:rPr>
            </w:pPr>
            <w:r w:rsidRPr="00EA4FAE">
              <w:rPr>
                <w:lang w:val="en-GB"/>
              </w:rPr>
              <w:t>Malicious code injections</w:t>
            </w:r>
          </w:p>
        </w:tc>
      </w:tr>
      <w:tr w:rsidR="00EA4FAE" w:rsidRPr="00EA4FAE" w14:paraId="67EDE4D4" w14:textId="77777777" w:rsidTr="00EA4FAE">
        <w:tc>
          <w:tcPr>
            <w:tcW w:w="1092" w:type="pct"/>
            <w:vMerge/>
          </w:tcPr>
          <w:p w14:paraId="5839E2AF" w14:textId="77777777" w:rsidR="00EA4FAE" w:rsidRPr="00EA4FAE" w:rsidRDefault="00EA4FAE" w:rsidP="00FF121B">
            <w:pPr>
              <w:pStyle w:val="Normal-TableText"/>
              <w:rPr>
                <w:lang w:val="en-GB"/>
              </w:rPr>
            </w:pPr>
          </w:p>
        </w:tc>
        <w:tc>
          <w:tcPr>
            <w:tcW w:w="3908" w:type="pct"/>
            <w:gridSpan w:val="2"/>
          </w:tcPr>
          <w:p w14:paraId="3FBA44CB" w14:textId="77777777" w:rsidR="00EA4FAE" w:rsidRPr="00EA4FAE" w:rsidRDefault="00EA4FAE" w:rsidP="00FF121B">
            <w:pPr>
              <w:pStyle w:val="Normal-TableText"/>
            </w:pPr>
            <w:r w:rsidRPr="00EA4FAE">
              <w:t>Social engineering of administrative staff</w:t>
            </w:r>
          </w:p>
        </w:tc>
      </w:tr>
    </w:tbl>
    <w:p w14:paraId="0C3F0F2F" w14:textId="77777777" w:rsidR="00215226" w:rsidRPr="003E302C" w:rsidRDefault="00215226" w:rsidP="0031226E">
      <w:pPr>
        <w:pStyle w:val="Heading2Numbered"/>
      </w:pPr>
      <w:r w:rsidRPr="003E302C">
        <w:t xml:space="preserve">Security Risk Management </w:t>
      </w:r>
      <w:bookmarkEnd w:id="229"/>
      <w:r w:rsidRPr="003E302C">
        <w:t>Plan</w:t>
      </w:r>
      <w:bookmarkEnd w:id="230"/>
      <w:bookmarkEnd w:id="231"/>
      <w:bookmarkEnd w:id="232"/>
    </w:p>
    <w:p w14:paraId="6A363F69" w14:textId="77777777" w:rsidR="00215226" w:rsidRPr="001D7A27" w:rsidRDefault="00215226" w:rsidP="00426C67">
      <w:pPr>
        <w:spacing w:line="230" w:lineRule="exact"/>
      </w:pPr>
      <w:r w:rsidRPr="001D7A27">
        <w:t xml:space="preserve">The key components in a Service Provider’s SRPM </w:t>
      </w:r>
      <w:r w:rsidRPr="00D825A0">
        <w:rPr>
          <w:rStyle w:val="Strong"/>
        </w:rPr>
        <w:t>SHOULD</w:t>
      </w:r>
      <w:r w:rsidRPr="001D7A27">
        <w:t xml:space="preserve"> include at a minimum:</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4561"/>
        <w:gridCol w:w="4499"/>
      </w:tblGrid>
      <w:tr w:rsidR="00EA4FAE" w:rsidRPr="00EA4FAE" w14:paraId="7FC84814" w14:textId="77777777" w:rsidTr="00BD2B67">
        <w:trPr>
          <w:cnfStyle w:val="100000000000" w:firstRow="1" w:lastRow="0" w:firstColumn="0" w:lastColumn="0" w:oddVBand="0" w:evenVBand="0" w:oddHBand="0" w:evenHBand="0" w:firstRowFirstColumn="0" w:firstRowLastColumn="0" w:lastRowFirstColumn="0" w:lastRowLastColumn="0"/>
          <w:tblHeader/>
        </w:trPr>
        <w:tc>
          <w:tcPr>
            <w:tcW w:w="2517" w:type="pct"/>
          </w:tcPr>
          <w:p w14:paraId="300D7EDD" w14:textId="637C348C" w:rsidR="00EA4FAE" w:rsidRPr="00EA4FAE" w:rsidRDefault="00EA4FAE" w:rsidP="00FF121B">
            <w:pPr>
              <w:pStyle w:val="Normal-TableText"/>
              <w:rPr>
                <w:lang w:val="en-GB"/>
              </w:rPr>
            </w:pPr>
            <w:r>
              <w:rPr>
                <w:lang w:val="en-GB"/>
              </w:rPr>
              <w:t>Insert header text for accessibility</w:t>
            </w:r>
          </w:p>
        </w:tc>
        <w:tc>
          <w:tcPr>
            <w:tcW w:w="2483" w:type="pct"/>
          </w:tcPr>
          <w:p w14:paraId="10C8BB5B" w14:textId="2EF8D4B9" w:rsidR="00EA4FAE" w:rsidRPr="00EA4FAE" w:rsidRDefault="00EA4FAE" w:rsidP="00FF121B">
            <w:pPr>
              <w:pStyle w:val="Normal-TableText"/>
              <w:rPr>
                <w:lang w:val="en-GB"/>
              </w:rPr>
            </w:pPr>
            <w:r>
              <w:rPr>
                <w:lang w:val="en-GB"/>
              </w:rPr>
              <w:t>Insert header text for accessibility</w:t>
            </w:r>
          </w:p>
        </w:tc>
      </w:tr>
      <w:tr w:rsidR="00EA4FAE" w:rsidRPr="00EA4FAE" w14:paraId="1FDA0444" w14:textId="77777777" w:rsidTr="00BD2B67">
        <w:tc>
          <w:tcPr>
            <w:tcW w:w="2517" w:type="pct"/>
          </w:tcPr>
          <w:p w14:paraId="5C94C6E0" w14:textId="77777777" w:rsidR="00EA4FAE" w:rsidRPr="00EA4FAE" w:rsidRDefault="00EA4FAE" w:rsidP="00FF121B">
            <w:pPr>
              <w:pStyle w:val="Normal-TableText"/>
              <w:rPr>
                <w:lang w:val="en-GB"/>
              </w:rPr>
            </w:pPr>
            <w:r w:rsidRPr="00EA4FAE">
              <w:rPr>
                <w:lang w:val="en-GB"/>
              </w:rPr>
              <w:t>Goals and objectives of the risk management process</w:t>
            </w:r>
          </w:p>
        </w:tc>
        <w:tc>
          <w:tcPr>
            <w:tcW w:w="2483" w:type="pct"/>
          </w:tcPr>
          <w:p w14:paraId="529E5970" w14:textId="77777777" w:rsidR="00EA4FAE" w:rsidRPr="00EA4FAE" w:rsidRDefault="00EA4FAE" w:rsidP="00FF121B">
            <w:pPr>
              <w:pStyle w:val="Normal-TableText"/>
              <w:rPr>
                <w:lang w:val="en-GB"/>
              </w:rPr>
            </w:pPr>
            <w:r w:rsidRPr="00EA4FAE">
              <w:rPr>
                <w:lang w:val="en-GB"/>
              </w:rPr>
              <w:t>Scope of the risk assessment, including risk tolerance, specific inclusions and exclusions.</w:t>
            </w:r>
          </w:p>
        </w:tc>
      </w:tr>
      <w:tr w:rsidR="00EA4FAE" w:rsidRPr="00EA4FAE" w14:paraId="47C2CBB5" w14:textId="77777777" w:rsidTr="00BD2B67">
        <w:tc>
          <w:tcPr>
            <w:tcW w:w="2517" w:type="pct"/>
          </w:tcPr>
          <w:p w14:paraId="09E271BC" w14:textId="77777777" w:rsidR="00EA4FAE" w:rsidRPr="00EA4FAE" w:rsidRDefault="00EA4FAE" w:rsidP="00FF121B">
            <w:pPr>
              <w:pStyle w:val="Normal-TableText"/>
              <w:rPr>
                <w:lang w:val="en-GB"/>
              </w:rPr>
            </w:pPr>
            <w:r w:rsidRPr="00EA4FAE">
              <w:rPr>
                <w:lang w:val="en-GB"/>
              </w:rPr>
              <w:t>Staff responsibilities within the risk management process</w:t>
            </w:r>
          </w:p>
        </w:tc>
        <w:tc>
          <w:tcPr>
            <w:tcW w:w="2483" w:type="pct"/>
          </w:tcPr>
          <w:p w14:paraId="4F31E248" w14:textId="77777777" w:rsidR="00EA4FAE" w:rsidRPr="00EA4FAE" w:rsidRDefault="00EA4FAE" w:rsidP="00FF121B">
            <w:pPr>
              <w:pStyle w:val="Normal-TableText"/>
              <w:rPr>
                <w:lang w:val="en-GB"/>
              </w:rPr>
            </w:pPr>
            <w:r w:rsidRPr="00EA4FAE">
              <w:rPr>
                <w:lang w:val="en-GB"/>
              </w:rPr>
              <w:t>Relationship between the system under review and objectives of the wider organisation</w:t>
            </w:r>
          </w:p>
        </w:tc>
      </w:tr>
      <w:tr w:rsidR="00EA4FAE" w:rsidRPr="00EA4FAE" w14:paraId="4A247EB0" w14:textId="77777777" w:rsidTr="00BD2B67">
        <w:tc>
          <w:tcPr>
            <w:tcW w:w="2517" w:type="pct"/>
          </w:tcPr>
          <w:p w14:paraId="170DB9A5" w14:textId="77777777" w:rsidR="00EA4FAE" w:rsidRPr="00EA4FAE" w:rsidRDefault="00EA4FAE" w:rsidP="00FF121B">
            <w:pPr>
              <w:pStyle w:val="Normal-TableText"/>
              <w:rPr>
                <w:lang w:val="en-GB"/>
              </w:rPr>
            </w:pPr>
            <w:r w:rsidRPr="00EA4FAE">
              <w:rPr>
                <w:lang w:val="en-GB"/>
              </w:rPr>
              <w:t>Risk assessment methodologies</w:t>
            </w:r>
          </w:p>
        </w:tc>
        <w:tc>
          <w:tcPr>
            <w:tcW w:w="2483" w:type="pct"/>
          </w:tcPr>
          <w:p w14:paraId="0497AF15" w14:textId="77777777" w:rsidR="00EA4FAE" w:rsidRPr="00EA4FAE" w:rsidRDefault="00EA4FAE" w:rsidP="00FF121B">
            <w:pPr>
              <w:pStyle w:val="Normal-TableText"/>
              <w:rPr>
                <w:lang w:val="en-GB"/>
              </w:rPr>
            </w:pPr>
            <w:r w:rsidRPr="00EA4FAE">
              <w:rPr>
                <w:lang w:val="en-GB"/>
              </w:rPr>
              <w:t>System description</w:t>
            </w:r>
          </w:p>
        </w:tc>
      </w:tr>
      <w:tr w:rsidR="00EA4FAE" w:rsidRPr="00EA4FAE" w14:paraId="4D87227D" w14:textId="77777777" w:rsidTr="00BD2B67">
        <w:tc>
          <w:tcPr>
            <w:tcW w:w="2517" w:type="pct"/>
          </w:tcPr>
          <w:p w14:paraId="751CF968" w14:textId="77777777" w:rsidR="00EA4FAE" w:rsidRPr="00EA4FAE" w:rsidRDefault="00EA4FAE" w:rsidP="00FF121B">
            <w:pPr>
              <w:pStyle w:val="Normal-TableText"/>
              <w:rPr>
                <w:lang w:val="en-GB"/>
              </w:rPr>
            </w:pPr>
            <w:r w:rsidRPr="00EA4FAE">
              <w:rPr>
                <w:lang w:val="en-GB"/>
              </w:rPr>
              <w:t>Data descriptions and flows</w:t>
            </w:r>
          </w:p>
        </w:tc>
        <w:tc>
          <w:tcPr>
            <w:tcW w:w="2483" w:type="pct"/>
          </w:tcPr>
          <w:p w14:paraId="7398F1F4" w14:textId="77777777" w:rsidR="00EA4FAE" w:rsidRPr="00EA4FAE" w:rsidRDefault="00EA4FAE" w:rsidP="00FF121B">
            <w:pPr>
              <w:pStyle w:val="Normal-TableText"/>
              <w:rPr>
                <w:lang w:val="en-GB"/>
              </w:rPr>
            </w:pPr>
            <w:r w:rsidRPr="00EA4FAE">
              <w:rPr>
                <w:lang w:val="en-GB"/>
              </w:rPr>
              <w:t>Risk treatment options and plans</w:t>
            </w:r>
          </w:p>
        </w:tc>
      </w:tr>
    </w:tbl>
    <w:p w14:paraId="51A60279" w14:textId="77777777" w:rsidR="00215226" w:rsidRPr="001D7A27" w:rsidRDefault="00215226" w:rsidP="0031226E">
      <w:pPr>
        <w:pStyle w:val="BoxText"/>
      </w:pPr>
      <w:r w:rsidRPr="001D7A27">
        <w:t xml:space="preserve">Assets to be protected </w:t>
      </w:r>
      <w:r w:rsidRPr="00D825A0">
        <w:rPr>
          <w:rStyle w:val="Strong"/>
        </w:rPr>
        <w:t>MUST</w:t>
      </w:r>
      <w:r w:rsidRPr="001D7A27">
        <w:t xml:space="preserve"> be identified as part of the risk management process.</w:t>
      </w:r>
    </w:p>
    <w:p w14:paraId="68B9C6CD" w14:textId="77777777" w:rsidR="00215226" w:rsidRPr="001D7A27" w:rsidRDefault="00215226" w:rsidP="00C12941">
      <w:pPr>
        <w:pageBreakBefore/>
        <w:spacing w:line="240" w:lineRule="exact"/>
      </w:pPr>
      <w:r w:rsidRPr="001D7A27">
        <w:lastRenderedPageBreak/>
        <w:t>Assets to be protected in a PKI include but are not limited to:</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4501"/>
        <w:gridCol w:w="4559"/>
      </w:tblGrid>
      <w:tr w:rsidR="009614D3" w:rsidRPr="001D7A27" w14:paraId="7753D969" w14:textId="77777777" w:rsidTr="009614D3">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072025B9" w14:textId="3823E518" w:rsidR="009614D3" w:rsidRPr="001D7A27" w:rsidRDefault="009614D3">
            <w:pPr>
              <w:pStyle w:val="Normal-TableText"/>
            </w:pPr>
            <w:r>
              <w:rPr>
                <w:lang w:val="en-GB"/>
              </w:rPr>
              <w:t>Assets to be protected in a PKI include but are not limited to:</w:t>
            </w:r>
          </w:p>
        </w:tc>
      </w:tr>
      <w:tr w:rsidR="003939A1" w:rsidRPr="001D7A27" w14:paraId="3683C111" w14:textId="77777777" w:rsidTr="00BD2B67">
        <w:tc>
          <w:tcPr>
            <w:tcW w:w="2484" w:type="pct"/>
          </w:tcPr>
          <w:p w14:paraId="4BADF215" w14:textId="77777777" w:rsidR="003939A1" w:rsidRPr="001D7A27" w:rsidRDefault="003939A1" w:rsidP="00FF121B">
            <w:pPr>
              <w:pStyle w:val="Normal-TableText"/>
            </w:pPr>
            <w:r w:rsidRPr="001D7A27">
              <w:t>Subscriber certificates</w:t>
            </w:r>
          </w:p>
        </w:tc>
        <w:tc>
          <w:tcPr>
            <w:tcW w:w="2516" w:type="pct"/>
          </w:tcPr>
          <w:p w14:paraId="6B2CF36E" w14:textId="77777777" w:rsidR="003939A1" w:rsidRPr="001D7A27" w:rsidRDefault="003939A1" w:rsidP="00FF121B">
            <w:pPr>
              <w:pStyle w:val="Normal-TableText"/>
            </w:pPr>
            <w:r w:rsidRPr="001D7A27">
              <w:t>Subscriber private keys and activation data</w:t>
            </w:r>
          </w:p>
        </w:tc>
      </w:tr>
      <w:tr w:rsidR="003939A1" w:rsidRPr="001D7A27" w14:paraId="3CC47FC9" w14:textId="77777777" w:rsidTr="00BD2B67">
        <w:tc>
          <w:tcPr>
            <w:tcW w:w="2484" w:type="pct"/>
          </w:tcPr>
          <w:p w14:paraId="7792779F" w14:textId="77777777" w:rsidR="003939A1" w:rsidRPr="001D7A27" w:rsidRDefault="003939A1" w:rsidP="00FF121B">
            <w:pPr>
              <w:pStyle w:val="Normal-TableText"/>
            </w:pPr>
            <w:r w:rsidRPr="001D7A27">
              <w:t>Private keys of Certificate Authorities</w:t>
            </w:r>
          </w:p>
        </w:tc>
        <w:tc>
          <w:tcPr>
            <w:tcW w:w="2516" w:type="pct"/>
          </w:tcPr>
          <w:p w14:paraId="490415C8" w14:textId="77777777" w:rsidR="003939A1" w:rsidRPr="001D7A27" w:rsidRDefault="003939A1" w:rsidP="00FF121B">
            <w:pPr>
              <w:pStyle w:val="Normal-TableText"/>
            </w:pPr>
            <w:r w:rsidRPr="001D7A27">
              <w:t>Private keys of CA and RA operators</w:t>
            </w:r>
          </w:p>
        </w:tc>
      </w:tr>
      <w:tr w:rsidR="003939A1" w:rsidRPr="001D7A27" w14:paraId="42CF1656" w14:textId="77777777" w:rsidTr="00BD2B67">
        <w:tc>
          <w:tcPr>
            <w:tcW w:w="2484" w:type="pct"/>
          </w:tcPr>
          <w:p w14:paraId="59670B99" w14:textId="77777777" w:rsidR="003939A1" w:rsidRPr="001D7A27" w:rsidRDefault="003939A1" w:rsidP="00FF121B">
            <w:pPr>
              <w:pStyle w:val="Normal-TableText"/>
            </w:pPr>
            <w:r w:rsidRPr="001D7A27">
              <w:t>Hardware Security Module (HSM)  passphrases</w:t>
            </w:r>
          </w:p>
        </w:tc>
        <w:tc>
          <w:tcPr>
            <w:tcW w:w="2516" w:type="pct"/>
          </w:tcPr>
          <w:p w14:paraId="6134D4A8" w14:textId="77777777" w:rsidR="003939A1" w:rsidRPr="001D7A27" w:rsidRDefault="003939A1" w:rsidP="00FF121B">
            <w:pPr>
              <w:pStyle w:val="Normal-TableText"/>
            </w:pPr>
            <w:r w:rsidRPr="001D7A27">
              <w:t>Database passphrases</w:t>
            </w:r>
          </w:p>
        </w:tc>
      </w:tr>
      <w:tr w:rsidR="003939A1" w:rsidRPr="001D7A27" w14:paraId="421EEE4B" w14:textId="77777777" w:rsidTr="00BD2B67">
        <w:tc>
          <w:tcPr>
            <w:tcW w:w="2484" w:type="pct"/>
          </w:tcPr>
          <w:p w14:paraId="23626A3F" w14:textId="77777777" w:rsidR="003939A1" w:rsidRPr="001D7A27" w:rsidRDefault="003939A1" w:rsidP="00FF121B">
            <w:pPr>
              <w:pStyle w:val="Normal-TableText"/>
            </w:pPr>
            <w:r w:rsidRPr="001D7A27">
              <w:t>PKI equipment (CA servers, HSMs, RA workstations)</w:t>
            </w:r>
          </w:p>
        </w:tc>
        <w:tc>
          <w:tcPr>
            <w:tcW w:w="2516" w:type="pct"/>
          </w:tcPr>
          <w:p w14:paraId="1192A70A" w14:textId="77777777" w:rsidR="003939A1" w:rsidRPr="001D7A27" w:rsidRDefault="003939A1" w:rsidP="00FF121B">
            <w:pPr>
              <w:pStyle w:val="Normal-TableText"/>
            </w:pPr>
            <w:r w:rsidRPr="001D7A27">
              <w:t>Essential service equipment (network infrastructure, communications systems, perimeter security devices, backup systems and power supplies)</w:t>
            </w:r>
          </w:p>
        </w:tc>
      </w:tr>
      <w:tr w:rsidR="003939A1" w:rsidRPr="001D7A27" w14:paraId="67C51DF1" w14:textId="77777777" w:rsidTr="00BD2B67">
        <w:tc>
          <w:tcPr>
            <w:tcW w:w="2484" w:type="pct"/>
          </w:tcPr>
          <w:p w14:paraId="37A88DE9" w14:textId="77777777" w:rsidR="003939A1" w:rsidRPr="001D7A27" w:rsidRDefault="003939A1" w:rsidP="00FF121B">
            <w:pPr>
              <w:pStyle w:val="Normal-TableText"/>
            </w:pPr>
            <w:r w:rsidRPr="001D7A27">
              <w:t>Copies taken of identity and other registration information</w:t>
            </w:r>
          </w:p>
        </w:tc>
        <w:tc>
          <w:tcPr>
            <w:tcW w:w="2516" w:type="pct"/>
          </w:tcPr>
          <w:p w14:paraId="5858F53E" w14:textId="77777777" w:rsidR="003939A1" w:rsidRPr="001D7A27" w:rsidRDefault="003939A1" w:rsidP="00FF121B">
            <w:pPr>
              <w:pStyle w:val="Normal-TableText"/>
            </w:pPr>
            <w:r w:rsidRPr="001D7A27">
              <w:t>Operational information (audit logs, transaction histories, CA lifecycle, archives, CRLs and OCSP responses)</w:t>
            </w:r>
          </w:p>
        </w:tc>
      </w:tr>
      <w:tr w:rsidR="003939A1" w:rsidRPr="001D7A27" w14:paraId="435B9A58" w14:textId="77777777" w:rsidTr="00BD2B67">
        <w:tc>
          <w:tcPr>
            <w:tcW w:w="2484" w:type="pct"/>
          </w:tcPr>
          <w:p w14:paraId="101A9F43" w14:textId="77777777" w:rsidR="003939A1" w:rsidRPr="001D7A27" w:rsidRDefault="003939A1" w:rsidP="00FF121B">
            <w:pPr>
              <w:pStyle w:val="Normal-TableText"/>
            </w:pPr>
            <w:r w:rsidRPr="001D7A27">
              <w:t>Security classified information</w:t>
            </w:r>
          </w:p>
        </w:tc>
        <w:tc>
          <w:tcPr>
            <w:tcW w:w="2516" w:type="pct"/>
          </w:tcPr>
          <w:p w14:paraId="685C98B7" w14:textId="77777777" w:rsidR="003939A1" w:rsidRPr="001D7A27" w:rsidRDefault="003939A1" w:rsidP="00FF121B">
            <w:pPr>
              <w:pStyle w:val="Normal-TableText"/>
            </w:pPr>
            <w:r w:rsidRPr="001D7A27">
              <w:t>System users</w:t>
            </w:r>
          </w:p>
        </w:tc>
      </w:tr>
      <w:tr w:rsidR="003939A1" w:rsidRPr="001D7A27" w14:paraId="68B9EF09" w14:textId="77777777" w:rsidTr="00BD2B67">
        <w:tc>
          <w:tcPr>
            <w:tcW w:w="2484" w:type="pct"/>
          </w:tcPr>
          <w:p w14:paraId="2C3CF118" w14:textId="77777777" w:rsidR="003939A1" w:rsidRPr="001D7A27" w:rsidRDefault="003939A1" w:rsidP="00FF121B">
            <w:pPr>
              <w:pStyle w:val="Normal-TableText"/>
            </w:pPr>
            <w:r w:rsidRPr="001D7A27">
              <w:t>Staff and Contractors</w:t>
            </w:r>
          </w:p>
        </w:tc>
        <w:tc>
          <w:tcPr>
            <w:tcW w:w="2516" w:type="pct"/>
          </w:tcPr>
          <w:p w14:paraId="38F9F85E" w14:textId="77777777" w:rsidR="003939A1" w:rsidRPr="001D7A27" w:rsidRDefault="003939A1" w:rsidP="00FF121B">
            <w:pPr>
              <w:pStyle w:val="Normal-TableText"/>
            </w:pPr>
            <w:r w:rsidRPr="001D7A27">
              <w:t>Backup procedures</w:t>
            </w:r>
          </w:p>
        </w:tc>
      </w:tr>
      <w:tr w:rsidR="003939A1" w:rsidRPr="001D7A27" w14:paraId="5F4FB805" w14:textId="77777777" w:rsidTr="00BD2B67">
        <w:tc>
          <w:tcPr>
            <w:tcW w:w="2484" w:type="pct"/>
          </w:tcPr>
          <w:p w14:paraId="401411A6" w14:textId="77777777" w:rsidR="003939A1" w:rsidRPr="001D7A27" w:rsidRDefault="003939A1" w:rsidP="00FF121B">
            <w:pPr>
              <w:pStyle w:val="Normal-TableText"/>
            </w:pPr>
            <w:r w:rsidRPr="001D7A27">
              <w:t>Logical access controls</w:t>
            </w:r>
          </w:p>
        </w:tc>
        <w:tc>
          <w:tcPr>
            <w:tcW w:w="2516" w:type="pct"/>
          </w:tcPr>
          <w:p w14:paraId="5CF5DDED" w14:textId="77777777" w:rsidR="003939A1" w:rsidRPr="001D7A27" w:rsidRDefault="003939A1" w:rsidP="00FF121B">
            <w:pPr>
              <w:pStyle w:val="Normal-TableText"/>
            </w:pPr>
            <w:r w:rsidRPr="001D7A27">
              <w:t>Data transfer procedures</w:t>
            </w:r>
          </w:p>
        </w:tc>
      </w:tr>
    </w:tbl>
    <w:p w14:paraId="0384D0D6" w14:textId="77777777" w:rsidR="00215226" w:rsidRPr="001D7A27" w:rsidRDefault="00215226" w:rsidP="00426C67">
      <w:pPr>
        <w:spacing w:line="240" w:lineRule="exact"/>
      </w:pPr>
      <w:r w:rsidRPr="001D7A27">
        <w:t xml:space="preserve">Key risks that the Service Provider </w:t>
      </w:r>
      <w:r w:rsidRPr="00D825A0">
        <w:rPr>
          <w:rStyle w:val="Strong"/>
        </w:rPr>
        <w:t>SHOULD</w:t>
      </w:r>
      <w:r w:rsidRPr="001D7A27">
        <w:t xml:space="preserve"> consider (but not limited to):</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4550"/>
        <w:gridCol w:w="4510"/>
      </w:tblGrid>
      <w:tr w:rsidR="009614D3" w:rsidRPr="003939A1" w14:paraId="3EAF5167" w14:textId="77777777" w:rsidTr="009614D3">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402DF8D1" w14:textId="2F9FD326" w:rsidR="009614D3" w:rsidRPr="00E21751" w:rsidRDefault="009614D3" w:rsidP="00FF121B">
            <w:pPr>
              <w:pStyle w:val="Normal-TableText"/>
              <w:rPr>
                <w:lang w:val="en-GB"/>
              </w:rPr>
            </w:pPr>
            <w:r w:rsidRPr="00E21751">
              <w:rPr>
                <w:lang w:val="en-GB"/>
              </w:rPr>
              <w:t>Key risks that the Service Provider SHOULD consider (but not limited to):</w:t>
            </w:r>
          </w:p>
        </w:tc>
      </w:tr>
      <w:tr w:rsidR="003939A1" w:rsidRPr="003939A1" w14:paraId="2D757DE4" w14:textId="77777777" w:rsidTr="00BD2B67">
        <w:tc>
          <w:tcPr>
            <w:tcW w:w="2511" w:type="pct"/>
          </w:tcPr>
          <w:p w14:paraId="28FEDDFA" w14:textId="77777777" w:rsidR="003939A1" w:rsidRPr="003939A1" w:rsidRDefault="003939A1" w:rsidP="00FF121B">
            <w:pPr>
              <w:pStyle w:val="Normal-TableText"/>
              <w:rPr>
                <w:lang w:val="en-GB"/>
              </w:rPr>
            </w:pPr>
            <w:bookmarkStart w:id="233" w:name="_Toc426636700"/>
            <w:bookmarkStart w:id="234" w:name="_Toc426639984"/>
            <w:bookmarkStart w:id="235" w:name="_Toc430268936"/>
            <w:r w:rsidRPr="003939A1">
              <w:rPr>
                <w:lang w:val="en-GB"/>
              </w:rPr>
              <w:t>Building location, type and construction</w:t>
            </w:r>
          </w:p>
        </w:tc>
        <w:tc>
          <w:tcPr>
            <w:tcW w:w="2489" w:type="pct"/>
          </w:tcPr>
          <w:p w14:paraId="549684E7" w14:textId="77777777" w:rsidR="003939A1" w:rsidRPr="003939A1" w:rsidRDefault="003939A1" w:rsidP="00FF121B">
            <w:pPr>
              <w:pStyle w:val="Normal-TableText"/>
              <w:rPr>
                <w:lang w:val="en-GB"/>
              </w:rPr>
            </w:pPr>
            <w:r w:rsidRPr="003939A1">
              <w:rPr>
                <w:lang w:val="en-GB"/>
              </w:rPr>
              <w:t>Shared tenancy requirements (physical and logical)</w:t>
            </w:r>
          </w:p>
        </w:tc>
      </w:tr>
      <w:tr w:rsidR="003939A1" w:rsidRPr="003939A1" w14:paraId="7CB1B775" w14:textId="77777777" w:rsidTr="00BD2B67">
        <w:tc>
          <w:tcPr>
            <w:tcW w:w="2511" w:type="pct"/>
          </w:tcPr>
          <w:p w14:paraId="0F6B63DB" w14:textId="77777777" w:rsidR="003939A1" w:rsidRPr="003939A1" w:rsidRDefault="003939A1" w:rsidP="00FF121B">
            <w:pPr>
              <w:pStyle w:val="Normal-TableText"/>
              <w:rPr>
                <w:lang w:val="en-GB"/>
              </w:rPr>
            </w:pPr>
            <w:r w:rsidRPr="003939A1">
              <w:rPr>
                <w:lang w:val="en-GB"/>
              </w:rPr>
              <w:t>Local crime activity</w:t>
            </w:r>
          </w:p>
        </w:tc>
        <w:tc>
          <w:tcPr>
            <w:tcW w:w="2489" w:type="pct"/>
          </w:tcPr>
          <w:p w14:paraId="25E27BBD" w14:textId="77777777" w:rsidR="003939A1" w:rsidRPr="003939A1" w:rsidRDefault="003939A1" w:rsidP="00FF121B">
            <w:pPr>
              <w:pStyle w:val="Normal-TableText"/>
              <w:rPr>
                <w:lang w:val="en-GB"/>
              </w:rPr>
            </w:pPr>
            <w:r w:rsidRPr="003939A1">
              <w:rPr>
                <w:lang w:val="en-GB"/>
              </w:rPr>
              <w:t>Location and security of environments used for the creation and issuance of digital certificates</w:t>
            </w:r>
          </w:p>
        </w:tc>
      </w:tr>
      <w:tr w:rsidR="003939A1" w:rsidRPr="003939A1" w14:paraId="7142B370" w14:textId="77777777" w:rsidTr="00BD2B67">
        <w:tc>
          <w:tcPr>
            <w:tcW w:w="2511" w:type="pct"/>
          </w:tcPr>
          <w:p w14:paraId="48D7ED61" w14:textId="77777777" w:rsidR="003939A1" w:rsidRPr="003939A1" w:rsidRDefault="003939A1" w:rsidP="00FF121B">
            <w:pPr>
              <w:pStyle w:val="Normal-TableText"/>
              <w:rPr>
                <w:lang w:val="en-GB"/>
              </w:rPr>
            </w:pPr>
            <w:r w:rsidRPr="003939A1">
              <w:rPr>
                <w:lang w:val="en-GB"/>
              </w:rPr>
              <w:br w:type="page"/>
              <w:t>Availability and redundancy of entry points for communications services</w:t>
            </w:r>
          </w:p>
        </w:tc>
        <w:tc>
          <w:tcPr>
            <w:tcW w:w="2489" w:type="pct"/>
          </w:tcPr>
          <w:p w14:paraId="1EBA6F0B" w14:textId="77777777" w:rsidR="003939A1" w:rsidRPr="003939A1" w:rsidRDefault="003939A1" w:rsidP="00FF121B">
            <w:pPr>
              <w:pStyle w:val="Normal-TableText"/>
              <w:rPr>
                <w:lang w:val="en-GB"/>
              </w:rPr>
            </w:pPr>
            <w:r w:rsidRPr="003939A1">
              <w:rPr>
                <w:lang w:val="en-GB"/>
              </w:rPr>
              <w:t>Availability and redundancy of entry pints for other essential services</w:t>
            </w:r>
          </w:p>
        </w:tc>
      </w:tr>
      <w:tr w:rsidR="003939A1" w:rsidRPr="003939A1" w14:paraId="29B024B1" w14:textId="77777777" w:rsidTr="00BD2B67">
        <w:tc>
          <w:tcPr>
            <w:tcW w:w="2511" w:type="pct"/>
          </w:tcPr>
          <w:p w14:paraId="26EAC39A" w14:textId="77777777" w:rsidR="003939A1" w:rsidRPr="003939A1" w:rsidRDefault="003939A1" w:rsidP="00FF121B">
            <w:pPr>
              <w:pStyle w:val="Normal-TableText"/>
              <w:rPr>
                <w:lang w:val="en-GB"/>
              </w:rPr>
            </w:pPr>
            <w:r w:rsidRPr="003939A1">
              <w:rPr>
                <w:lang w:val="en-GB"/>
              </w:rPr>
              <w:t>Building setbacks relative to street frontage</w:t>
            </w:r>
          </w:p>
        </w:tc>
        <w:tc>
          <w:tcPr>
            <w:tcW w:w="2489" w:type="pct"/>
          </w:tcPr>
          <w:p w14:paraId="175EC4CA" w14:textId="77777777" w:rsidR="003939A1" w:rsidRPr="003939A1" w:rsidRDefault="003939A1" w:rsidP="00FF121B">
            <w:pPr>
              <w:pStyle w:val="Normal-TableText"/>
              <w:rPr>
                <w:lang w:val="en-GB"/>
              </w:rPr>
            </w:pPr>
            <w:r w:rsidRPr="003939A1">
              <w:rPr>
                <w:lang w:val="en-GB"/>
              </w:rPr>
              <w:t>Inadequate PSRR and SRMP undertaken</w:t>
            </w:r>
          </w:p>
        </w:tc>
      </w:tr>
      <w:tr w:rsidR="003939A1" w:rsidRPr="003939A1" w14:paraId="2B7FD5CC" w14:textId="77777777" w:rsidTr="00BD2B67">
        <w:tc>
          <w:tcPr>
            <w:tcW w:w="2511" w:type="pct"/>
          </w:tcPr>
          <w:p w14:paraId="657C73B0" w14:textId="77777777" w:rsidR="003939A1" w:rsidRPr="003939A1" w:rsidRDefault="003939A1" w:rsidP="00FF121B">
            <w:pPr>
              <w:pStyle w:val="Normal-TableText"/>
              <w:rPr>
                <w:lang w:val="en-GB"/>
              </w:rPr>
            </w:pPr>
            <w:r w:rsidRPr="003939A1">
              <w:rPr>
                <w:lang w:val="en-GB"/>
              </w:rPr>
              <w:t>Pedestrian traffic</w:t>
            </w:r>
          </w:p>
        </w:tc>
        <w:tc>
          <w:tcPr>
            <w:tcW w:w="2489" w:type="pct"/>
          </w:tcPr>
          <w:p w14:paraId="726F1B86" w14:textId="77777777" w:rsidR="003939A1" w:rsidRPr="003939A1" w:rsidRDefault="003939A1" w:rsidP="00FF121B">
            <w:pPr>
              <w:pStyle w:val="Normal-TableText"/>
              <w:rPr>
                <w:lang w:val="en-GB"/>
              </w:rPr>
            </w:pPr>
            <w:r w:rsidRPr="003939A1">
              <w:rPr>
                <w:lang w:val="en-GB"/>
              </w:rPr>
              <w:t>Vehicular traffic</w:t>
            </w:r>
          </w:p>
        </w:tc>
      </w:tr>
      <w:tr w:rsidR="003939A1" w:rsidRPr="003939A1" w14:paraId="0736C2CA" w14:textId="77777777" w:rsidTr="00BD2B67">
        <w:tc>
          <w:tcPr>
            <w:tcW w:w="2511" w:type="pct"/>
          </w:tcPr>
          <w:p w14:paraId="6239BF29" w14:textId="77777777" w:rsidR="003939A1" w:rsidRPr="003939A1" w:rsidRDefault="003939A1" w:rsidP="00FF121B">
            <w:pPr>
              <w:pStyle w:val="Normal-TableText"/>
              <w:rPr>
                <w:lang w:val="en-GB"/>
              </w:rPr>
            </w:pPr>
            <w:r w:rsidRPr="003939A1">
              <w:rPr>
                <w:lang w:val="en-GB"/>
              </w:rPr>
              <w:t>Lack of regular security reviews</w:t>
            </w:r>
          </w:p>
        </w:tc>
        <w:tc>
          <w:tcPr>
            <w:tcW w:w="2489" w:type="pct"/>
          </w:tcPr>
          <w:p w14:paraId="5C676FBE" w14:textId="77777777" w:rsidR="003939A1" w:rsidRPr="003939A1" w:rsidRDefault="003939A1" w:rsidP="00FF121B">
            <w:pPr>
              <w:pStyle w:val="Normal-TableText"/>
              <w:rPr>
                <w:lang w:val="en-GB"/>
              </w:rPr>
            </w:pPr>
            <w:r w:rsidRPr="003939A1">
              <w:rPr>
                <w:lang w:val="en-GB"/>
              </w:rPr>
              <w:t xml:space="preserve">Inadequate vetting of staff or contractors </w:t>
            </w:r>
          </w:p>
        </w:tc>
      </w:tr>
      <w:tr w:rsidR="003939A1" w:rsidRPr="003939A1" w14:paraId="360B0F2F" w14:textId="77777777" w:rsidTr="00BD2B67">
        <w:tc>
          <w:tcPr>
            <w:tcW w:w="2511" w:type="pct"/>
          </w:tcPr>
          <w:p w14:paraId="5ADB6F09" w14:textId="77777777" w:rsidR="003939A1" w:rsidRPr="003939A1" w:rsidRDefault="003939A1" w:rsidP="00FF121B">
            <w:pPr>
              <w:pStyle w:val="Normal-TableText"/>
              <w:rPr>
                <w:lang w:val="en-GB"/>
              </w:rPr>
            </w:pPr>
            <w:r w:rsidRPr="003939A1">
              <w:rPr>
                <w:lang w:val="en-GB"/>
              </w:rPr>
              <w:t>Intermittent electricity outages</w:t>
            </w:r>
          </w:p>
        </w:tc>
        <w:tc>
          <w:tcPr>
            <w:tcW w:w="2489" w:type="pct"/>
          </w:tcPr>
          <w:p w14:paraId="2F3F9A31" w14:textId="77777777" w:rsidR="003939A1" w:rsidRPr="003939A1" w:rsidRDefault="003939A1" w:rsidP="00FF121B">
            <w:pPr>
              <w:pStyle w:val="Normal-TableText"/>
              <w:rPr>
                <w:lang w:val="en-GB"/>
              </w:rPr>
            </w:pPr>
            <w:r w:rsidRPr="003939A1">
              <w:rPr>
                <w:lang w:val="en-GB"/>
              </w:rPr>
              <w:t>Internet connectivity outages</w:t>
            </w:r>
          </w:p>
        </w:tc>
      </w:tr>
      <w:tr w:rsidR="003939A1" w:rsidRPr="003939A1" w14:paraId="24078673" w14:textId="77777777" w:rsidTr="00BD2B67">
        <w:tc>
          <w:tcPr>
            <w:tcW w:w="2511" w:type="pct"/>
          </w:tcPr>
          <w:p w14:paraId="61525F8E" w14:textId="77777777" w:rsidR="003939A1" w:rsidRPr="003939A1" w:rsidRDefault="003939A1" w:rsidP="00FF121B">
            <w:pPr>
              <w:pStyle w:val="Normal-TableText"/>
              <w:rPr>
                <w:lang w:val="en-GB"/>
              </w:rPr>
            </w:pPr>
            <w:r w:rsidRPr="003939A1">
              <w:rPr>
                <w:lang w:val="en-GB"/>
              </w:rPr>
              <w:t xml:space="preserve">Fire </w:t>
            </w:r>
          </w:p>
        </w:tc>
        <w:tc>
          <w:tcPr>
            <w:tcW w:w="2489" w:type="pct"/>
          </w:tcPr>
          <w:p w14:paraId="3028B07D" w14:textId="77777777" w:rsidR="003939A1" w:rsidRPr="003939A1" w:rsidRDefault="003939A1" w:rsidP="00FF121B">
            <w:pPr>
              <w:pStyle w:val="Normal-TableText"/>
              <w:rPr>
                <w:lang w:val="en-GB"/>
              </w:rPr>
            </w:pPr>
            <w:r w:rsidRPr="003939A1">
              <w:rPr>
                <w:lang w:val="en-GB"/>
              </w:rPr>
              <w:t>Long term electricity outages</w:t>
            </w:r>
          </w:p>
        </w:tc>
      </w:tr>
      <w:tr w:rsidR="003939A1" w:rsidRPr="003939A1" w14:paraId="72F1D917" w14:textId="77777777" w:rsidTr="00BD2B67">
        <w:tc>
          <w:tcPr>
            <w:tcW w:w="2511" w:type="pct"/>
          </w:tcPr>
          <w:p w14:paraId="4FBDB7DA" w14:textId="77777777" w:rsidR="003939A1" w:rsidRPr="003939A1" w:rsidRDefault="003939A1" w:rsidP="00FF121B">
            <w:pPr>
              <w:pStyle w:val="Normal-TableText"/>
              <w:rPr>
                <w:lang w:val="en-GB"/>
              </w:rPr>
            </w:pPr>
            <w:r w:rsidRPr="003939A1">
              <w:rPr>
                <w:lang w:val="en-GB"/>
              </w:rPr>
              <w:t>Inappropriate storage of keys, certificates and passphrases</w:t>
            </w:r>
          </w:p>
        </w:tc>
        <w:tc>
          <w:tcPr>
            <w:tcW w:w="2489" w:type="pct"/>
          </w:tcPr>
          <w:p w14:paraId="3C430A60" w14:textId="77777777" w:rsidR="003939A1" w:rsidRPr="003939A1" w:rsidRDefault="003939A1" w:rsidP="00FF121B">
            <w:pPr>
              <w:pStyle w:val="Normal-TableText"/>
              <w:rPr>
                <w:lang w:val="en-GB"/>
              </w:rPr>
            </w:pPr>
            <w:r w:rsidRPr="003939A1">
              <w:rPr>
                <w:lang w:val="en-GB"/>
              </w:rPr>
              <w:t>Poor disaster recovery and business continuity planning</w:t>
            </w:r>
          </w:p>
        </w:tc>
      </w:tr>
      <w:tr w:rsidR="003939A1" w:rsidRPr="003939A1" w14:paraId="3861EDD7" w14:textId="77777777" w:rsidTr="00BD2B67">
        <w:tc>
          <w:tcPr>
            <w:tcW w:w="2511" w:type="pct"/>
          </w:tcPr>
          <w:p w14:paraId="43224DDA" w14:textId="77777777" w:rsidR="003939A1" w:rsidRPr="003939A1" w:rsidRDefault="003939A1" w:rsidP="00FF121B">
            <w:pPr>
              <w:pStyle w:val="Normal-TableText"/>
              <w:rPr>
                <w:lang w:val="en-GB"/>
              </w:rPr>
            </w:pPr>
            <w:r w:rsidRPr="003939A1">
              <w:rPr>
                <w:lang w:val="en-GB"/>
              </w:rPr>
              <w:lastRenderedPageBreak/>
              <w:t>Cryptographic product failure</w:t>
            </w:r>
          </w:p>
        </w:tc>
        <w:tc>
          <w:tcPr>
            <w:tcW w:w="2489" w:type="pct"/>
          </w:tcPr>
          <w:p w14:paraId="16117FD6" w14:textId="77777777" w:rsidR="003939A1" w:rsidRPr="003939A1" w:rsidRDefault="003939A1" w:rsidP="00FF121B">
            <w:pPr>
              <w:pStyle w:val="Normal-TableText"/>
              <w:rPr>
                <w:lang w:val="en-GB"/>
              </w:rPr>
            </w:pPr>
            <w:r w:rsidRPr="003939A1">
              <w:rPr>
                <w:lang w:val="en-GB"/>
              </w:rPr>
              <w:t>Failures in the registration process when enrolling applicants for digital certificates</w:t>
            </w:r>
          </w:p>
        </w:tc>
      </w:tr>
      <w:tr w:rsidR="003939A1" w:rsidRPr="003939A1" w14:paraId="6B0603E6" w14:textId="77777777" w:rsidTr="00BD2B67">
        <w:tc>
          <w:tcPr>
            <w:tcW w:w="2511" w:type="pct"/>
          </w:tcPr>
          <w:p w14:paraId="1FEE1452" w14:textId="77777777" w:rsidR="003939A1" w:rsidRPr="003939A1" w:rsidRDefault="003939A1" w:rsidP="00FF121B">
            <w:pPr>
              <w:pStyle w:val="Normal-TableText"/>
              <w:rPr>
                <w:lang w:val="en-GB"/>
              </w:rPr>
            </w:pPr>
            <w:r w:rsidRPr="003939A1">
              <w:rPr>
                <w:lang w:val="en-GB"/>
              </w:rPr>
              <w:t>Relying Party software application error</w:t>
            </w:r>
          </w:p>
        </w:tc>
        <w:tc>
          <w:tcPr>
            <w:tcW w:w="2489" w:type="pct"/>
          </w:tcPr>
          <w:p w14:paraId="0B8E3EA5" w14:textId="77777777" w:rsidR="003939A1" w:rsidRPr="003939A1" w:rsidRDefault="003939A1" w:rsidP="00FF121B">
            <w:pPr>
              <w:pStyle w:val="Normal-TableText"/>
              <w:rPr>
                <w:lang w:val="en-GB"/>
              </w:rPr>
            </w:pPr>
            <w:r w:rsidRPr="003939A1">
              <w:rPr>
                <w:lang w:val="en-GB"/>
              </w:rPr>
              <w:t>System integration failures</w:t>
            </w:r>
          </w:p>
        </w:tc>
      </w:tr>
      <w:tr w:rsidR="003939A1" w:rsidRPr="003939A1" w14:paraId="0E42410B" w14:textId="77777777" w:rsidTr="00BD2B67">
        <w:tc>
          <w:tcPr>
            <w:tcW w:w="2511" w:type="pct"/>
          </w:tcPr>
          <w:p w14:paraId="60D08517" w14:textId="77777777" w:rsidR="003939A1" w:rsidRPr="003939A1" w:rsidRDefault="003939A1" w:rsidP="00FF121B">
            <w:pPr>
              <w:pStyle w:val="Normal-TableText"/>
              <w:rPr>
                <w:lang w:val="en-GB"/>
              </w:rPr>
            </w:pPr>
            <w:r w:rsidRPr="003939A1">
              <w:rPr>
                <w:lang w:val="en-GB"/>
              </w:rPr>
              <w:t>Inadequate treatment to physical security requirements</w:t>
            </w:r>
          </w:p>
        </w:tc>
        <w:tc>
          <w:tcPr>
            <w:tcW w:w="2489" w:type="pct"/>
          </w:tcPr>
          <w:p w14:paraId="3A8EAAFB" w14:textId="77777777" w:rsidR="003939A1" w:rsidRPr="003939A1" w:rsidRDefault="003939A1" w:rsidP="00FF121B">
            <w:pPr>
              <w:pStyle w:val="Normal-TableText"/>
              <w:rPr>
                <w:lang w:val="en-GB"/>
              </w:rPr>
            </w:pPr>
            <w:r w:rsidRPr="003939A1">
              <w:rPr>
                <w:lang w:val="en-GB"/>
              </w:rPr>
              <w:t>Failure to comply with standards</w:t>
            </w:r>
          </w:p>
        </w:tc>
      </w:tr>
      <w:tr w:rsidR="003939A1" w:rsidRPr="003939A1" w14:paraId="02DC8E6B" w14:textId="77777777" w:rsidTr="00BD2B67">
        <w:tc>
          <w:tcPr>
            <w:tcW w:w="2511" w:type="pct"/>
          </w:tcPr>
          <w:p w14:paraId="1EC5FF04" w14:textId="77777777" w:rsidR="003939A1" w:rsidRPr="003939A1" w:rsidRDefault="003939A1" w:rsidP="00FF121B">
            <w:pPr>
              <w:pStyle w:val="Normal-TableText"/>
              <w:rPr>
                <w:lang w:val="en-GB"/>
              </w:rPr>
            </w:pPr>
            <w:r w:rsidRPr="003939A1">
              <w:rPr>
                <w:lang w:val="en-GB"/>
              </w:rPr>
              <w:t>Malicious code infection</w:t>
            </w:r>
          </w:p>
        </w:tc>
        <w:tc>
          <w:tcPr>
            <w:tcW w:w="2489" w:type="pct"/>
          </w:tcPr>
          <w:p w14:paraId="2CD502E3" w14:textId="77777777" w:rsidR="003939A1" w:rsidRPr="003939A1" w:rsidRDefault="003939A1" w:rsidP="00FF121B">
            <w:pPr>
              <w:pStyle w:val="Normal-TableText"/>
              <w:rPr>
                <w:lang w:val="en-GB"/>
              </w:rPr>
            </w:pPr>
            <w:r w:rsidRPr="003939A1">
              <w:rPr>
                <w:lang w:val="en-GB"/>
              </w:rPr>
              <w:t>Unauthorised access to systems</w:t>
            </w:r>
          </w:p>
        </w:tc>
      </w:tr>
      <w:tr w:rsidR="003939A1" w:rsidRPr="003939A1" w14:paraId="3869E15D" w14:textId="77777777" w:rsidTr="00BD2B67">
        <w:tc>
          <w:tcPr>
            <w:tcW w:w="2511" w:type="pct"/>
          </w:tcPr>
          <w:p w14:paraId="62504B14" w14:textId="77777777" w:rsidR="003939A1" w:rsidRPr="003939A1" w:rsidRDefault="003939A1" w:rsidP="00FF121B">
            <w:pPr>
              <w:pStyle w:val="Normal-TableText"/>
              <w:rPr>
                <w:lang w:val="en-GB"/>
              </w:rPr>
            </w:pPr>
            <w:r w:rsidRPr="003939A1">
              <w:rPr>
                <w:lang w:val="en-GB"/>
              </w:rPr>
              <w:t>Information leakage (data spill risks)</w:t>
            </w:r>
          </w:p>
        </w:tc>
        <w:tc>
          <w:tcPr>
            <w:tcW w:w="2489" w:type="pct"/>
          </w:tcPr>
          <w:p w14:paraId="3D5D1E8D" w14:textId="77777777" w:rsidR="003939A1" w:rsidRPr="003939A1" w:rsidRDefault="003939A1" w:rsidP="00FF121B">
            <w:pPr>
              <w:pStyle w:val="Normal-TableText"/>
              <w:rPr>
                <w:lang w:val="en-GB"/>
              </w:rPr>
            </w:pPr>
            <w:r w:rsidRPr="003939A1">
              <w:rPr>
                <w:lang w:val="en-GB"/>
              </w:rPr>
              <w:t>Reputation damage resulting from system or information compromise</w:t>
            </w:r>
          </w:p>
        </w:tc>
      </w:tr>
      <w:tr w:rsidR="003939A1" w:rsidRPr="003939A1" w14:paraId="757461B9" w14:textId="77777777" w:rsidTr="00BD2B67">
        <w:tc>
          <w:tcPr>
            <w:tcW w:w="2511" w:type="pct"/>
          </w:tcPr>
          <w:p w14:paraId="50F773F7" w14:textId="77777777" w:rsidR="003939A1" w:rsidRPr="003939A1" w:rsidRDefault="003939A1" w:rsidP="00FF121B">
            <w:pPr>
              <w:pStyle w:val="Normal-TableText"/>
              <w:rPr>
                <w:lang w:val="en-GB"/>
              </w:rPr>
            </w:pPr>
            <w:r w:rsidRPr="003939A1">
              <w:rPr>
                <w:lang w:val="en-GB"/>
              </w:rPr>
              <w:t>Exploitation through security vulnerabilities</w:t>
            </w:r>
          </w:p>
        </w:tc>
        <w:tc>
          <w:tcPr>
            <w:tcW w:w="2489" w:type="pct"/>
          </w:tcPr>
          <w:p w14:paraId="4028BA00" w14:textId="77777777" w:rsidR="003939A1" w:rsidRPr="003939A1" w:rsidRDefault="003939A1" w:rsidP="00FF121B">
            <w:pPr>
              <w:pStyle w:val="Normal-TableText"/>
              <w:rPr>
                <w:lang w:val="en-GB"/>
              </w:rPr>
            </w:pPr>
            <w:r w:rsidRPr="003939A1">
              <w:rPr>
                <w:lang w:val="en-GB"/>
              </w:rPr>
              <w:t>Abuse of privilege by administrators</w:t>
            </w:r>
          </w:p>
        </w:tc>
      </w:tr>
      <w:tr w:rsidR="003939A1" w:rsidRPr="003939A1" w14:paraId="4EACE34C" w14:textId="77777777" w:rsidTr="00BD2B67">
        <w:tc>
          <w:tcPr>
            <w:tcW w:w="2511" w:type="pct"/>
          </w:tcPr>
          <w:p w14:paraId="0CD5DA3D" w14:textId="77777777" w:rsidR="003939A1" w:rsidRPr="003939A1" w:rsidRDefault="003939A1" w:rsidP="00FF121B">
            <w:pPr>
              <w:pStyle w:val="Normal-TableText"/>
              <w:rPr>
                <w:lang w:val="en-GB"/>
              </w:rPr>
            </w:pPr>
            <w:r w:rsidRPr="003939A1">
              <w:rPr>
                <w:lang w:val="en-GB"/>
              </w:rPr>
              <w:t>Denial of service</w:t>
            </w:r>
          </w:p>
        </w:tc>
        <w:tc>
          <w:tcPr>
            <w:tcW w:w="2489" w:type="pct"/>
          </w:tcPr>
          <w:p w14:paraId="03221C86" w14:textId="77777777" w:rsidR="003939A1" w:rsidRPr="003939A1" w:rsidRDefault="003939A1" w:rsidP="00FF121B">
            <w:pPr>
              <w:pStyle w:val="Normal-TableText"/>
              <w:rPr>
                <w:lang w:val="en-GB"/>
              </w:rPr>
            </w:pPr>
            <w:r w:rsidRPr="003939A1">
              <w:rPr>
                <w:lang w:val="en-GB"/>
              </w:rPr>
              <w:t>Use of non-evaluated products</w:t>
            </w:r>
          </w:p>
        </w:tc>
      </w:tr>
    </w:tbl>
    <w:p w14:paraId="61DDFD3B" w14:textId="77777777" w:rsidR="00215226" w:rsidRPr="003E302C" w:rsidRDefault="00215226" w:rsidP="0031226E">
      <w:pPr>
        <w:pStyle w:val="Heading2Numbered"/>
      </w:pPr>
      <w:r w:rsidRPr="003E302C">
        <w:t>System Security Plan</w:t>
      </w:r>
      <w:bookmarkEnd w:id="233"/>
      <w:bookmarkEnd w:id="234"/>
      <w:bookmarkEnd w:id="235"/>
    </w:p>
    <w:p w14:paraId="1C48B3E7" w14:textId="77777777" w:rsidR="00215226" w:rsidRDefault="00215226" w:rsidP="00BC6CAC">
      <w:r w:rsidRPr="001D7A27">
        <w:t>The SSP is part of the SRMP and describes the implementation and operation of security controls for a system.</w:t>
      </w:r>
      <w:r>
        <w:t xml:space="preserve"> </w:t>
      </w:r>
    </w:p>
    <w:p w14:paraId="2C2A54E0" w14:textId="77777777" w:rsidR="00BC6CAC" w:rsidRPr="001D7A27" w:rsidRDefault="00BC6CAC" w:rsidP="00BC6CAC">
      <w:pPr>
        <w:pStyle w:val="BoxText"/>
      </w:pPr>
      <w:r w:rsidRPr="001D7A27">
        <w:t xml:space="preserve">Service Providers </w:t>
      </w:r>
      <w:r w:rsidRPr="00D825A0">
        <w:rPr>
          <w:rStyle w:val="Strong"/>
        </w:rPr>
        <w:t>MUST</w:t>
      </w:r>
      <w:r w:rsidRPr="001D7A27">
        <w:t xml:space="preserve"> ensure that every PKI-related system is covered by an SSP.</w:t>
      </w:r>
    </w:p>
    <w:p w14:paraId="6F06D270" w14:textId="77777777" w:rsidR="00215226" w:rsidRPr="001D7A27" w:rsidRDefault="00215226" w:rsidP="00BC6CAC">
      <w:r w:rsidRPr="001D7A27">
        <w:t xml:space="preserve">The key components in a Service Provider’s SSP </w:t>
      </w:r>
      <w:r w:rsidRPr="00D825A0">
        <w:rPr>
          <w:rStyle w:val="Strong"/>
        </w:rPr>
        <w:t>MUST</w:t>
      </w:r>
      <w:r w:rsidRPr="001D7A27">
        <w:t xml:space="preserve"> include at a minimum:</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4528"/>
        <w:gridCol w:w="4532"/>
      </w:tblGrid>
      <w:tr w:rsidR="009614D3" w:rsidRPr="003939A1" w14:paraId="3746C0A1" w14:textId="77777777" w:rsidTr="009614D3">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2F0A4005" w14:textId="0E68AEFB" w:rsidR="009614D3" w:rsidRPr="003939A1" w:rsidRDefault="009614D3">
            <w:pPr>
              <w:pStyle w:val="Normal-TableText"/>
              <w:rPr>
                <w:lang w:val="en-GB"/>
              </w:rPr>
            </w:pPr>
            <w:r>
              <w:rPr>
                <w:lang w:val="en-GB"/>
              </w:rPr>
              <w:t>Key components in a Service Provider’s SSP MUST include at a minimum:</w:t>
            </w:r>
          </w:p>
        </w:tc>
      </w:tr>
      <w:tr w:rsidR="003939A1" w:rsidRPr="003939A1" w14:paraId="1BF27FD4" w14:textId="77777777" w:rsidTr="00BD2B67">
        <w:tc>
          <w:tcPr>
            <w:tcW w:w="2499" w:type="pct"/>
          </w:tcPr>
          <w:p w14:paraId="52A2DE59" w14:textId="77777777" w:rsidR="003939A1" w:rsidRPr="003939A1" w:rsidRDefault="003939A1" w:rsidP="00FF121B">
            <w:pPr>
              <w:pStyle w:val="Normal-TableText"/>
              <w:rPr>
                <w:lang w:val="en-GB"/>
              </w:rPr>
            </w:pPr>
            <w:r w:rsidRPr="003939A1">
              <w:rPr>
                <w:lang w:val="en-GB"/>
              </w:rPr>
              <w:t>Security philosophy</w:t>
            </w:r>
          </w:p>
        </w:tc>
        <w:tc>
          <w:tcPr>
            <w:tcW w:w="2501" w:type="pct"/>
          </w:tcPr>
          <w:p w14:paraId="4D38ED40" w14:textId="77777777" w:rsidR="003939A1" w:rsidRPr="003939A1" w:rsidRDefault="003939A1" w:rsidP="00FF121B">
            <w:pPr>
              <w:pStyle w:val="Normal-TableText"/>
              <w:rPr>
                <w:lang w:val="en-GB"/>
              </w:rPr>
            </w:pPr>
            <w:r w:rsidRPr="003939A1">
              <w:rPr>
                <w:lang w:val="en-GB"/>
              </w:rPr>
              <w:t>Security roles and responsibilities</w:t>
            </w:r>
          </w:p>
        </w:tc>
      </w:tr>
      <w:tr w:rsidR="003939A1" w:rsidRPr="003939A1" w14:paraId="7EE9FA44" w14:textId="77777777" w:rsidTr="00BD2B67">
        <w:tc>
          <w:tcPr>
            <w:tcW w:w="2499" w:type="pct"/>
          </w:tcPr>
          <w:p w14:paraId="411E97BF" w14:textId="77777777" w:rsidR="003939A1" w:rsidRPr="003939A1" w:rsidRDefault="003939A1" w:rsidP="00FF121B">
            <w:pPr>
              <w:pStyle w:val="Normal-TableText"/>
              <w:rPr>
                <w:lang w:val="en-GB"/>
              </w:rPr>
            </w:pPr>
            <w:r w:rsidRPr="003939A1">
              <w:rPr>
                <w:lang w:val="en-GB"/>
              </w:rPr>
              <w:t>Management of staff</w:t>
            </w:r>
          </w:p>
        </w:tc>
        <w:tc>
          <w:tcPr>
            <w:tcW w:w="2501" w:type="pct"/>
          </w:tcPr>
          <w:p w14:paraId="4DB048E9" w14:textId="77777777" w:rsidR="003939A1" w:rsidRPr="003939A1" w:rsidRDefault="003939A1" w:rsidP="00FF121B">
            <w:pPr>
              <w:pStyle w:val="Normal-TableText"/>
              <w:rPr>
                <w:lang w:val="en-GB"/>
              </w:rPr>
            </w:pPr>
            <w:r w:rsidRPr="003939A1">
              <w:rPr>
                <w:lang w:val="en-GB"/>
              </w:rPr>
              <w:t>Management of visitors (e.g. escorting)</w:t>
            </w:r>
          </w:p>
        </w:tc>
      </w:tr>
      <w:tr w:rsidR="003939A1" w:rsidRPr="003939A1" w14:paraId="2A931F26" w14:textId="77777777" w:rsidTr="00BD2B67">
        <w:tc>
          <w:tcPr>
            <w:tcW w:w="2499" w:type="pct"/>
          </w:tcPr>
          <w:p w14:paraId="71330AEC" w14:textId="77777777" w:rsidR="003939A1" w:rsidRPr="003939A1" w:rsidRDefault="003939A1" w:rsidP="00FF121B">
            <w:pPr>
              <w:pStyle w:val="Normal-TableText"/>
              <w:rPr>
                <w:lang w:val="en-GB"/>
              </w:rPr>
            </w:pPr>
            <w:r w:rsidRPr="003939A1">
              <w:rPr>
                <w:lang w:val="en-GB"/>
              </w:rPr>
              <w:t>Management of contractors</w:t>
            </w:r>
          </w:p>
        </w:tc>
        <w:tc>
          <w:tcPr>
            <w:tcW w:w="2501" w:type="pct"/>
          </w:tcPr>
          <w:p w14:paraId="4E36E244" w14:textId="77777777" w:rsidR="003939A1" w:rsidRPr="003939A1" w:rsidRDefault="003939A1" w:rsidP="00FF121B">
            <w:pPr>
              <w:pStyle w:val="Normal-TableText"/>
              <w:rPr>
                <w:lang w:val="en-GB"/>
              </w:rPr>
            </w:pPr>
            <w:r w:rsidRPr="003939A1">
              <w:rPr>
                <w:lang w:val="en-GB"/>
              </w:rPr>
              <w:t>Response details in the event of an incident (e.g. CA compromise)</w:t>
            </w:r>
          </w:p>
        </w:tc>
      </w:tr>
      <w:tr w:rsidR="003939A1" w:rsidRPr="003939A1" w14:paraId="54B3FBB7" w14:textId="77777777" w:rsidTr="00BD2B67">
        <w:trPr>
          <w:trHeight w:val="207"/>
        </w:trPr>
        <w:tc>
          <w:tcPr>
            <w:tcW w:w="2499" w:type="pct"/>
          </w:tcPr>
          <w:p w14:paraId="691EC37A" w14:textId="77777777" w:rsidR="003939A1" w:rsidRPr="003939A1" w:rsidRDefault="003939A1" w:rsidP="00FF121B">
            <w:pPr>
              <w:pStyle w:val="Normal-TableText"/>
              <w:rPr>
                <w:lang w:val="en-GB"/>
              </w:rPr>
            </w:pPr>
            <w:r w:rsidRPr="003939A1">
              <w:rPr>
                <w:lang w:val="en-GB"/>
              </w:rPr>
              <w:t>Staff training requirements</w:t>
            </w:r>
          </w:p>
        </w:tc>
        <w:tc>
          <w:tcPr>
            <w:tcW w:w="2501" w:type="pct"/>
          </w:tcPr>
          <w:p w14:paraId="5C3E14E2" w14:textId="77777777" w:rsidR="003939A1" w:rsidRPr="003939A1" w:rsidRDefault="003939A1" w:rsidP="00FF121B">
            <w:pPr>
              <w:pStyle w:val="Normal-TableText"/>
              <w:rPr>
                <w:lang w:val="en-GB"/>
              </w:rPr>
            </w:pPr>
            <w:r w:rsidRPr="003939A1">
              <w:rPr>
                <w:lang w:val="en-GB"/>
              </w:rPr>
              <w:t>System monitoring and maintenance regimes</w:t>
            </w:r>
          </w:p>
        </w:tc>
      </w:tr>
      <w:tr w:rsidR="003939A1" w:rsidRPr="003939A1" w14:paraId="04437EB4" w14:textId="77777777" w:rsidTr="00BD2B67">
        <w:tc>
          <w:tcPr>
            <w:tcW w:w="2499" w:type="pct"/>
          </w:tcPr>
          <w:p w14:paraId="17CC7E9D" w14:textId="77777777" w:rsidR="003939A1" w:rsidRPr="003939A1" w:rsidRDefault="003939A1" w:rsidP="00FF121B">
            <w:pPr>
              <w:pStyle w:val="Normal-TableText"/>
              <w:rPr>
                <w:lang w:val="en-GB"/>
              </w:rPr>
            </w:pPr>
            <w:r w:rsidRPr="003939A1">
              <w:rPr>
                <w:lang w:val="en-GB"/>
              </w:rPr>
              <w:t>Staff authorisation, clearance and  briefing requirements</w:t>
            </w:r>
          </w:p>
        </w:tc>
        <w:tc>
          <w:tcPr>
            <w:tcW w:w="2501" w:type="pct"/>
          </w:tcPr>
          <w:p w14:paraId="1B220C6D" w14:textId="77777777" w:rsidR="003939A1" w:rsidRPr="003939A1" w:rsidRDefault="003939A1" w:rsidP="00FF121B">
            <w:pPr>
              <w:pStyle w:val="Normal-TableText"/>
              <w:rPr>
                <w:lang w:val="en-GB"/>
              </w:rPr>
            </w:pPr>
            <w:r w:rsidRPr="003939A1">
              <w:rPr>
                <w:lang w:val="en-GB"/>
              </w:rPr>
              <w:t>Physical access controls</w:t>
            </w:r>
          </w:p>
        </w:tc>
      </w:tr>
      <w:tr w:rsidR="003939A1" w:rsidRPr="003939A1" w14:paraId="2D113252" w14:textId="77777777" w:rsidTr="00BD2B67">
        <w:tc>
          <w:tcPr>
            <w:tcW w:w="2499" w:type="pct"/>
          </w:tcPr>
          <w:p w14:paraId="2C606F59" w14:textId="77777777" w:rsidR="003939A1" w:rsidRPr="003939A1" w:rsidRDefault="003939A1" w:rsidP="00FF121B">
            <w:pPr>
              <w:pStyle w:val="Normal-TableText"/>
              <w:rPr>
                <w:lang w:val="en-GB"/>
              </w:rPr>
            </w:pPr>
            <w:r w:rsidRPr="003939A1">
              <w:rPr>
                <w:lang w:val="en-GB"/>
              </w:rPr>
              <w:t>Standard Operating Procedures for system-specific roles</w:t>
            </w:r>
          </w:p>
        </w:tc>
        <w:tc>
          <w:tcPr>
            <w:tcW w:w="2501" w:type="pct"/>
          </w:tcPr>
          <w:p w14:paraId="0A9C6667" w14:textId="77777777" w:rsidR="003939A1" w:rsidRPr="003939A1" w:rsidRDefault="003939A1" w:rsidP="00FF121B">
            <w:pPr>
              <w:pStyle w:val="Normal-TableText"/>
              <w:rPr>
                <w:lang w:val="en-GB"/>
              </w:rPr>
            </w:pPr>
            <w:r w:rsidRPr="003939A1">
              <w:rPr>
                <w:lang w:val="en-GB"/>
              </w:rPr>
              <w:t>Network and logical access controls</w:t>
            </w:r>
          </w:p>
        </w:tc>
      </w:tr>
      <w:tr w:rsidR="003939A1" w:rsidRPr="003939A1" w14:paraId="6D1F0BEC" w14:textId="77777777" w:rsidTr="00BD2B67">
        <w:tc>
          <w:tcPr>
            <w:tcW w:w="2499" w:type="pct"/>
          </w:tcPr>
          <w:p w14:paraId="07C43069" w14:textId="77777777" w:rsidR="003939A1" w:rsidRPr="003939A1" w:rsidRDefault="003939A1" w:rsidP="00FF121B">
            <w:pPr>
              <w:pStyle w:val="Normal-TableText"/>
              <w:rPr>
                <w:lang w:val="en-GB"/>
              </w:rPr>
            </w:pPr>
            <w:r w:rsidRPr="003939A1">
              <w:rPr>
                <w:lang w:val="en-GB"/>
              </w:rPr>
              <w:t>Key management</w:t>
            </w:r>
          </w:p>
        </w:tc>
        <w:tc>
          <w:tcPr>
            <w:tcW w:w="2501" w:type="pct"/>
          </w:tcPr>
          <w:p w14:paraId="0C81DD9A" w14:textId="77777777" w:rsidR="003939A1" w:rsidRPr="003939A1" w:rsidRDefault="003939A1" w:rsidP="00FF121B">
            <w:pPr>
              <w:pStyle w:val="Normal-TableText"/>
              <w:rPr>
                <w:lang w:val="en-GB"/>
              </w:rPr>
            </w:pPr>
            <w:r w:rsidRPr="003939A1">
              <w:rPr>
                <w:lang w:val="en-GB"/>
              </w:rPr>
              <w:t>Personnel access controls</w:t>
            </w:r>
          </w:p>
        </w:tc>
      </w:tr>
      <w:tr w:rsidR="003939A1" w:rsidRPr="003939A1" w14:paraId="0FC3E14A" w14:textId="77777777" w:rsidTr="00BD2B67">
        <w:tc>
          <w:tcPr>
            <w:tcW w:w="2499" w:type="pct"/>
          </w:tcPr>
          <w:p w14:paraId="5B1958AA" w14:textId="77777777" w:rsidR="003939A1" w:rsidRPr="003939A1" w:rsidRDefault="003939A1" w:rsidP="00FF121B">
            <w:pPr>
              <w:pStyle w:val="Normal-TableText"/>
              <w:rPr>
                <w:lang w:val="en-GB"/>
              </w:rPr>
            </w:pPr>
            <w:r w:rsidRPr="003939A1">
              <w:rPr>
                <w:lang w:val="en-GB"/>
              </w:rPr>
              <w:t>Intruder alarm systems</w:t>
            </w:r>
          </w:p>
        </w:tc>
        <w:tc>
          <w:tcPr>
            <w:tcW w:w="2501" w:type="pct"/>
          </w:tcPr>
          <w:p w14:paraId="766B5C61" w14:textId="77777777" w:rsidR="003939A1" w:rsidRPr="003939A1" w:rsidRDefault="003939A1" w:rsidP="00FF121B">
            <w:pPr>
              <w:pStyle w:val="Normal-TableText"/>
              <w:rPr>
                <w:lang w:val="en-GB"/>
              </w:rPr>
            </w:pPr>
            <w:r w:rsidRPr="003939A1">
              <w:rPr>
                <w:lang w:val="en-GB"/>
              </w:rPr>
              <w:t>Role and access privileges of guards</w:t>
            </w:r>
          </w:p>
        </w:tc>
      </w:tr>
      <w:tr w:rsidR="003939A1" w:rsidRPr="003939A1" w14:paraId="3A40DC0C" w14:textId="77777777" w:rsidTr="00BD2B67">
        <w:tc>
          <w:tcPr>
            <w:tcW w:w="2499" w:type="pct"/>
          </w:tcPr>
          <w:p w14:paraId="68A684A9" w14:textId="77777777" w:rsidR="003939A1" w:rsidRPr="003939A1" w:rsidRDefault="003939A1" w:rsidP="00FF121B">
            <w:pPr>
              <w:pStyle w:val="Normal-TableText"/>
              <w:rPr>
                <w:lang w:val="en-GB"/>
              </w:rPr>
            </w:pPr>
            <w:r w:rsidRPr="003939A1">
              <w:rPr>
                <w:lang w:val="en-GB"/>
              </w:rPr>
              <w:lastRenderedPageBreak/>
              <w:t>Staff requirements to hold Positions of Trust.</w:t>
            </w:r>
          </w:p>
        </w:tc>
        <w:tc>
          <w:tcPr>
            <w:tcW w:w="2501" w:type="pct"/>
          </w:tcPr>
          <w:p w14:paraId="573C2AC0" w14:textId="77777777" w:rsidR="003939A1" w:rsidRPr="003939A1" w:rsidRDefault="003939A1" w:rsidP="00FF121B">
            <w:pPr>
              <w:pStyle w:val="Normal-TableText"/>
              <w:rPr>
                <w:lang w:val="en-GB"/>
              </w:rPr>
            </w:pPr>
            <w:r w:rsidRPr="003939A1">
              <w:rPr>
                <w:lang w:val="en-GB"/>
              </w:rPr>
              <w:t>Intrusion detection and prevention strategies</w:t>
            </w:r>
          </w:p>
        </w:tc>
      </w:tr>
      <w:tr w:rsidR="003939A1" w:rsidRPr="003939A1" w14:paraId="39156C8C" w14:textId="77777777" w:rsidTr="00BD2B67">
        <w:tc>
          <w:tcPr>
            <w:tcW w:w="2499" w:type="pct"/>
          </w:tcPr>
          <w:p w14:paraId="65467918" w14:textId="77777777" w:rsidR="003939A1" w:rsidRPr="003939A1" w:rsidRDefault="003939A1" w:rsidP="00FF121B">
            <w:pPr>
              <w:pStyle w:val="Normal-TableText"/>
              <w:rPr>
                <w:lang w:val="en-GB"/>
              </w:rPr>
            </w:pPr>
            <w:r w:rsidRPr="003939A1">
              <w:rPr>
                <w:lang w:val="en-GB"/>
              </w:rPr>
              <w:t>Application and operating system patching strategies</w:t>
            </w:r>
          </w:p>
        </w:tc>
        <w:tc>
          <w:tcPr>
            <w:tcW w:w="2501" w:type="pct"/>
          </w:tcPr>
          <w:p w14:paraId="5BA08B86" w14:textId="77777777" w:rsidR="003939A1" w:rsidRPr="003939A1" w:rsidRDefault="003939A1" w:rsidP="00FF121B">
            <w:pPr>
              <w:pStyle w:val="Normal-TableText"/>
              <w:rPr>
                <w:lang w:val="en-GB"/>
              </w:rPr>
            </w:pPr>
            <w:r w:rsidRPr="003939A1">
              <w:rPr>
                <w:lang w:val="en-GB"/>
              </w:rPr>
              <w:t>Event logging</w:t>
            </w:r>
          </w:p>
        </w:tc>
      </w:tr>
    </w:tbl>
    <w:p w14:paraId="7751AAC6" w14:textId="77777777" w:rsidR="00215226" w:rsidRPr="003E302C" w:rsidRDefault="00215226" w:rsidP="00BC6CAC">
      <w:pPr>
        <w:pStyle w:val="Heading3Numbered"/>
      </w:pPr>
      <w:bookmarkStart w:id="236" w:name="_Toc426636701"/>
      <w:bookmarkStart w:id="237" w:name="_Toc426636825"/>
      <w:bookmarkStart w:id="238" w:name="_Toc426639985"/>
      <w:r w:rsidRPr="003E302C">
        <w:t>Standard Operating Procedures</w:t>
      </w:r>
      <w:bookmarkEnd w:id="236"/>
      <w:bookmarkEnd w:id="237"/>
      <w:bookmarkEnd w:id="238"/>
    </w:p>
    <w:p w14:paraId="13117421" w14:textId="77777777" w:rsidR="00215226" w:rsidRDefault="00215226" w:rsidP="00BC6CAC">
      <w:r w:rsidRPr="001D7A27">
        <w:t>Standard Operating Procedures provide a step-by-step guide to undertaking security related tasks.</w:t>
      </w:r>
      <w:r>
        <w:t xml:space="preserve"> </w:t>
      </w:r>
      <w:r w:rsidRPr="001D7A27">
        <w:t>They provide assurance that tasks can be undertaken in a repeatable manner, even by users without strong knowledge of the system.</w:t>
      </w:r>
    </w:p>
    <w:p w14:paraId="1FA0D5C1" w14:textId="77777777" w:rsidR="00BC6CAC" w:rsidRPr="001D7A27" w:rsidRDefault="00BC6CAC" w:rsidP="00BC6CAC">
      <w:pPr>
        <w:pStyle w:val="BoxText"/>
      </w:pPr>
      <w:r w:rsidRPr="001D7A27">
        <w:t>Service Providers</w:t>
      </w:r>
      <w:r w:rsidRPr="00D825A0">
        <w:rPr>
          <w:rStyle w:val="Strong"/>
        </w:rPr>
        <w:t xml:space="preserve"> MUST</w:t>
      </w:r>
      <w:r w:rsidRPr="001D7A27">
        <w:t xml:space="preserve"> ensure that SOPs are developed for all PKI-related systems</w:t>
      </w:r>
      <w:r>
        <w:t>.</w:t>
      </w:r>
    </w:p>
    <w:p w14:paraId="783516B1" w14:textId="77777777" w:rsidR="00215226" w:rsidRPr="001D7A27" w:rsidRDefault="00215226" w:rsidP="00BC6CAC">
      <w:r w:rsidRPr="001D7A27">
        <w:t xml:space="preserve">Information relating to the system-specific roles and responsibilities of IT security advisors, system managers, system administrators and system operators (i.e. employees with defined access rights to the CA operating system and peripheral systems to perform certificate lifecycle management functions) </w:t>
      </w:r>
      <w:r w:rsidRPr="00D825A0">
        <w:rPr>
          <w:rStyle w:val="Strong"/>
        </w:rPr>
        <w:t>SHOULD</w:t>
      </w:r>
      <w:r w:rsidRPr="001D7A27">
        <w:t xml:space="preserve"> be included in the SSP documentation.</w:t>
      </w:r>
    </w:p>
    <w:p w14:paraId="27B46C61" w14:textId="77777777" w:rsidR="00215226" w:rsidRDefault="00215226" w:rsidP="00BC6CAC">
      <w:r w:rsidRPr="001D7A27">
        <w:t>Service Providers</w:t>
      </w:r>
      <w:r w:rsidRPr="00D825A0">
        <w:rPr>
          <w:rStyle w:val="Strong"/>
        </w:rPr>
        <w:t xml:space="preserve"> SHOULD</w:t>
      </w:r>
      <w:r w:rsidRPr="001D7A27">
        <w:t xml:space="preserve"> develop SOPs for:</w:t>
      </w:r>
    </w:p>
    <w:p w14:paraId="4FAE8441" w14:textId="77777777" w:rsidR="00215226" w:rsidRPr="001D7A27" w:rsidRDefault="00215226" w:rsidP="00BC6CAC">
      <w:pPr>
        <w:pStyle w:val="Bullet1"/>
      </w:pPr>
      <w:r w:rsidRPr="001D7A27">
        <w:t>Information Technology Security Manager ITSM,</w:t>
      </w:r>
    </w:p>
    <w:p w14:paraId="7514823C" w14:textId="77777777" w:rsidR="00215226" w:rsidRPr="001D7A27" w:rsidRDefault="00215226" w:rsidP="00BC6CAC">
      <w:pPr>
        <w:pStyle w:val="Bullet1"/>
      </w:pPr>
      <w:r w:rsidRPr="001D7A27">
        <w:t>Information Technology Security Officer</w:t>
      </w:r>
      <w:r>
        <w:t xml:space="preserve"> </w:t>
      </w:r>
      <w:r w:rsidRPr="001D7A27">
        <w:t>(ITSO),</w:t>
      </w:r>
    </w:p>
    <w:p w14:paraId="2ED522B9" w14:textId="77777777" w:rsidR="00215226" w:rsidRPr="001D7A27" w:rsidRDefault="00215226" w:rsidP="00BC6CAC">
      <w:pPr>
        <w:pStyle w:val="Bullet1"/>
      </w:pPr>
      <w:r w:rsidRPr="001D7A27">
        <w:t>System Administrators, and,</w:t>
      </w:r>
    </w:p>
    <w:p w14:paraId="41A1CE7A" w14:textId="77777777" w:rsidR="00215226" w:rsidRPr="001D7A27" w:rsidRDefault="00BC6CAC" w:rsidP="00BC6CAC">
      <w:pPr>
        <w:pStyle w:val="Bullet1"/>
      </w:pPr>
      <w:r>
        <w:t>System Users.</w:t>
      </w:r>
    </w:p>
    <w:p w14:paraId="777AEBCB" w14:textId="77777777" w:rsidR="00BC6CAC" w:rsidRDefault="00BC6CAC" w:rsidP="00BC6CAC">
      <w:pPr>
        <w:pStyle w:val="BoxText"/>
      </w:pPr>
      <w:r w:rsidRPr="001D7A27">
        <w:t xml:space="preserve">Service Providers </w:t>
      </w:r>
      <w:r w:rsidRPr="00D825A0">
        <w:rPr>
          <w:rStyle w:val="Strong"/>
        </w:rPr>
        <w:t>MUST</w:t>
      </w:r>
      <w:r w:rsidRPr="001D7A27">
        <w:t xml:space="preserve"> include in standard procedures for all personnel with access to systems, a</w:t>
      </w:r>
      <w:r w:rsidR="00426C67">
        <w:t> </w:t>
      </w:r>
      <w:r w:rsidRPr="001D7A27">
        <w:t>requirement that they notify an ITSM of any cyber security incident and access to any data which they are not authorised to access.</w:t>
      </w:r>
    </w:p>
    <w:p w14:paraId="41B4C3E8" w14:textId="77777777" w:rsidR="00215226" w:rsidRPr="001D7A27" w:rsidRDefault="00215226" w:rsidP="00BC6CAC">
      <w:r w:rsidRPr="001D7A27">
        <w:t xml:space="preserve">The ITSM SOPs cover the management and leadership activities related to system operations. Service Provider’s </w:t>
      </w:r>
      <w:r w:rsidRPr="00D825A0">
        <w:rPr>
          <w:rStyle w:val="Strong"/>
        </w:rPr>
        <w:t>SHOULD</w:t>
      </w:r>
      <w:r w:rsidRPr="001D7A27">
        <w:t xml:space="preserve"> document the following procedures in the ITSM’s:</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832"/>
        <w:gridCol w:w="6228"/>
      </w:tblGrid>
      <w:tr w:rsidR="00215226" w:rsidRPr="001D7A27" w14:paraId="3FCD012D" w14:textId="77777777" w:rsidTr="00BC6CAC">
        <w:trPr>
          <w:cnfStyle w:val="100000000000" w:firstRow="1" w:lastRow="0" w:firstColumn="0" w:lastColumn="0" w:oddVBand="0" w:evenVBand="0" w:oddHBand="0" w:evenHBand="0" w:firstRowFirstColumn="0" w:firstRowLastColumn="0" w:lastRowFirstColumn="0" w:lastRowLastColumn="0"/>
          <w:tblHeader/>
        </w:trPr>
        <w:tc>
          <w:tcPr>
            <w:tcW w:w="1563" w:type="pct"/>
          </w:tcPr>
          <w:p w14:paraId="4ECC6A2E" w14:textId="77777777" w:rsidR="00215226" w:rsidRPr="001D7A27" w:rsidRDefault="00215226" w:rsidP="00BC6CAC">
            <w:pPr>
              <w:pStyle w:val="Normal-TableText"/>
            </w:pPr>
            <w:r w:rsidRPr="001D7A27">
              <w:t>TOPIC</w:t>
            </w:r>
          </w:p>
        </w:tc>
        <w:tc>
          <w:tcPr>
            <w:tcW w:w="3437" w:type="pct"/>
          </w:tcPr>
          <w:p w14:paraId="13124AD1" w14:textId="77777777" w:rsidR="00215226" w:rsidRPr="001D7A27" w:rsidRDefault="00215226" w:rsidP="00BC6CAC">
            <w:pPr>
              <w:pStyle w:val="Normal-TableText"/>
            </w:pPr>
            <w:r w:rsidRPr="001D7A27">
              <w:t>PROCEDURE TO BE INCLUDED</w:t>
            </w:r>
          </w:p>
        </w:tc>
      </w:tr>
      <w:tr w:rsidR="00215226" w:rsidRPr="001D7A27" w14:paraId="2666FE5E" w14:textId="77777777" w:rsidTr="00BC6CAC">
        <w:tc>
          <w:tcPr>
            <w:tcW w:w="1563" w:type="pct"/>
          </w:tcPr>
          <w:p w14:paraId="36B2FF9A" w14:textId="77777777" w:rsidR="00215226" w:rsidRPr="001D7A27" w:rsidRDefault="00215226" w:rsidP="00BC6CAC">
            <w:pPr>
              <w:pStyle w:val="Normal-TableText"/>
            </w:pPr>
            <w:r w:rsidRPr="001D7A27">
              <w:t>Cyber Security Incidents</w:t>
            </w:r>
          </w:p>
        </w:tc>
        <w:tc>
          <w:tcPr>
            <w:tcW w:w="3437" w:type="pct"/>
          </w:tcPr>
          <w:p w14:paraId="0C049223" w14:textId="77777777" w:rsidR="00215226" w:rsidRPr="001D7A27" w:rsidRDefault="00215226" w:rsidP="00BC6CAC">
            <w:pPr>
              <w:pStyle w:val="Normal-TableText"/>
            </w:pPr>
            <w:r w:rsidRPr="001D7A27">
              <w:t>Reporting and managing cyber security incidents</w:t>
            </w:r>
          </w:p>
        </w:tc>
      </w:tr>
    </w:tbl>
    <w:p w14:paraId="583911B9" w14:textId="77777777" w:rsidR="00215226" w:rsidRPr="001D7A27" w:rsidRDefault="00215226" w:rsidP="00BC6CAC">
      <w:r w:rsidRPr="001D7A27">
        <w:t xml:space="preserve">The ITSO SOPs cover the operationally focused activities related to system operations. Service Providers </w:t>
      </w:r>
      <w:r w:rsidRPr="00D825A0">
        <w:rPr>
          <w:rStyle w:val="Strong"/>
        </w:rPr>
        <w:t>SHOULD</w:t>
      </w:r>
      <w:r w:rsidRPr="001D7A27">
        <w:t xml:space="preserve"> document the following procedures in the ITSO’s SOPs:</w:t>
      </w:r>
    </w:p>
    <w:tbl>
      <w:tblPr>
        <w:tblStyle w:val="DTOTable1"/>
        <w:tblW w:w="5006"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836"/>
        <w:gridCol w:w="6235"/>
      </w:tblGrid>
      <w:tr w:rsidR="00215226" w:rsidRPr="001D7A27" w14:paraId="60B84F67" w14:textId="77777777" w:rsidTr="00BC6CAC">
        <w:trPr>
          <w:cnfStyle w:val="100000000000" w:firstRow="1" w:lastRow="0" w:firstColumn="0" w:lastColumn="0" w:oddVBand="0" w:evenVBand="0" w:oddHBand="0" w:evenHBand="0" w:firstRowFirstColumn="0" w:firstRowLastColumn="0" w:lastRowFirstColumn="0" w:lastRowLastColumn="0"/>
          <w:tblHeader/>
        </w:trPr>
        <w:tc>
          <w:tcPr>
            <w:tcW w:w="1563" w:type="pct"/>
          </w:tcPr>
          <w:p w14:paraId="2069BB2E" w14:textId="77777777" w:rsidR="00215226" w:rsidRPr="001D7A27" w:rsidRDefault="00215226" w:rsidP="00BC6CAC">
            <w:pPr>
              <w:pStyle w:val="Normal-TableText"/>
            </w:pPr>
            <w:r w:rsidRPr="001D7A27">
              <w:t>TOPIC</w:t>
            </w:r>
          </w:p>
        </w:tc>
        <w:tc>
          <w:tcPr>
            <w:tcW w:w="3437" w:type="pct"/>
          </w:tcPr>
          <w:p w14:paraId="133E8671" w14:textId="77777777" w:rsidR="00215226" w:rsidRPr="001D7A27" w:rsidRDefault="00215226" w:rsidP="00BC6CAC">
            <w:pPr>
              <w:pStyle w:val="Normal-TableText"/>
            </w:pPr>
            <w:r w:rsidRPr="001D7A27">
              <w:t>PROCEDURE TO BE INCLUDED</w:t>
            </w:r>
          </w:p>
        </w:tc>
      </w:tr>
      <w:tr w:rsidR="00215226" w:rsidRPr="001D7A27" w14:paraId="3A7C9332" w14:textId="77777777" w:rsidTr="00BC6CAC">
        <w:tc>
          <w:tcPr>
            <w:tcW w:w="1563" w:type="pct"/>
          </w:tcPr>
          <w:p w14:paraId="19CAFEA8" w14:textId="77777777" w:rsidR="00215226" w:rsidRPr="001D7A27" w:rsidRDefault="00215226" w:rsidP="00BC6CAC">
            <w:pPr>
              <w:pStyle w:val="Normal-TableText"/>
            </w:pPr>
            <w:r w:rsidRPr="001D7A27">
              <w:t>Access control</w:t>
            </w:r>
          </w:p>
        </w:tc>
        <w:tc>
          <w:tcPr>
            <w:tcW w:w="3437" w:type="pct"/>
          </w:tcPr>
          <w:p w14:paraId="1B983D83" w14:textId="77777777" w:rsidR="00215226" w:rsidRPr="001D7A27" w:rsidRDefault="00215226" w:rsidP="00BC6CAC">
            <w:pPr>
              <w:pStyle w:val="Normal-TableText"/>
            </w:pPr>
            <w:r w:rsidRPr="001D7A27">
              <w:t>Authorising access rights to applications and data</w:t>
            </w:r>
          </w:p>
        </w:tc>
      </w:tr>
      <w:tr w:rsidR="00215226" w:rsidRPr="001D7A27" w14:paraId="132C531E" w14:textId="77777777" w:rsidTr="00BC6CAC">
        <w:tc>
          <w:tcPr>
            <w:tcW w:w="1563" w:type="pct"/>
          </w:tcPr>
          <w:p w14:paraId="5827BF60" w14:textId="77777777" w:rsidR="00215226" w:rsidRPr="001D7A27" w:rsidRDefault="00215226" w:rsidP="00BC6CAC">
            <w:pPr>
              <w:pStyle w:val="Normal-TableText"/>
            </w:pPr>
            <w:r w:rsidRPr="001D7A27">
              <w:t>Asset musters</w:t>
            </w:r>
          </w:p>
        </w:tc>
        <w:tc>
          <w:tcPr>
            <w:tcW w:w="3437" w:type="pct"/>
          </w:tcPr>
          <w:p w14:paraId="07E5BA64" w14:textId="77777777" w:rsidR="00215226" w:rsidRPr="001D7A27" w:rsidRDefault="00215226" w:rsidP="00BC6CAC">
            <w:pPr>
              <w:pStyle w:val="Normal-TableText"/>
            </w:pPr>
            <w:r w:rsidRPr="001D7A27">
              <w:t>Labelling, registering and mustering assets, including media</w:t>
            </w:r>
          </w:p>
        </w:tc>
      </w:tr>
      <w:tr w:rsidR="00215226" w:rsidRPr="001D7A27" w14:paraId="2819D377" w14:textId="77777777" w:rsidTr="00BC6CAC">
        <w:tc>
          <w:tcPr>
            <w:tcW w:w="1563" w:type="pct"/>
          </w:tcPr>
          <w:p w14:paraId="267D4FA3" w14:textId="77777777" w:rsidR="00215226" w:rsidRPr="001D7A27" w:rsidRDefault="00215226" w:rsidP="00BC6CAC">
            <w:pPr>
              <w:pStyle w:val="Normal-TableText"/>
            </w:pPr>
            <w:r w:rsidRPr="001D7A27">
              <w:t>Audit logs</w:t>
            </w:r>
          </w:p>
        </w:tc>
        <w:tc>
          <w:tcPr>
            <w:tcW w:w="3437" w:type="pct"/>
          </w:tcPr>
          <w:p w14:paraId="3064DA5C" w14:textId="77777777" w:rsidR="00215226" w:rsidRPr="001D7A27" w:rsidRDefault="00215226" w:rsidP="00BC6CAC">
            <w:pPr>
              <w:pStyle w:val="Normal-TableText"/>
            </w:pPr>
            <w:r w:rsidRPr="001D7A27">
              <w:t>Reviewing system audit trails and manual logs, particularly for privileged users and retention schedule for logs</w:t>
            </w:r>
          </w:p>
        </w:tc>
      </w:tr>
      <w:tr w:rsidR="00215226" w:rsidRPr="001D7A27" w14:paraId="685C390B" w14:textId="77777777" w:rsidTr="00BC6CAC">
        <w:tc>
          <w:tcPr>
            <w:tcW w:w="1563" w:type="pct"/>
          </w:tcPr>
          <w:p w14:paraId="01D2401F" w14:textId="77777777" w:rsidR="00215226" w:rsidRPr="001D7A27" w:rsidRDefault="00215226" w:rsidP="00BC6CAC">
            <w:pPr>
              <w:pStyle w:val="Normal-TableText"/>
            </w:pPr>
            <w:r w:rsidRPr="001D7A27">
              <w:lastRenderedPageBreak/>
              <w:t>Configuration control</w:t>
            </w:r>
          </w:p>
        </w:tc>
        <w:tc>
          <w:tcPr>
            <w:tcW w:w="3437" w:type="pct"/>
          </w:tcPr>
          <w:p w14:paraId="79F2881A" w14:textId="77777777" w:rsidR="00215226" w:rsidRPr="001D7A27" w:rsidRDefault="00215226" w:rsidP="00BC6CAC">
            <w:pPr>
              <w:pStyle w:val="Normal-TableText"/>
            </w:pPr>
            <w:r w:rsidRPr="001D7A27">
              <w:t>Approving and releasing changes to the system software and configurations</w:t>
            </w:r>
          </w:p>
        </w:tc>
      </w:tr>
      <w:tr w:rsidR="00215226" w:rsidRPr="001D7A27" w14:paraId="6633AE67" w14:textId="77777777" w:rsidTr="00BC6CAC">
        <w:tc>
          <w:tcPr>
            <w:tcW w:w="1563" w:type="pct"/>
            <w:vMerge w:val="restart"/>
          </w:tcPr>
          <w:p w14:paraId="3505459F" w14:textId="77777777" w:rsidR="00215226" w:rsidRPr="001D7A27" w:rsidRDefault="00215226" w:rsidP="00BC6CAC">
            <w:pPr>
              <w:pStyle w:val="Normal-TableText"/>
            </w:pPr>
            <w:r w:rsidRPr="001D7A27">
              <w:t>Cyber security incidents</w:t>
            </w:r>
          </w:p>
        </w:tc>
        <w:tc>
          <w:tcPr>
            <w:tcW w:w="3437" w:type="pct"/>
          </w:tcPr>
          <w:p w14:paraId="264CAA72" w14:textId="77777777" w:rsidR="00215226" w:rsidRPr="001D7A27" w:rsidRDefault="00215226" w:rsidP="00BC6CAC">
            <w:pPr>
              <w:pStyle w:val="Normal-TableText"/>
            </w:pPr>
            <w:r w:rsidRPr="001D7A27">
              <w:t>Detecting potential cyber security incidents</w:t>
            </w:r>
          </w:p>
        </w:tc>
      </w:tr>
      <w:tr w:rsidR="00215226" w:rsidRPr="001D7A27" w14:paraId="5EE9922A" w14:textId="77777777" w:rsidTr="00BC6CAC">
        <w:tc>
          <w:tcPr>
            <w:tcW w:w="1563" w:type="pct"/>
            <w:vMerge/>
          </w:tcPr>
          <w:p w14:paraId="67B6A133" w14:textId="77777777" w:rsidR="00215226" w:rsidRPr="001D7A27" w:rsidRDefault="00215226" w:rsidP="00BC6CAC">
            <w:pPr>
              <w:pStyle w:val="Normal-TableText"/>
            </w:pPr>
          </w:p>
        </w:tc>
        <w:tc>
          <w:tcPr>
            <w:tcW w:w="3437" w:type="pct"/>
          </w:tcPr>
          <w:p w14:paraId="6452FE10" w14:textId="77777777" w:rsidR="00215226" w:rsidRPr="001D7A27" w:rsidRDefault="00215226" w:rsidP="00BC6CAC">
            <w:pPr>
              <w:pStyle w:val="Normal-TableText"/>
            </w:pPr>
            <w:r w:rsidRPr="001D7A27">
              <w:t>Establishing the cause of any cyber security incident, whether accidental or deliberate</w:t>
            </w:r>
          </w:p>
        </w:tc>
      </w:tr>
      <w:tr w:rsidR="00215226" w:rsidRPr="001D7A27" w14:paraId="4494A1B9" w14:textId="77777777" w:rsidTr="00BC6CAC">
        <w:tc>
          <w:tcPr>
            <w:tcW w:w="1563" w:type="pct"/>
            <w:vMerge/>
          </w:tcPr>
          <w:p w14:paraId="419933BE" w14:textId="77777777" w:rsidR="00215226" w:rsidRPr="001D7A27" w:rsidRDefault="00215226" w:rsidP="00BC6CAC">
            <w:pPr>
              <w:pStyle w:val="Normal-TableText"/>
            </w:pPr>
          </w:p>
        </w:tc>
        <w:tc>
          <w:tcPr>
            <w:tcW w:w="3437" w:type="pct"/>
          </w:tcPr>
          <w:p w14:paraId="2D62DBBD" w14:textId="77777777" w:rsidR="00215226" w:rsidRPr="001D7A27" w:rsidRDefault="00215226" w:rsidP="00BC6CAC">
            <w:pPr>
              <w:pStyle w:val="Normal-TableText"/>
            </w:pPr>
            <w:r w:rsidRPr="001D7A27">
              <w:t>Actions to be taken to recover and minimise the exposure from a cyber-security incident</w:t>
            </w:r>
          </w:p>
        </w:tc>
      </w:tr>
      <w:tr w:rsidR="00215226" w:rsidRPr="001D7A27" w14:paraId="7B851F58" w14:textId="77777777" w:rsidTr="00BC6CAC">
        <w:tc>
          <w:tcPr>
            <w:tcW w:w="1563" w:type="pct"/>
          </w:tcPr>
          <w:p w14:paraId="150D1BAA" w14:textId="77777777" w:rsidR="00215226" w:rsidRPr="001D7A27" w:rsidRDefault="00215226" w:rsidP="00BC6CAC">
            <w:pPr>
              <w:pStyle w:val="Normal-TableText"/>
            </w:pPr>
            <w:r w:rsidRPr="001D7A27">
              <w:t>Data transfers</w:t>
            </w:r>
          </w:p>
        </w:tc>
        <w:tc>
          <w:tcPr>
            <w:tcW w:w="3437" w:type="pct"/>
          </w:tcPr>
          <w:p w14:paraId="32EAF9FD" w14:textId="77777777" w:rsidR="00215226" w:rsidRPr="001D7A27" w:rsidRDefault="00215226" w:rsidP="00BC6CAC">
            <w:pPr>
              <w:pStyle w:val="Normal-TableText"/>
            </w:pPr>
            <w:r w:rsidRPr="001D7A27">
              <w:t>Managing the review of media containing information that is to be transferred off-site (including sites used for backup operations, archival and storage)</w:t>
            </w:r>
          </w:p>
        </w:tc>
      </w:tr>
      <w:tr w:rsidR="00215226" w:rsidRPr="001D7A27" w14:paraId="3C52027C" w14:textId="77777777" w:rsidTr="00BC6CAC">
        <w:tc>
          <w:tcPr>
            <w:tcW w:w="1563" w:type="pct"/>
          </w:tcPr>
          <w:p w14:paraId="3D107B44" w14:textId="77777777" w:rsidR="00215226" w:rsidRPr="001D7A27" w:rsidRDefault="00215226" w:rsidP="00BC6CAC">
            <w:pPr>
              <w:pStyle w:val="Normal-TableText"/>
            </w:pPr>
          </w:p>
        </w:tc>
        <w:tc>
          <w:tcPr>
            <w:tcW w:w="3437" w:type="pct"/>
          </w:tcPr>
          <w:p w14:paraId="3C55A2C4" w14:textId="77777777" w:rsidR="00215226" w:rsidRPr="001D7A27" w:rsidRDefault="00215226" w:rsidP="00BC6CAC">
            <w:pPr>
              <w:pStyle w:val="Normal-TableText"/>
            </w:pPr>
            <w:r w:rsidRPr="001D7A27">
              <w:t>Managing the review of incoming media for viruses or unapproved software</w:t>
            </w:r>
          </w:p>
        </w:tc>
      </w:tr>
      <w:tr w:rsidR="00215226" w:rsidRPr="001D7A27" w14:paraId="7FD7F600" w14:textId="77777777" w:rsidTr="00BC6CAC">
        <w:tc>
          <w:tcPr>
            <w:tcW w:w="1563" w:type="pct"/>
          </w:tcPr>
          <w:p w14:paraId="31361B40" w14:textId="77777777" w:rsidR="00215226" w:rsidRPr="001D7A27" w:rsidRDefault="00215226" w:rsidP="00BC6CAC">
            <w:pPr>
              <w:pStyle w:val="Normal-TableText"/>
            </w:pPr>
            <w:r w:rsidRPr="001D7A27">
              <w:t>ICT equipment</w:t>
            </w:r>
          </w:p>
        </w:tc>
        <w:tc>
          <w:tcPr>
            <w:tcW w:w="3437" w:type="pct"/>
          </w:tcPr>
          <w:p w14:paraId="03C035AE" w14:textId="77777777" w:rsidR="00215226" w:rsidRPr="001D7A27" w:rsidRDefault="00215226" w:rsidP="00BC6CAC">
            <w:pPr>
              <w:pStyle w:val="Normal-TableText"/>
            </w:pPr>
            <w:r w:rsidRPr="001D7A27">
              <w:t>Managing the sanitation, destruction and disposal of unserviceable ICT equipment and media</w:t>
            </w:r>
          </w:p>
        </w:tc>
      </w:tr>
      <w:tr w:rsidR="00215226" w:rsidRPr="001D7A27" w14:paraId="2722B1EE" w14:textId="77777777" w:rsidTr="00BC6CAC">
        <w:tc>
          <w:tcPr>
            <w:tcW w:w="1563" w:type="pct"/>
            <w:vMerge w:val="restart"/>
          </w:tcPr>
          <w:p w14:paraId="1B055B22" w14:textId="77777777" w:rsidR="00215226" w:rsidRPr="001D7A27" w:rsidRDefault="00215226" w:rsidP="00BC6CAC">
            <w:pPr>
              <w:pStyle w:val="Normal-TableText"/>
            </w:pPr>
            <w:r w:rsidRPr="001D7A27">
              <w:t>System integrity audit</w:t>
            </w:r>
          </w:p>
        </w:tc>
        <w:tc>
          <w:tcPr>
            <w:tcW w:w="3437" w:type="pct"/>
          </w:tcPr>
          <w:p w14:paraId="3785E804" w14:textId="77777777" w:rsidR="00215226" w:rsidRPr="001D7A27" w:rsidRDefault="00215226" w:rsidP="00BC6CAC">
            <w:pPr>
              <w:pStyle w:val="Normal-TableText"/>
            </w:pPr>
            <w:r w:rsidRPr="001D7A27">
              <w:t>Reviewing system user accounts, system parameters and access controls to ensure that the system is secure</w:t>
            </w:r>
          </w:p>
        </w:tc>
      </w:tr>
      <w:tr w:rsidR="00215226" w:rsidRPr="001D7A27" w14:paraId="02BB52B9" w14:textId="77777777" w:rsidTr="00BC6CAC">
        <w:tc>
          <w:tcPr>
            <w:tcW w:w="1563" w:type="pct"/>
            <w:vMerge/>
          </w:tcPr>
          <w:p w14:paraId="7910AE15" w14:textId="77777777" w:rsidR="00215226" w:rsidRPr="001D7A27" w:rsidRDefault="00215226" w:rsidP="00BC6CAC">
            <w:pPr>
              <w:pStyle w:val="Normal-TableText"/>
            </w:pPr>
          </w:p>
        </w:tc>
        <w:tc>
          <w:tcPr>
            <w:tcW w:w="3437" w:type="pct"/>
          </w:tcPr>
          <w:p w14:paraId="0FF3456E" w14:textId="77777777" w:rsidR="00215226" w:rsidRPr="001D7A27" w:rsidRDefault="00215226" w:rsidP="00BC6CAC">
            <w:pPr>
              <w:pStyle w:val="Normal-TableText"/>
            </w:pPr>
            <w:r w:rsidRPr="001D7A27">
              <w:t>Checking the integrity of system software</w:t>
            </w:r>
          </w:p>
        </w:tc>
      </w:tr>
      <w:tr w:rsidR="00215226" w:rsidRPr="001D7A27" w14:paraId="2F398644" w14:textId="77777777" w:rsidTr="00BC6CAC">
        <w:tc>
          <w:tcPr>
            <w:tcW w:w="1563" w:type="pct"/>
            <w:vMerge/>
          </w:tcPr>
          <w:p w14:paraId="67613ACD" w14:textId="77777777" w:rsidR="00215226" w:rsidRPr="001D7A27" w:rsidRDefault="00215226" w:rsidP="00BC6CAC">
            <w:pPr>
              <w:pStyle w:val="Normal-TableText"/>
            </w:pPr>
          </w:p>
        </w:tc>
        <w:tc>
          <w:tcPr>
            <w:tcW w:w="3437" w:type="pct"/>
          </w:tcPr>
          <w:p w14:paraId="1819C223" w14:textId="77777777" w:rsidR="00215226" w:rsidRPr="001D7A27" w:rsidRDefault="00215226" w:rsidP="00BC6CAC">
            <w:pPr>
              <w:pStyle w:val="Normal-TableText"/>
            </w:pPr>
            <w:r w:rsidRPr="001D7A27">
              <w:t>Testing access controls</w:t>
            </w:r>
          </w:p>
        </w:tc>
      </w:tr>
      <w:tr w:rsidR="00215226" w:rsidRPr="001D7A27" w14:paraId="12F2A71F" w14:textId="77777777" w:rsidTr="00BC6CAC">
        <w:tc>
          <w:tcPr>
            <w:tcW w:w="1563" w:type="pct"/>
            <w:vMerge/>
          </w:tcPr>
          <w:p w14:paraId="4CE0B877" w14:textId="77777777" w:rsidR="00215226" w:rsidRPr="001D7A27" w:rsidRDefault="00215226" w:rsidP="00BC6CAC">
            <w:pPr>
              <w:pStyle w:val="Normal-TableText"/>
            </w:pPr>
          </w:p>
        </w:tc>
        <w:tc>
          <w:tcPr>
            <w:tcW w:w="3437" w:type="pct"/>
          </w:tcPr>
          <w:p w14:paraId="64119E4C" w14:textId="77777777" w:rsidR="00215226" w:rsidRPr="001D7A27" w:rsidRDefault="00215226" w:rsidP="00BC6CAC">
            <w:pPr>
              <w:pStyle w:val="Normal-TableText"/>
            </w:pPr>
            <w:r w:rsidRPr="001D7A27">
              <w:t>Inspecting ICT equipment and cabling</w:t>
            </w:r>
          </w:p>
        </w:tc>
      </w:tr>
      <w:tr w:rsidR="00215226" w:rsidRPr="001D7A27" w14:paraId="02009ECA" w14:textId="77777777" w:rsidTr="00BC6CAC">
        <w:tc>
          <w:tcPr>
            <w:tcW w:w="1563" w:type="pct"/>
          </w:tcPr>
          <w:p w14:paraId="02021E1E" w14:textId="77777777" w:rsidR="00215226" w:rsidRPr="001D7A27" w:rsidRDefault="00215226" w:rsidP="00BC6CAC">
            <w:pPr>
              <w:pStyle w:val="Normal-TableText"/>
            </w:pPr>
            <w:r w:rsidRPr="001D7A27">
              <w:t>System maintenance</w:t>
            </w:r>
          </w:p>
        </w:tc>
        <w:tc>
          <w:tcPr>
            <w:tcW w:w="3437" w:type="pct"/>
          </w:tcPr>
          <w:p w14:paraId="264A0DD0" w14:textId="77777777" w:rsidR="00215226" w:rsidRPr="001D7A27" w:rsidRDefault="00215226" w:rsidP="00BC6CAC">
            <w:pPr>
              <w:pStyle w:val="Normal-TableText"/>
            </w:pPr>
            <w:r w:rsidRPr="001D7A27">
              <w:t>Maintaining the ongoing security and functionality of system software, including: maintaining awareness of current software vulnerabilities, testing and applying software patches, updates and antivirus signatures, and applying appropriate hardening techniques</w:t>
            </w:r>
          </w:p>
        </w:tc>
      </w:tr>
      <w:tr w:rsidR="00215226" w:rsidRPr="001D7A27" w14:paraId="067B498F" w14:textId="77777777" w:rsidTr="00BC6CAC">
        <w:tc>
          <w:tcPr>
            <w:tcW w:w="1563" w:type="pct"/>
          </w:tcPr>
          <w:p w14:paraId="6CD854AA" w14:textId="77777777" w:rsidR="00215226" w:rsidRPr="001D7A27" w:rsidRDefault="00215226" w:rsidP="00BC6CAC">
            <w:pPr>
              <w:pStyle w:val="Normal-TableText"/>
            </w:pPr>
            <w:r w:rsidRPr="001D7A27">
              <w:t>User account management</w:t>
            </w:r>
          </w:p>
        </w:tc>
        <w:tc>
          <w:tcPr>
            <w:tcW w:w="3437" w:type="pct"/>
          </w:tcPr>
          <w:p w14:paraId="4235012F" w14:textId="77777777" w:rsidR="00215226" w:rsidRPr="001D7A27" w:rsidRDefault="00215226" w:rsidP="00BC6CAC">
            <w:pPr>
              <w:pStyle w:val="Normal-TableText"/>
            </w:pPr>
            <w:r w:rsidRPr="001D7A27">
              <w:t>Authorising new system users, removing or disabling unused accounts, replacing default passwords, account sharing and account lockouts</w:t>
            </w:r>
          </w:p>
        </w:tc>
      </w:tr>
    </w:tbl>
    <w:p w14:paraId="42C1B27D" w14:textId="77777777" w:rsidR="00215226" w:rsidRPr="001D7A27" w:rsidRDefault="00215226" w:rsidP="00FF121B">
      <w:r w:rsidRPr="001D7A27">
        <w:t xml:space="preserve">Whilst the system administrator SOPs primarily focus on the administrative activities related to system operations they also support the ITSO SOPs. Service Providers </w:t>
      </w:r>
      <w:r w:rsidRPr="00D825A0">
        <w:rPr>
          <w:rStyle w:val="Strong"/>
        </w:rPr>
        <w:t>SHOULD</w:t>
      </w:r>
      <w:r w:rsidRPr="001D7A27">
        <w:t xml:space="preserve"> document the following procedures in the ITSO’s SOPs:</w:t>
      </w:r>
    </w:p>
    <w:tbl>
      <w:tblPr>
        <w:tblStyle w:val="DTOTable1"/>
        <w:tblW w:w="5006"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836"/>
        <w:gridCol w:w="6235"/>
      </w:tblGrid>
      <w:tr w:rsidR="00215226" w:rsidRPr="001D7A27" w14:paraId="48D01460" w14:textId="77777777" w:rsidTr="00BC6CAC">
        <w:trPr>
          <w:cnfStyle w:val="100000000000" w:firstRow="1" w:lastRow="0" w:firstColumn="0" w:lastColumn="0" w:oddVBand="0" w:evenVBand="0" w:oddHBand="0" w:evenHBand="0" w:firstRowFirstColumn="0" w:firstRowLastColumn="0" w:lastRowFirstColumn="0" w:lastRowLastColumn="0"/>
          <w:tblHeader/>
        </w:trPr>
        <w:tc>
          <w:tcPr>
            <w:tcW w:w="1563" w:type="pct"/>
          </w:tcPr>
          <w:p w14:paraId="1BE94073" w14:textId="77777777" w:rsidR="00215226" w:rsidRPr="001D7A27" w:rsidRDefault="00215226" w:rsidP="00BC6CAC">
            <w:pPr>
              <w:pStyle w:val="Normal-TableText"/>
            </w:pPr>
            <w:r w:rsidRPr="001D7A27">
              <w:t>TOPIC</w:t>
            </w:r>
          </w:p>
        </w:tc>
        <w:tc>
          <w:tcPr>
            <w:tcW w:w="3437" w:type="pct"/>
          </w:tcPr>
          <w:p w14:paraId="5E5A49DA" w14:textId="77777777" w:rsidR="00215226" w:rsidRPr="001D7A27" w:rsidRDefault="00215226" w:rsidP="00BC6CAC">
            <w:pPr>
              <w:pStyle w:val="Normal-TableText"/>
            </w:pPr>
            <w:r w:rsidRPr="001D7A27">
              <w:t>PROCEDURE TO BE INCLUDED</w:t>
            </w:r>
          </w:p>
        </w:tc>
      </w:tr>
      <w:tr w:rsidR="00215226" w:rsidRPr="001D7A27" w14:paraId="42A2B1D5" w14:textId="77777777" w:rsidTr="00BC6CAC">
        <w:tc>
          <w:tcPr>
            <w:tcW w:w="1563" w:type="pct"/>
          </w:tcPr>
          <w:p w14:paraId="71AA7B17" w14:textId="77777777" w:rsidR="00215226" w:rsidRPr="001D7A27" w:rsidRDefault="00215226" w:rsidP="00BC6CAC">
            <w:pPr>
              <w:pStyle w:val="Normal-TableText"/>
            </w:pPr>
            <w:r w:rsidRPr="001D7A27">
              <w:t>Access control</w:t>
            </w:r>
          </w:p>
        </w:tc>
        <w:tc>
          <w:tcPr>
            <w:tcW w:w="3437" w:type="pct"/>
          </w:tcPr>
          <w:p w14:paraId="344127DA" w14:textId="77777777" w:rsidR="00215226" w:rsidRPr="001D7A27" w:rsidRDefault="00215226" w:rsidP="00BC6CAC">
            <w:pPr>
              <w:pStyle w:val="Normal-TableText"/>
            </w:pPr>
            <w:r w:rsidRPr="001D7A27">
              <w:t>Implementing access rights to applications and data</w:t>
            </w:r>
          </w:p>
        </w:tc>
      </w:tr>
      <w:tr w:rsidR="00215226" w:rsidRPr="001D7A27" w14:paraId="0F7438B8" w14:textId="77777777" w:rsidTr="00BC6CAC">
        <w:tc>
          <w:tcPr>
            <w:tcW w:w="1563" w:type="pct"/>
          </w:tcPr>
          <w:p w14:paraId="768D17D6" w14:textId="77777777" w:rsidR="00215226" w:rsidRPr="001D7A27" w:rsidRDefault="00215226" w:rsidP="00BC6CAC">
            <w:pPr>
              <w:pStyle w:val="Normal-TableText"/>
            </w:pPr>
            <w:r w:rsidRPr="001D7A27">
              <w:t>Configuration control</w:t>
            </w:r>
          </w:p>
        </w:tc>
        <w:tc>
          <w:tcPr>
            <w:tcW w:w="3437" w:type="pct"/>
          </w:tcPr>
          <w:p w14:paraId="1DD85652" w14:textId="77777777" w:rsidR="00215226" w:rsidRPr="001D7A27" w:rsidRDefault="00215226" w:rsidP="00BC6CAC">
            <w:pPr>
              <w:pStyle w:val="Normal-TableText"/>
            </w:pPr>
            <w:r w:rsidRPr="001D7A27">
              <w:t>Implementing changes to the system software and configurations</w:t>
            </w:r>
          </w:p>
        </w:tc>
      </w:tr>
      <w:tr w:rsidR="00215226" w:rsidRPr="001D7A27" w14:paraId="0AA8DD1D" w14:textId="77777777" w:rsidTr="008A2321">
        <w:tc>
          <w:tcPr>
            <w:tcW w:w="1563" w:type="pct"/>
            <w:vMerge w:val="restart"/>
            <w:shd w:val="clear" w:color="auto" w:fill="FFFFFF" w:themeFill="background1"/>
          </w:tcPr>
          <w:p w14:paraId="78B0B5C5" w14:textId="33DD055B" w:rsidR="00215226" w:rsidRPr="001D7A27" w:rsidRDefault="00215226" w:rsidP="008A2321">
            <w:pPr>
              <w:pStyle w:val="Normal-TableText"/>
              <w:keepNext/>
            </w:pPr>
            <w:r w:rsidRPr="001D7A27">
              <w:lastRenderedPageBreak/>
              <w:t>System backup and recovery</w:t>
            </w:r>
          </w:p>
        </w:tc>
        <w:tc>
          <w:tcPr>
            <w:tcW w:w="3437" w:type="pct"/>
            <w:shd w:val="clear" w:color="auto" w:fill="FFFFFF" w:themeFill="background1"/>
          </w:tcPr>
          <w:p w14:paraId="2E3A38FC" w14:textId="77777777" w:rsidR="00215226" w:rsidRPr="001D7A27" w:rsidRDefault="00215226" w:rsidP="00BC6CAC">
            <w:pPr>
              <w:pStyle w:val="Normal-TableText"/>
            </w:pPr>
            <w:r w:rsidRPr="001D7A27">
              <w:t>Backing up data, including audit logs</w:t>
            </w:r>
          </w:p>
        </w:tc>
      </w:tr>
      <w:tr w:rsidR="00215226" w:rsidRPr="001D7A27" w14:paraId="4332DCD6" w14:textId="77777777" w:rsidTr="00BC6CAC">
        <w:tc>
          <w:tcPr>
            <w:tcW w:w="1563" w:type="pct"/>
            <w:vMerge/>
          </w:tcPr>
          <w:p w14:paraId="0B37528B" w14:textId="77777777" w:rsidR="00215226" w:rsidRPr="001D7A27" w:rsidRDefault="00215226" w:rsidP="00BC6CAC">
            <w:pPr>
              <w:pStyle w:val="Normal-TableText"/>
            </w:pPr>
          </w:p>
        </w:tc>
        <w:tc>
          <w:tcPr>
            <w:tcW w:w="3437" w:type="pct"/>
          </w:tcPr>
          <w:p w14:paraId="64664A07" w14:textId="77777777" w:rsidR="00215226" w:rsidRPr="001D7A27" w:rsidRDefault="00215226" w:rsidP="00BC6CAC">
            <w:pPr>
              <w:pStyle w:val="Normal-TableText"/>
            </w:pPr>
            <w:r w:rsidRPr="001D7A27">
              <w:t>Securing backup tapes</w:t>
            </w:r>
          </w:p>
        </w:tc>
      </w:tr>
      <w:tr w:rsidR="00215226" w:rsidRPr="001D7A27" w14:paraId="17DF3CDF" w14:textId="77777777" w:rsidTr="00BC6CAC">
        <w:tc>
          <w:tcPr>
            <w:tcW w:w="1563" w:type="pct"/>
            <w:vMerge/>
          </w:tcPr>
          <w:p w14:paraId="114EE5F8" w14:textId="77777777" w:rsidR="00215226" w:rsidRPr="001D7A27" w:rsidRDefault="00215226" w:rsidP="00BC6CAC">
            <w:pPr>
              <w:pStyle w:val="Normal-TableText"/>
            </w:pPr>
          </w:p>
        </w:tc>
        <w:tc>
          <w:tcPr>
            <w:tcW w:w="3437" w:type="pct"/>
          </w:tcPr>
          <w:p w14:paraId="1AD927F9" w14:textId="77777777" w:rsidR="00215226" w:rsidRPr="001D7A27" w:rsidRDefault="00215226" w:rsidP="00BC6CAC">
            <w:pPr>
              <w:pStyle w:val="Normal-TableText"/>
            </w:pPr>
            <w:r w:rsidRPr="001D7A27">
              <w:t>Recovering from system failures</w:t>
            </w:r>
          </w:p>
        </w:tc>
      </w:tr>
      <w:tr w:rsidR="00215226" w:rsidRPr="001D7A27" w14:paraId="72A323FB" w14:textId="77777777" w:rsidTr="00BC6CAC">
        <w:tc>
          <w:tcPr>
            <w:tcW w:w="1563" w:type="pct"/>
            <w:vMerge w:val="restart"/>
          </w:tcPr>
          <w:p w14:paraId="6A2F0070" w14:textId="77777777" w:rsidR="00215226" w:rsidRPr="001D7A27" w:rsidRDefault="00215226" w:rsidP="00BC6CAC">
            <w:pPr>
              <w:pStyle w:val="Normal-TableText"/>
            </w:pPr>
            <w:r w:rsidRPr="001D7A27">
              <w:t>User account management</w:t>
            </w:r>
          </w:p>
        </w:tc>
        <w:tc>
          <w:tcPr>
            <w:tcW w:w="3437" w:type="pct"/>
          </w:tcPr>
          <w:p w14:paraId="2830C931" w14:textId="77777777" w:rsidR="00215226" w:rsidRPr="001D7A27" w:rsidRDefault="00215226" w:rsidP="00BC6CAC">
            <w:pPr>
              <w:pStyle w:val="Normal-TableText"/>
            </w:pPr>
            <w:r w:rsidRPr="001D7A27">
              <w:t>Adding and removing system users</w:t>
            </w:r>
          </w:p>
        </w:tc>
      </w:tr>
      <w:tr w:rsidR="00215226" w:rsidRPr="001D7A27" w14:paraId="1A024A43" w14:textId="77777777" w:rsidTr="00BC6CAC">
        <w:tc>
          <w:tcPr>
            <w:tcW w:w="1563" w:type="pct"/>
            <w:vMerge/>
          </w:tcPr>
          <w:p w14:paraId="77A84373" w14:textId="77777777" w:rsidR="00215226" w:rsidRPr="001D7A27" w:rsidRDefault="00215226" w:rsidP="00BC6CAC">
            <w:pPr>
              <w:pStyle w:val="Normal-TableText"/>
            </w:pPr>
          </w:p>
        </w:tc>
        <w:tc>
          <w:tcPr>
            <w:tcW w:w="3437" w:type="pct"/>
          </w:tcPr>
          <w:p w14:paraId="0D3088F1" w14:textId="77777777" w:rsidR="00215226" w:rsidRPr="001D7A27" w:rsidRDefault="00215226" w:rsidP="00BC6CAC">
            <w:pPr>
              <w:pStyle w:val="Normal-TableText"/>
            </w:pPr>
            <w:r w:rsidRPr="001D7A27">
              <w:t>Setting user privileges</w:t>
            </w:r>
          </w:p>
        </w:tc>
      </w:tr>
      <w:tr w:rsidR="00215226" w:rsidRPr="001D7A27" w14:paraId="601ADF5F" w14:textId="77777777" w:rsidTr="00BC6CAC">
        <w:tc>
          <w:tcPr>
            <w:tcW w:w="1563" w:type="pct"/>
            <w:vMerge/>
          </w:tcPr>
          <w:p w14:paraId="64E7B578" w14:textId="77777777" w:rsidR="00215226" w:rsidRPr="001D7A27" w:rsidRDefault="00215226" w:rsidP="00BC6CAC">
            <w:pPr>
              <w:pStyle w:val="Normal-TableText"/>
            </w:pPr>
          </w:p>
        </w:tc>
        <w:tc>
          <w:tcPr>
            <w:tcW w:w="3437" w:type="pct"/>
          </w:tcPr>
          <w:p w14:paraId="2829A139" w14:textId="77777777" w:rsidR="00215226" w:rsidRPr="001D7A27" w:rsidRDefault="00215226" w:rsidP="00BC6CAC">
            <w:pPr>
              <w:pStyle w:val="Normal-TableText"/>
            </w:pPr>
            <w:r w:rsidRPr="001D7A27">
              <w:t>Cleaning up directories and files when a user departs or changes roles</w:t>
            </w:r>
          </w:p>
        </w:tc>
      </w:tr>
    </w:tbl>
    <w:p w14:paraId="01F82D49" w14:textId="77777777" w:rsidR="00215226" w:rsidRPr="001D7A27" w:rsidRDefault="00215226" w:rsidP="00FF121B">
      <w:pPr>
        <w:keepNext/>
      </w:pPr>
      <w:r w:rsidRPr="001D7A27">
        <w:t>The user SOPs focus on day-to-day activities that users need to be aware of, and comply with, when</w:t>
      </w:r>
      <w:r w:rsidR="00426C67">
        <w:t> </w:t>
      </w:r>
      <w:r w:rsidRPr="001D7A27">
        <w:t>using systems. Service Provider’s</w:t>
      </w:r>
      <w:r w:rsidRPr="00D825A0">
        <w:rPr>
          <w:rStyle w:val="Strong"/>
        </w:rPr>
        <w:t xml:space="preserve"> SHOULD</w:t>
      </w:r>
      <w:r w:rsidRPr="001D7A27">
        <w:t xml:space="preserve"> document the following procedures in the System User’s SOPs:</w:t>
      </w:r>
    </w:p>
    <w:tbl>
      <w:tblPr>
        <w:tblStyle w:val="DTOTable1"/>
        <w:tblW w:w="9071" w:type="dxa"/>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835"/>
        <w:gridCol w:w="6236"/>
      </w:tblGrid>
      <w:tr w:rsidR="00215226" w:rsidRPr="00BC6CAC" w14:paraId="3E4D774C" w14:textId="77777777" w:rsidTr="00BC6CAC">
        <w:trPr>
          <w:cnfStyle w:val="100000000000" w:firstRow="1" w:lastRow="0" w:firstColumn="0" w:lastColumn="0" w:oddVBand="0" w:evenVBand="0" w:oddHBand="0" w:evenHBand="0" w:firstRowFirstColumn="0" w:firstRowLastColumn="0" w:lastRowFirstColumn="0" w:lastRowLastColumn="0"/>
          <w:tblHeader/>
        </w:trPr>
        <w:tc>
          <w:tcPr>
            <w:tcW w:w="2835" w:type="dxa"/>
          </w:tcPr>
          <w:p w14:paraId="28EE00F8" w14:textId="77777777" w:rsidR="00215226" w:rsidRPr="00BC6CAC" w:rsidRDefault="00215226" w:rsidP="00BC6CAC">
            <w:pPr>
              <w:pStyle w:val="Normal-TableText"/>
            </w:pPr>
            <w:r w:rsidRPr="00BC6CAC">
              <w:t>TOPIC</w:t>
            </w:r>
          </w:p>
        </w:tc>
        <w:tc>
          <w:tcPr>
            <w:tcW w:w="6236" w:type="dxa"/>
          </w:tcPr>
          <w:p w14:paraId="4DA7ED75" w14:textId="77777777" w:rsidR="00215226" w:rsidRPr="00BC6CAC" w:rsidRDefault="00215226" w:rsidP="00BC6CAC">
            <w:pPr>
              <w:pStyle w:val="Normal-TableText"/>
            </w:pPr>
            <w:r w:rsidRPr="00BC6CAC">
              <w:t>PROCEDURE TO BE INCLUDED</w:t>
            </w:r>
          </w:p>
        </w:tc>
      </w:tr>
      <w:tr w:rsidR="00215226" w:rsidRPr="00BC6CAC" w14:paraId="2D7C795F" w14:textId="77777777" w:rsidTr="00BC6CAC">
        <w:tc>
          <w:tcPr>
            <w:tcW w:w="2835" w:type="dxa"/>
          </w:tcPr>
          <w:p w14:paraId="3CE677A0" w14:textId="77777777" w:rsidR="00215226" w:rsidRPr="00BC6CAC" w:rsidRDefault="00215226" w:rsidP="00BC6CAC">
            <w:pPr>
              <w:pStyle w:val="Normal-TableText"/>
            </w:pPr>
            <w:r w:rsidRPr="00BC6CAC">
              <w:t>Cyber security incidents</w:t>
            </w:r>
          </w:p>
        </w:tc>
        <w:tc>
          <w:tcPr>
            <w:tcW w:w="6236" w:type="dxa"/>
          </w:tcPr>
          <w:p w14:paraId="708806DE" w14:textId="77777777" w:rsidR="00215226" w:rsidRPr="00BC6CAC" w:rsidRDefault="00215226" w:rsidP="00BC6CAC">
            <w:pPr>
              <w:pStyle w:val="Normal-TableText"/>
            </w:pPr>
            <w:r w:rsidRPr="00BC6CAC">
              <w:t>What to do in the case of a suspected or actual cyber security incident</w:t>
            </w:r>
          </w:p>
        </w:tc>
      </w:tr>
      <w:tr w:rsidR="00215226" w:rsidRPr="00BC6CAC" w14:paraId="507FDF47" w14:textId="77777777" w:rsidTr="00BC6CAC">
        <w:tc>
          <w:tcPr>
            <w:tcW w:w="2835" w:type="dxa"/>
          </w:tcPr>
          <w:p w14:paraId="1B48FBC5" w14:textId="77777777" w:rsidR="00215226" w:rsidRPr="00BC6CAC" w:rsidRDefault="00215226" w:rsidP="00BC6CAC">
            <w:pPr>
              <w:pStyle w:val="Normal-TableText"/>
            </w:pPr>
            <w:r w:rsidRPr="00BC6CAC">
              <w:t xml:space="preserve">End of day </w:t>
            </w:r>
          </w:p>
        </w:tc>
        <w:tc>
          <w:tcPr>
            <w:tcW w:w="6236" w:type="dxa"/>
          </w:tcPr>
          <w:p w14:paraId="59EF6844" w14:textId="77777777" w:rsidR="00215226" w:rsidRPr="00BC6CAC" w:rsidRDefault="00215226" w:rsidP="00BC6CAC">
            <w:pPr>
              <w:pStyle w:val="Normal-TableText"/>
            </w:pPr>
            <w:r w:rsidRPr="00BC6CAC">
              <w:t>How to secure systems at the end of the day</w:t>
            </w:r>
          </w:p>
        </w:tc>
      </w:tr>
      <w:tr w:rsidR="00215226" w:rsidRPr="00BC6CAC" w14:paraId="026732CA" w14:textId="77777777" w:rsidTr="00BC6CAC">
        <w:tc>
          <w:tcPr>
            <w:tcW w:w="2835" w:type="dxa"/>
          </w:tcPr>
          <w:p w14:paraId="54A59A2E" w14:textId="77777777" w:rsidR="00215226" w:rsidRPr="00BC6CAC" w:rsidRDefault="00215226" w:rsidP="00BC6CAC">
            <w:pPr>
              <w:pStyle w:val="Normal-TableText"/>
            </w:pPr>
            <w:r w:rsidRPr="00BC6CAC">
              <w:t>Media control</w:t>
            </w:r>
          </w:p>
        </w:tc>
        <w:tc>
          <w:tcPr>
            <w:tcW w:w="6236" w:type="dxa"/>
          </w:tcPr>
          <w:p w14:paraId="7018CC6C" w14:textId="77777777" w:rsidR="00215226" w:rsidRPr="00BC6CAC" w:rsidRDefault="00215226" w:rsidP="00BC6CAC">
            <w:pPr>
              <w:pStyle w:val="Normal-TableText"/>
            </w:pPr>
            <w:r w:rsidRPr="00BC6CAC">
              <w:t>Procedures for handling and using media</w:t>
            </w:r>
          </w:p>
        </w:tc>
      </w:tr>
      <w:tr w:rsidR="00215226" w:rsidRPr="00BC6CAC" w14:paraId="21EB0CDD" w14:textId="77777777" w:rsidTr="00BC6CAC">
        <w:tc>
          <w:tcPr>
            <w:tcW w:w="2835" w:type="dxa"/>
          </w:tcPr>
          <w:p w14:paraId="4C14240F" w14:textId="77777777" w:rsidR="00215226" w:rsidRPr="00BC6CAC" w:rsidRDefault="00215226" w:rsidP="00BC6CAC">
            <w:pPr>
              <w:pStyle w:val="Normal-TableText"/>
            </w:pPr>
            <w:r w:rsidRPr="00BC6CAC">
              <w:t>Passphrases</w:t>
            </w:r>
          </w:p>
        </w:tc>
        <w:tc>
          <w:tcPr>
            <w:tcW w:w="6236" w:type="dxa"/>
          </w:tcPr>
          <w:p w14:paraId="3BB82187" w14:textId="77777777" w:rsidR="00215226" w:rsidRPr="00BC6CAC" w:rsidRDefault="00215226" w:rsidP="00BC6CAC">
            <w:pPr>
              <w:pStyle w:val="Normal-TableText"/>
            </w:pPr>
            <w:r w:rsidRPr="00BC6CAC">
              <w:t>Protecting passphrases, authentication tokens and activation data</w:t>
            </w:r>
          </w:p>
        </w:tc>
      </w:tr>
      <w:tr w:rsidR="00215226" w:rsidRPr="00BC6CAC" w14:paraId="1E0A276E" w14:textId="77777777" w:rsidTr="00BC6CAC">
        <w:tc>
          <w:tcPr>
            <w:tcW w:w="2835" w:type="dxa"/>
          </w:tcPr>
          <w:p w14:paraId="51594570" w14:textId="77777777" w:rsidR="00215226" w:rsidRPr="00BC6CAC" w:rsidRDefault="00215226" w:rsidP="00BC6CAC">
            <w:pPr>
              <w:pStyle w:val="Normal-TableText"/>
            </w:pPr>
            <w:r w:rsidRPr="00BC6CAC">
              <w:t>Temporary absence</w:t>
            </w:r>
          </w:p>
        </w:tc>
        <w:tc>
          <w:tcPr>
            <w:tcW w:w="6236" w:type="dxa"/>
          </w:tcPr>
          <w:p w14:paraId="68C9BAA4" w14:textId="77777777" w:rsidR="00215226" w:rsidRPr="00BC6CAC" w:rsidRDefault="00215226" w:rsidP="00BC6CAC">
            <w:pPr>
              <w:pStyle w:val="Normal-TableText"/>
            </w:pPr>
            <w:r w:rsidRPr="00BC6CAC">
              <w:t>How to secure systems when temporarily absent</w:t>
            </w:r>
          </w:p>
        </w:tc>
      </w:tr>
    </w:tbl>
    <w:p w14:paraId="0697787D" w14:textId="77777777" w:rsidR="00215226" w:rsidRPr="001D7A27" w:rsidRDefault="00215226" w:rsidP="00BC6CAC">
      <w:r w:rsidRPr="001D7A27">
        <w:t xml:space="preserve">Service Providers </w:t>
      </w:r>
      <w:r w:rsidRPr="00D825A0">
        <w:rPr>
          <w:rStyle w:val="Strong"/>
        </w:rPr>
        <w:t>SHOULD</w:t>
      </w:r>
      <w:r w:rsidRPr="001D7A27">
        <w:t xml:space="preserve"> require ITSMs, ITSOs, system administrators and system users to sign a statement confirming they have read and agree to bind by their respective SOPs.</w:t>
      </w:r>
    </w:p>
    <w:p w14:paraId="7BF5F87F" w14:textId="77777777" w:rsidR="00215226" w:rsidRPr="003E302C" w:rsidRDefault="00215226" w:rsidP="00BC6CAC">
      <w:pPr>
        <w:pStyle w:val="Heading2Numbered"/>
      </w:pPr>
      <w:bookmarkStart w:id="239" w:name="_Toc426636702"/>
      <w:bookmarkStart w:id="240" w:name="_Toc426639986"/>
      <w:bookmarkStart w:id="241" w:name="_Toc430268937"/>
      <w:r w:rsidRPr="003E302C">
        <w:t>Physical and Environmental Security Plan</w:t>
      </w:r>
      <w:bookmarkEnd w:id="239"/>
      <w:bookmarkEnd w:id="240"/>
      <w:bookmarkEnd w:id="241"/>
    </w:p>
    <w:p w14:paraId="264B1CF8" w14:textId="77777777" w:rsidR="00215226" w:rsidRPr="006E366D" w:rsidRDefault="00215226" w:rsidP="00BC6CAC">
      <w:r w:rsidRPr="006E366D">
        <w:t>A Physical and Environmental Security Plan documents measures to counter identified risks to a Service Provider’s functions, information, logical assets, people and physical assets</w:t>
      </w:r>
      <w:r>
        <w:t xml:space="preserve"> </w:t>
      </w:r>
      <w:r w:rsidRPr="006E366D">
        <w:t>operating within</w:t>
      </w:r>
      <w:r w:rsidR="00426C67">
        <w:t> </w:t>
      </w:r>
      <w:r w:rsidRPr="006E366D">
        <w:t xml:space="preserve">their PKI environment. This includes PKI environments which are fixed, mobile and operate from the cloud. </w:t>
      </w:r>
    </w:p>
    <w:p w14:paraId="2AA32140" w14:textId="77777777" w:rsidR="008C704E" w:rsidRPr="00D825A0" w:rsidRDefault="008C704E" w:rsidP="008C704E">
      <w:pPr>
        <w:pStyle w:val="BoxText"/>
      </w:pPr>
      <w:r w:rsidRPr="00DB230F">
        <w:t xml:space="preserve">Every </w:t>
      </w:r>
      <w:r>
        <w:t xml:space="preserve">operating environment that </w:t>
      </w:r>
      <w:r w:rsidRPr="00DB230F">
        <w:t>contains</w:t>
      </w:r>
      <w:r>
        <w:t xml:space="preserve"> a</w:t>
      </w:r>
      <w:r w:rsidRPr="00DB230F">
        <w:t xml:space="preserve"> PKI-related system</w:t>
      </w:r>
      <w:r w:rsidRPr="00D825A0">
        <w:rPr>
          <w:rStyle w:val="Strong"/>
        </w:rPr>
        <w:t xml:space="preserve"> MUST</w:t>
      </w:r>
      <w:r w:rsidRPr="00DB230F">
        <w:t xml:space="preserve"> be covered by a </w:t>
      </w:r>
      <w:r>
        <w:t>Physical and Environmental Security Plan.</w:t>
      </w:r>
    </w:p>
    <w:p w14:paraId="4F3F4ED8" w14:textId="77777777" w:rsidR="00215226" w:rsidRDefault="00215226" w:rsidP="008C704E">
      <w:r w:rsidRPr="007741B7">
        <w:t>Service Providers are required to evaluate the different risks owned or leased facilities and cloud environments, people, information, logical assets, functions and physical assets during business hours and out-of-hours.</w:t>
      </w:r>
      <w:r>
        <w:t xml:space="preserve"> </w:t>
      </w:r>
      <w:r w:rsidRPr="007741B7">
        <w:t>Controls needed during operating hours should take into account the increased risks from public and customer contact as well as insider threats.</w:t>
      </w:r>
      <w:r>
        <w:t xml:space="preserve"> </w:t>
      </w:r>
      <w:r w:rsidRPr="007741B7">
        <w:t>While these risks still exist out of hours, there may be a higher risk from external sources such as break and enters.</w:t>
      </w:r>
    </w:p>
    <w:p w14:paraId="4AC08FF5" w14:textId="77777777" w:rsidR="00215226" w:rsidRPr="007741B7" w:rsidRDefault="00215226" w:rsidP="008C704E">
      <w:r w:rsidRPr="007741B7">
        <w:lastRenderedPageBreak/>
        <w:t>Service Providers are required to assess the impact of compromise, loss of integrity or unavailability of their Physical and Environmental Security Plans to their security and operations.</w:t>
      </w:r>
    </w:p>
    <w:p w14:paraId="585F7B86" w14:textId="77777777" w:rsidR="00215226" w:rsidRPr="006E366D" w:rsidRDefault="00215226" w:rsidP="008C704E">
      <w:r w:rsidRPr="006E366D">
        <w:t xml:space="preserve">A Physical and Environmental Security Plan </w:t>
      </w:r>
      <w:r w:rsidRPr="00D825A0">
        <w:rPr>
          <w:rStyle w:val="Strong"/>
        </w:rPr>
        <w:t>SHOULD</w:t>
      </w:r>
      <w:r w:rsidRPr="006E366D">
        <w:t xml:space="preserve"> address:</w:t>
      </w:r>
    </w:p>
    <w:p w14:paraId="6212B57E" w14:textId="77777777" w:rsidR="00215226" w:rsidRPr="00DB230F" w:rsidRDefault="00215226" w:rsidP="008C704E">
      <w:pPr>
        <w:pStyle w:val="Bullet1"/>
      </w:pPr>
      <w:r w:rsidRPr="00DB230F">
        <w:t>measures that are scalable to meet increases in threat levels;</w:t>
      </w:r>
    </w:p>
    <w:p w14:paraId="02C99F9C" w14:textId="77777777" w:rsidR="00215226" w:rsidRPr="00DB230F" w:rsidRDefault="00215226" w:rsidP="008C704E">
      <w:pPr>
        <w:pStyle w:val="Bullet1"/>
      </w:pPr>
      <w:r w:rsidRPr="00DB230F">
        <w:t xml:space="preserve">the location and nature of the </w:t>
      </w:r>
      <w:r>
        <w:t>operating environment</w:t>
      </w:r>
      <w:r w:rsidRPr="00DB230F">
        <w:t>;</w:t>
      </w:r>
    </w:p>
    <w:p w14:paraId="0BFCC851" w14:textId="77777777" w:rsidR="00215226" w:rsidRPr="00DB230F" w:rsidRDefault="00215226" w:rsidP="008C704E">
      <w:pPr>
        <w:pStyle w:val="Bullet1"/>
      </w:pPr>
      <w:r w:rsidRPr="00DB230F">
        <w:t xml:space="preserve">whether the </w:t>
      </w:r>
      <w:r>
        <w:t>Service Provider</w:t>
      </w:r>
      <w:r w:rsidRPr="00DB230F">
        <w:t xml:space="preserve"> has sole or shared ownership or tenancy of the </w:t>
      </w:r>
      <w:r>
        <w:t>operating environment</w:t>
      </w:r>
      <w:r w:rsidRPr="00DB230F">
        <w:t>;</w:t>
      </w:r>
    </w:p>
    <w:p w14:paraId="7B9D7815" w14:textId="77777777" w:rsidR="00215226" w:rsidRPr="00DB230F" w:rsidRDefault="00215226" w:rsidP="008C704E">
      <w:pPr>
        <w:pStyle w:val="Bullet1"/>
      </w:pPr>
      <w:r w:rsidRPr="00DB230F">
        <w:t xml:space="preserve">whether the public or other non-agency personnel have a right of entry to the </w:t>
      </w:r>
      <w:r>
        <w:t>operating environment</w:t>
      </w:r>
      <w:r w:rsidRPr="00DB230F">
        <w:t>;</w:t>
      </w:r>
    </w:p>
    <w:p w14:paraId="6314B85A" w14:textId="77777777" w:rsidR="00215226" w:rsidRPr="00DB230F" w:rsidRDefault="00215226" w:rsidP="008C704E">
      <w:pPr>
        <w:pStyle w:val="Bullet1"/>
      </w:pPr>
      <w:r>
        <w:t>the potential</w:t>
      </w:r>
      <w:r w:rsidRPr="00DB230F">
        <w:t xml:space="preserve"> sensitivity or </w:t>
      </w:r>
      <w:r>
        <w:t xml:space="preserve">possible </w:t>
      </w:r>
      <w:r w:rsidRPr="00DB230F">
        <w:t xml:space="preserve">security classification of information to be stored, handled, processed or otherwise used in each part of the </w:t>
      </w:r>
      <w:r>
        <w:t>operating environment</w:t>
      </w:r>
      <w:r w:rsidRPr="00DB230F">
        <w:t>;</w:t>
      </w:r>
    </w:p>
    <w:p w14:paraId="2CF133A2" w14:textId="77777777" w:rsidR="00215226" w:rsidRPr="00DB230F" w:rsidRDefault="00215226" w:rsidP="008C704E">
      <w:pPr>
        <w:pStyle w:val="Bullet1"/>
      </w:pPr>
      <w:r w:rsidRPr="00DB230F">
        <w:t xml:space="preserve">ICT assets, including, but not limited to, data, software, hardware and portable equipment such as laptops, </w:t>
      </w:r>
      <w:r>
        <w:t xml:space="preserve">tablets, smart phones and </w:t>
      </w:r>
      <w:r w:rsidRPr="00DB230F">
        <w:t>personal electronic devices;</w:t>
      </w:r>
    </w:p>
    <w:p w14:paraId="3C5686A6" w14:textId="77777777" w:rsidR="00215226" w:rsidRPr="00DB230F" w:rsidRDefault="00215226" w:rsidP="008C704E">
      <w:pPr>
        <w:pStyle w:val="Bullet1"/>
      </w:pPr>
      <w:r w:rsidRPr="00DB230F">
        <w:t>ICT-related equipment (for example, file servers, workstations, terminals, main distribution frames and cabling</w:t>
      </w:r>
      <w:r w:rsidRPr="00E64190">
        <w:rPr>
          <w:rStyle w:val="FootnoteReference"/>
        </w:rPr>
        <w:footnoteReference w:id="15"/>
      </w:r>
      <w:r w:rsidRPr="00DB230F">
        <w:t>) and utilities;</w:t>
      </w:r>
    </w:p>
    <w:p w14:paraId="5E785C01" w14:textId="77777777" w:rsidR="00215226" w:rsidRDefault="00215226" w:rsidP="008C704E">
      <w:pPr>
        <w:pStyle w:val="Bullet1"/>
      </w:pPr>
      <w:r w:rsidRPr="00DB230F">
        <w:t xml:space="preserve">any other resources that will be </w:t>
      </w:r>
      <w:r>
        <w:t>within the operating environment</w:t>
      </w:r>
      <w:r w:rsidRPr="00DB230F">
        <w:t>;</w:t>
      </w:r>
    </w:p>
    <w:p w14:paraId="4A6E7A10" w14:textId="77777777" w:rsidR="00215226" w:rsidRPr="00DB230F" w:rsidRDefault="00215226" w:rsidP="008C704E">
      <w:pPr>
        <w:pStyle w:val="Bullet1"/>
      </w:pPr>
      <w:r>
        <w:t>specifications as to the security ratings of the various areas and zones within the operating environment;</w:t>
      </w:r>
    </w:p>
    <w:p w14:paraId="0B4DA0A4" w14:textId="77777777" w:rsidR="00215226" w:rsidRDefault="00215226" w:rsidP="008C704E">
      <w:pPr>
        <w:pStyle w:val="Bullet1"/>
      </w:pPr>
      <w:r>
        <w:t xml:space="preserve">any requirements for </w:t>
      </w:r>
      <w:r w:rsidRPr="00D825A0">
        <w:rPr>
          <w:rStyle w:val="Emphasis"/>
        </w:rPr>
        <w:t>No Lone Zones;</w:t>
      </w:r>
    </w:p>
    <w:p w14:paraId="3C186B7A" w14:textId="77777777" w:rsidR="00215226" w:rsidRPr="00DB230F" w:rsidRDefault="00215226" w:rsidP="008C704E">
      <w:pPr>
        <w:pStyle w:val="Bullet1"/>
      </w:pPr>
      <w:r w:rsidRPr="00DB230F">
        <w:t>protective measures required for:</w:t>
      </w:r>
    </w:p>
    <w:p w14:paraId="0FDFEE21" w14:textId="77777777" w:rsidR="00215226" w:rsidRPr="00DB230F" w:rsidRDefault="00215226" w:rsidP="008C704E">
      <w:pPr>
        <w:pStyle w:val="Bullet2"/>
      </w:pPr>
      <w:r w:rsidRPr="00DB230F">
        <w:t>the</w:t>
      </w:r>
      <w:r>
        <w:t xml:space="preserve"> entire</w:t>
      </w:r>
      <w:r w:rsidRPr="00DB230F">
        <w:t xml:space="preserve"> </w:t>
      </w:r>
      <w:r>
        <w:t>operating environment</w:t>
      </w:r>
      <w:r w:rsidRPr="00DB230F">
        <w:t>;</w:t>
      </w:r>
      <w:r>
        <w:t xml:space="preserve"> </w:t>
      </w:r>
      <w:r w:rsidRPr="00DB230F">
        <w:t>and</w:t>
      </w:r>
    </w:p>
    <w:p w14:paraId="1CBF346B" w14:textId="77777777" w:rsidR="00215226" w:rsidRPr="00DB230F" w:rsidRDefault="00215226" w:rsidP="008C704E">
      <w:pPr>
        <w:pStyle w:val="Bullet2"/>
      </w:pPr>
      <w:r>
        <w:t>designated</w:t>
      </w:r>
      <w:r w:rsidRPr="00DB230F">
        <w:t xml:space="preserve"> areas within the </w:t>
      </w:r>
      <w:r>
        <w:t xml:space="preserve">operating environment, such as a room intended </w:t>
      </w:r>
      <w:r w:rsidRPr="00DB230F">
        <w:t xml:space="preserve">hold information of a higher classification than the rest of the </w:t>
      </w:r>
      <w:r>
        <w:t>operating environment</w:t>
      </w:r>
      <w:r w:rsidRPr="00DB230F">
        <w:t>.</w:t>
      </w:r>
    </w:p>
    <w:p w14:paraId="6E4AAAD6" w14:textId="77777777" w:rsidR="00215226" w:rsidRPr="00DB230F" w:rsidRDefault="00215226" w:rsidP="008C704E">
      <w:pPr>
        <w:pStyle w:val="Bullet1"/>
      </w:pPr>
      <w:r w:rsidRPr="00DB230F">
        <w:t>what differing measures will be required for:</w:t>
      </w:r>
    </w:p>
    <w:p w14:paraId="4188B5E6" w14:textId="77777777" w:rsidR="00215226" w:rsidRPr="00DB230F" w:rsidRDefault="00215226" w:rsidP="008C704E">
      <w:pPr>
        <w:pStyle w:val="Bullet2"/>
      </w:pPr>
      <w:r w:rsidRPr="00DB230F">
        <w:t>storage, handling and processing of classified or sensitive information; and</w:t>
      </w:r>
    </w:p>
    <w:p w14:paraId="34B71099" w14:textId="77777777" w:rsidR="00215226" w:rsidRDefault="00215226" w:rsidP="008C704E">
      <w:pPr>
        <w:pStyle w:val="Bullet2"/>
      </w:pPr>
      <w:r w:rsidRPr="00DB230F">
        <w:t>classified or sensitive discussions and meetings.</w:t>
      </w:r>
    </w:p>
    <w:p w14:paraId="6E048177" w14:textId="77777777" w:rsidR="00215226" w:rsidRPr="003E302C" w:rsidRDefault="00215226" w:rsidP="008C704E">
      <w:pPr>
        <w:pStyle w:val="Heading2Numbered"/>
      </w:pPr>
      <w:bookmarkStart w:id="242" w:name="_Toc426636703"/>
      <w:bookmarkStart w:id="243" w:name="_Toc426639987"/>
      <w:bookmarkStart w:id="244" w:name="_Toc430268938"/>
      <w:r w:rsidRPr="003E302C">
        <w:t>Personnel Security Plan</w:t>
      </w:r>
      <w:bookmarkEnd w:id="242"/>
      <w:bookmarkEnd w:id="243"/>
      <w:bookmarkEnd w:id="244"/>
    </w:p>
    <w:p w14:paraId="3DE7A1CD" w14:textId="77777777" w:rsidR="00215226" w:rsidRPr="007741B7" w:rsidRDefault="00215226" w:rsidP="008C704E">
      <w:r w:rsidRPr="007741B7">
        <w:t>Personnel Security is the management of staff to assist in the protection of a Service Providers people, information and assets. In a security aware culture personnel security includes three major</w:t>
      </w:r>
      <w:r w:rsidR="00426C67">
        <w:t> </w:t>
      </w:r>
      <w:r w:rsidRPr="007741B7">
        <w:t>components:</w:t>
      </w:r>
    </w:p>
    <w:p w14:paraId="7A36FAC7" w14:textId="77777777" w:rsidR="00215226" w:rsidRPr="00DB230F" w:rsidRDefault="00215226" w:rsidP="008C704E">
      <w:pPr>
        <w:pStyle w:val="Bullet1"/>
      </w:pPr>
      <w:r w:rsidRPr="00DB230F">
        <w:t>identification of suitable staff to access Service Provider information, resources and assets;</w:t>
      </w:r>
    </w:p>
    <w:p w14:paraId="2A3FA52C" w14:textId="77777777" w:rsidR="00215226" w:rsidRPr="00DB230F" w:rsidRDefault="00215226" w:rsidP="008C704E">
      <w:pPr>
        <w:pStyle w:val="Bullet1"/>
      </w:pPr>
      <w:r w:rsidRPr="00DB230F">
        <w:t>educati</w:t>
      </w:r>
      <w:r>
        <w:t xml:space="preserve">on and training of </w:t>
      </w:r>
      <w:r w:rsidRPr="00DB230F">
        <w:t xml:space="preserve">staff about their security </w:t>
      </w:r>
      <w:r>
        <w:t xml:space="preserve">roles and </w:t>
      </w:r>
      <w:r w:rsidRPr="00DB230F">
        <w:t>responsibilities; and</w:t>
      </w:r>
    </w:p>
    <w:p w14:paraId="66B04CA5" w14:textId="77777777" w:rsidR="00215226" w:rsidRPr="00DB230F" w:rsidRDefault="00215226" w:rsidP="008C704E">
      <w:pPr>
        <w:pStyle w:val="Bullet1"/>
      </w:pPr>
      <w:r w:rsidRPr="00DB230F">
        <w:t>monitoring and evaluation of staff’s continued suitability.</w:t>
      </w:r>
    </w:p>
    <w:p w14:paraId="1479309C" w14:textId="77777777" w:rsidR="008C704E" w:rsidRPr="00D825A0" w:rsidRDefault="008C704E" w:rsidP="008C704E">
      <w:pPr>
        <w:pStyle w:val="BoxText"/>
      </w:pPr>
      <w:r w:rsidRPr="00DB230F">
        <w:t xml:space="preserve">Service Providers </w:t>
      </w:r>
      <w:r w:rsidRPr="00D825A0">
        <w:rPr>
          <w:rStyle w:val="Strong"/>
        </w:rPr>
        <w:t>MUST</w:t>
      </w:r>
      <w:r w:rsidRPr="00DB230F">
        <w:t xml:space="preserve"> implement a PSP</w:t>
      </w:r>
      <w:r>
        <w:t>.</w:t>
      </w:r>
    </w:p>
    <w:p w14:paraId="084A7BE9" w14:textId="77777777" w:rsidR="00215226" w:rsidRPr="001D7A27" w:rsidRDefault="00215226" w:rsidP="008C704E">
      <w:r w:rsidRPr="001D7A27">
        <w:t xml:space="preserve">A Service Provider’s PSP </w:t>
      </w:r>
      <w:r w:rsidRPr="00D825A0">
        <w:rPr>
          <w:rStyle w:val="Strong"/>
        </w:rPr>
        <w:t>SHOULD</w:t>
      </w:r>
      <w:r w:rsidRPr="001D7A27">
        <w:t xml:space="preserve"> cover the following elements:</w:t>
      </w:r>
    </w:p>
    <w:p w14:paraId="2C8045B4" w14:textId="77777777" w:rsidR="00215226" w:rsidRPr="00D825A0" w:rsidRDefault="00215226" w:rsidP="008C704E">
      <w:pPr>
        <w:pStyle w:val="Bullet1"/>
        <w:rPr>
          <w:rStyle w:val="Strong"/>
        </w:rPr>
      </w:pPr>
      <w:r w:rsidRPr="001D7A27">
        <w:t>Pr</w:t>
      </w:r>
      <w:r w:rsidR="00897FA3">
        <w:t>e</w:t>
      </w:r>
      <w:r w:rsidR="00897FA3">
        <w:noBreakHyphen/>
      </w:r>
      <w:r w:rsidRPr="001D7A27">
        <w:t>employment checks:</w:t>
      </w:r>
    </w:p>
    <w:p w14:paraId="4FFEDCBC" w14:textId="77777777" w:rsidR="00215226" w:rsidRDefault="00215226" w:rsidP="008C704E">
      <w:pPr>
        <w:pStyle w:val="Bullet2"/>
      </w:pPr>
      <w:r w:rsidRPr="001D7A27">
        <w:t>Identity verification,</w:t>
      </w:r>
    </w:p>
    <w:p w14:paraId="7F670A09" w14:textId="77777777" w:rsidR="00215226" w:rsidRPr="00E64190" w:rsidRDefault="00215226" w:rsidP="008C704E">
      <w:pPr>
        <w:pStyle w:val="Bullet2"/>
        <w:rPr>
          <w:rStyle w:val="Strong"/>
        </w:rPr>
      </w:pPr>
      <w:r w:rsidRPr="001D7A27">
        <w:lastRenderedPageBreak/>
        <w:t>Eligibility checks (e.g. citizenship or visa working conditions),</w:t>
      </w:r>
    </w:p>
    <w:p w14:paraId="2EF8F122" w14:textId="77777777" w:rsidR="00215226" w:rsidRPr="00E64190" w:rsidRDefault="00215226" w:rsidP="008C704E">
      <w:pPr>
        <w:pStyle w:val="Bullet2"/>
        <w:rPr>
          <w:rStyle w:val="Strong"/>
        </w:rPr>
      </w:pPr>
      <w:r w:rsidRPr="001D7A27">
        <w:t>Qualification checks,</w:t>
      </w:r>
    </w:p>
    <w:p w14:paraId="1F47748E" w14:textId="77777777" w:rsidR="00215226" w:rsidRPr="00E64190" w:rsidRDefault="00215226" w:rsidP="008C704E">
      <w:pPr>
        <w:pStyle w:val="Bullet2"/>
        <w:rPr>
          <w:rStyle w:val="Strong"/>
        </w:rPr>
      </w:pPr>
      <w:r w:rsidRPr="001D7A27">
        <w:t>Previous employment checks (e.g. referee checks), and,</w:t>
      </w:r>
    </w:p>
    <w:p w14:paraId="134F1ED7" w14:textId="77777777" w:rsidR="00215226" w:rsidRPr="00E64190" w:rsidRDefault="00215226" w:rsidP="008C704E">
      <w:pPr>
        <w:pStyle w:val="Bullet2"/>
        <w:rPr>
          <w:rStyle w:val="Strong"/>
        </w:rPr>
      </w:pPr>
      <w:r w:rsidRPr="001D7A27">
        <w:t>Criminal record check.</w:t>
      </w:r>
    </w:p>
    <w:p w14:paraId="5D5EDADF" w14:textId="77777777" w:rsidR="00215226" w:rsidRPr="00D825A0" w:rsidRDefault="00215226" w:rsidP="008C704E">
      <w:pPr>
        <w:pStyle w:val="Bullet1"/>
        <w:rPr>
          <w:rStyle w:val="Strong"/>
        </w:rPr>
      </w:pPr>
      <w:r w:rsidRPr="001D7A27">
        <w:t>Employee screening and where necessary, security clearance requirements for positions,</w:t>
      </w:r>
    </w:p>
    <w:p w14:paraId="1AFF82C4" w14:textId="77777777" w:rsidR="00215226" w:rsidRDefault="00215226" w:rsidP="008C704E">
      <w:pPr>
        <w:pStyle w:val="Bullet1"/>
      </w:pPr>
      <w:r w:rsidRPr="001D7A27">
        <w:t>Security awareness, training and education</w:t>
      </w:r>
    </w:p>
    <w:p w14:paraId="5748664E" w14:textId="77777777" w:rsidR="00215226" w:rsidRDefault="00215226" w:rsidP="008C704E">
      <w:pPr>
        <w:pStyle w:val="Bullet1"/>
      </w:pPr>
      <w:r w:rsidRPr="001D7A27">
        <w:t>Monitoring and evaluation of:</w:t>
      </w:r>
    </w:p>
    <w:p w14:paraId="0F8994A8" w14:textId="77777777" w:rsidR="00215226" w:rsidRPr="00E64190" w:rsidRDefault="00215226" w:rsidP="008C704E">
      <w:pPr>
        <w:pStyle w:val="Bullet2"/>
        <w:rPr>
          <w:rStyle w:val="Strong"/>
        </w:rPr>
      </w:pPr>
      <w:r w:rsidRPr="001D7A27">
        <w:t>Access controls,</w:t>
      </w:r>
    </w:p>
    <w:p w14:paraId="2C18AE19" w14:textId="77777777" w:rsidR="00215226" w:rsidRPr="00E64190" w:rsidRDefault="00215226" w:rsidP="008C704E">
      <w:pPr>
        <w:pStyle w:val="Bullet2"/>
        <w:rPr>
          <w:rStyle w:val="Strong"/>
        </w:rPr>
      </w:pPr>
      <w:r w:rsidRPr="001D7A27">
        <w:t>Physical and logical access privileges,</w:t>
      </w:r>
    </w:p>
    <w:p w14:paraId="49DBD058" w14:textId="77777777" w:rsidR="00215226" w:rsidRDefault="00215226" w:rsidP="008C704E">
      <w:pPr>
        <w:pStyle w:val="Bullet2"/>
      </w:pPr>
      <w:r w:rsidRPr="001D7A27">
        <w:t>Physical access and IT systems monitoring, and</w:t>
      </w:r>
    </w:p>
    <w:p w14:paraId="10D4A2F4" w14:textId="77777777" w:rsidR="00215226" w:rsidRPr="00E64190" w:rsidRDefault="00215226" w:rsidP="008C704E">
      <w:pPr>
        <w:pStyle w:val="Bullet2"/>
        <w:rPr>
          <w:rStyle w:val="Strong"/>
        </w:rPr>
      </w:pPr>
      <w:r w:rsidRPr="001D7A27">
        <w:t>Maintenance and repair of IT systems by uncleared technicians.</w:t>
      </w:r>
    </w:p>
    <w:p w14:paraId="487C1C18" w14:textId="77777777" w:rsidR="00215226" w:rsidRPr="003E302C" w:rsidRDefault="00215226" w:rsidP="008C704E">
      <w:pPr>
        <w:pStyle w:val="Heading2Numbered"/>
      </w:pPr>
      <w:bookmarkStart w:id="245" w:name="_Toc426636704"/>
      <w:bookmarkStart w:id="246" w:name="_Toc426639988"/>
      <w:bookmarkStart w:id="247" w:name="_Toc430268939"/>
      <w:r w:rsidRPr="003E302C">
        <w:t>Incident Response Plan</w:t>
      </w:r>
      <w:bookmarkEnd w:id="245"/>
      <w:bookmarkEnd w:id="246"/>
      <w:bookmarkEnd w:id="247"/>
    </w:p>
    <w:p w14:paraId="5C4E9A10" w14:textId="77777777" w:rsidR="00215226" w:rsidRDefault="00215226" w:rsidP="008C704E">
      <w:r w:rsidRPr="007741B7">
        <w:t>An IRP outlines actions to take in response to a Cyber Security Incident. In most situations, the aim of the response will be to:</w:t>
      </w:r>
    </w:p>
    <w:p w14:paraId="4E792D61" w14:textId="77777777" w:rsidR="00215226" w:rsidRDefault="00215226" w:rsidP="00906D67">
      <w:pPr>
        <w:pStyle w:val="NumberedList1"/>
        <w:numPr>
          <w:ilvl w:val="0"/>
          <w:numId w:val="11"/>
        </w:numPr>
      </w:pPr>
      <w:r w:rsidRPr="00DB230F">
        <w:t>Preserve any evidence relating to the Cyber Security Incident, and</w:t>
      </w:r>
    </w:p>
    <w:p w14:paraId="19CECCB7" w14:textId="77777777" w:rsidR="00215226" w:rsidRPr="00DB230F" w:rsidRDefault="00215226" w:rsidP="008C704E">
      <w:pPr>
        <w:pStyle w:val="NumberedList1"/>
      </w:pPr>
      <w:r w:rsidRPr="00DB230F">
        <w:t>To prevent the incident from escalating.</w:t>
      </w:r>
    </w:p>
    <w:p w14:paraId="2D90403B" w14:textId="77777777" w:rsidR="00215226" w:rsidRPr="00DB230F" w:rsidRDefault="00215226" w:rsidP="008C704E">
      <w:r w:rsidRPr="00DB230F">
        <w:t>(Returning to normal operations is an objective of the DRBCP)</w:t>
      </w:r>
    </w:p>
    <w:p w14:paraId="11FCD04F" w14:textId="77777777" w:rsidR="008C704E" w:rsidRPr="00D825A0" w:rsidRDefault="008C704E" w:rsidP="008C704E">
      <w:pPr>
        <w:pStyle w:val="BoxText"/>
      </w:pPr>
      <w:r w:rsidRPr="00DB230F">
        <w:t xml:space="preserve">Service Providers </w:t>
      </w:r>
      <w:r w:rsidRPr="00D825A0">
        <w:rPr>
          <w:rStyle w:val="Strong"/>
        </w:rPr>
        <w:t>MUST</w:t>
      </w:r>
      <w:r w:rsidRPr="00DB230F">
        <w:t xml:space="preserve"> develop and maintain an IRP and supporting procedures</w:t>
      </w:r>
      <w:r>
        <w:t>.</w:t>
      </w:r>
    </w:p>
    <w:p w14:paraId="2AD01502" w14:textId="77777777" w:rsidR="00215226" w:rsidRPr="007741B7" w:rsidRDefault="00215226" w:rsidP="008C704E">
      <w:r w:rsidRPr="007741B7">
        <w:t>Service Providers</w:t>
      </w:r>
      <w:r w:rsidRPr="00D825A0">
        <w:rPr>
          <w:rStyle w:val="Strong"/>
        </w:rPr>
        <w:t xml:space="preserve"> MUST</w:t>
      </w:r>
      <w:r w:rsidRPr="007741B7">
        <w:t xml:space="preserve"> include, as a minimum the following in the IRP:</w:t>
      </w:r>
    </w:p>
    <w:p w14:paraId="0BC2AAF2" w14:textId="77777777" w:rsidR="00215226" w:rsidRPr="00DB230F" w:rsidRDefault="00215226" w:rsidP="008C704E">
      <w:pPr>
        <w:pStyle w:val="Bullet1"/>
      </w:pPr>
      <w:r w:rsidRPr="00DB230F">
        <w:t>Broad guidelines on what constitutes a Cyber Security Incident,</w:t>
      </w:r>
    </w:p>
    <w:p w14:paraId="4624C8C0" w14:textId="77777777" w:rsidR="00215226" w:rsidRPr="00DB230F" w:rsidRDefault="00215226" w:rsidP="008C704E">
      <w:pPr>
        <w:pStyle w:val="Bullet1"/>
      </w:pPr>
      <w:r w:rsidRPr="00DB230F">
        <w:t>The expected response (and timeframe) to each cyber security incident type,</w:t>
      </w:r>
    </w:p>
    <w:p w14:paraId="0C36487E" w14:textId="77777777" w:rsidR="00215226" w:rsidRPr="00DB230F" w:rsidRDefault="00215226" w:rsidP="008C704E">
      <w:pPr>
        <w:pStyle w:val="Bullet1"/>
      </w:pPr>
      <w:r w:rsidRPr="00DB230F">
        <w:t>The minimum level of Cyber Security Incident response and investigation training for users and system administrators,</w:t>
      </w:r>
    </w:p>
    <w:p w14:paraId="1987BBFA" w14:textId="77777777" w:rsidR="00215226" w:rsidRPr="00DB230F" w:rsidRDefault="00215226" w:rsidP="008C704E">
      <w:pPr>
        <w:pStyle w:val="Bullet1"/>
      </w:pPr>
      <w:r w:rsidRPr="00DB230F">
        <w:t>The authority responsible for initiating investigations of a cyber-security incident,</w:t>
      </w:r>
    </w:p>
    <w:p w14:paraId="07433420" w14:textId="77777777" w:rsidR="00215226" w:rsidRPr="00DB230F" w:rsidRDefault="00215226" w:rsidP="008C704E">
      <w:pPr>
        <w:pStyle w:val="Bullet1"/>
      </w:pPr>
      <w:r w:rsidRPr="00DB230F">
        <w:t xml:space="preserve">The steps </w:t>
      </w:r>
      <w:r>
        <w:t>required</w:t>
      </w:r>
      <w:r w:rsidRPr="00DB230F">
        <w:t xml:space="preserve"> to ensure the integrity of evidence supporting a cyber-security incident,</w:t>
      </w:r>
    </w:p>
    <w:p w14:paraId="38335BFC" w14:textId="77777777" w:rsidR="00215226" w:rsidRPr="00DB230F" w:rsidRDefault="00215226" w:rsidP="008C704E">
      <w:pPr>
        <w:pStyle w:val="Bullet1"/>
      </w:pPr>
      <w:r w:rsidRPr="00DB230F">
        <w:t>The steps necessary to ensure that critical systems remain operational,</w:t>
      </w:r>
    </w:p>
    <w:p w14:paraId="255C9A68" w14:textId="77777777" w:rsidR="00215226" w:rsidRPr="00DB230F" w:rsidRDefault="00215226" w:rsidP="008C704E">
      <w:pPr>
        <w:pStyle w:val="Bullet1"/>
      </w:pPr>
      <w:r w:rsidRPr="00DB230F">
        <w:t>Security incident responsibilities and procedures for each PKI-related system in relevant SSP, SOPs and IRP,</w:t>
      </w:r>
    </w:p>
    <w:p w14:paraId="6C9C42AC" w14:textId="77777777" w:rsidR="00215226" w:rsidRPr="00DB230F" w:rsidRDefault="00215226" w:rsidP="008C704E">
      <w:pPr>
        <w:pStyle w:val="Bullet1"/>
      </w:pPr>
      <w:r w:rsidRPr="00DB230F">
        <w:t>How to formally report cyber security incidents, and</w:t>
      </w:r>
    </w:p>
    <w:p w14:paraId="41B6B7D8" w14:textId="77777777" w:rsidR="00215226" w:rsidRDefault="00215226" w:rsidP="008C704E">
      <w:pPr>
        <w:pStyle w:val="Bullet1"/>
      </w:pPr>
      <w:r w:rsidRPr="00DB230F">
        <w:t>Procedures for dealing with data spills</w:t>
      </w:r>
      <w:r>
        <w:t xml:space="preserve"> which Service Providers </w:t>
      </w:r>
      <w:r w:rsidRPr="00D825A0">
        <w:rPr>
          <w:rStyle w:val="Strong"/>
        </w:rPr>
        <w:t>MUST</w:t>
      </w:r>
      <w:r>
        <w:t xml:space="preserve"> treat as </w:t>
      </w:r>
      <w:r w:rsidRPr="00DB230F">
        <w:t>a security incident.</w:t>
      </w:r>
    </w:p>
    <w:p w14:paraId="19B7C0F3" w14:textId="77777777" w:rsidR="00215226" w:rsidRPr="00DB230F" w:rsidRDefault="00215226" w:rsidP="008C704E">
      <w:pPr>
        <w:pStyle w:val="Bullet2"/>
      </w:pPr>
      <w:r w:rsidRPr="00DB230F">
        <w:t xml:space="preserve">Data spills </w:t>
      </w:r>
      <w:r w:rsidRPr="00E64190">
        <w:rPr>
          <w:rStyle w:val="Strong"/>
        </w:rPr>
        <w:t>MUST</w:t>
      </w:r>
      <w:r w:rsidRPr="00DB230F">
        <w:t xml:space="preserve"> be reported to ASD, the Gatekeeper Competent Authority and the information owner.</w:t>
      </w:r>
    </w:p>
    <w:p w14:paraId="3971D7D6" w14:textId="77777777" w:rsidR="00215226" w:rsidRPr="00DB230F" w:rsidRDefault="00215226" w:rsidP="008C704E">
      <w:pPr>
        <w:pStyle w:val="Bullet2"/>
      </w:pPr>
      <w:r w:rsidRPr="00DB230F">
        <w:t xml:space="preserve">Data spills </w:t>
      </w:r>
      <w:r w:rsidRPr="00E64190">
        <w:rPr>
          <w:rStyle w:val="Strong"/>
        </w:rPr>
        <w:t>SHOULD</w:t>
      </w:r>
      <w:r w:rsidRPr="00DB230F">
        <w:t xml:space="preserve"> be reported to the </w:t>
      </w:r>
      <w:r w:rsidRPr="00DB230F">
        <w:rPr>
          <w:rFonts w:cs="Microsoft Sans Serif"/>
        </w:rPr>
        <w:t>Office of the Australian Information Commissioner (</w:t>
      </w:r>
      <w:r w:rsidRPr="00DB230F">
        <w:t>OAIC). Guidance is available in [DBN].</w:t>
      </w:r>
    </w:p>
    <w:p w14:paraId="5F71F100" w14:textId="77777777" w:rsidR="00215226" w:rsidRPr="007741B7" w:rsidRDefault="00215226" w:rsidP="008C704E">
      <w:r w:rsidRPr="007741B7">
        <w:t xml:space="preserve">Service Providers </w:t>
      </w:r>
      <w:r w:rsidRPr="00D825A0">
        <w:rPr>
          <w:rStyle w:val="Strong"/>
        </w:rPr>
        <w:t>SHOULD</w:t>
      </w:r>
      <w:r w:rsidRPr="007741B7">
        <w:t xml:space="preserve"> include the following contents in the IRP:</w:t>
      </w:r>
    </w:p>
    <w:p w14:paraId="3137790C" w14:textId="77777777" w:rsidR="00215226" w:rsidRPr="00DB230F" w:rsidRDefault="00215226" w:rsidP="008C704E">
      <w:pPr>
        <w:pStyle w:val="Bullet1"/>
      </w:pPr>
      <w:r w:rsidRPr="00DB230F">
        <w:t>Clear definitions of the types of Cyber Security Incidents that are likely to be encountered,</w:t>
      </w:r>
    </w:p>
    <w:p w14:paraId="382B985A" w14:textId="77777777" w:rsidR="00215226" w:rsidRPr="00DB230F" w:rsidRDefault="00215226" w:rsidP="008C704E">
      <w:pPr>
        <w:pStyle w:val="Bullet1"/>
      </w:pPr>
      <w:r w:rsidRPr="00DB230F">
        <w:t>The authority responsible for responding to Cyber Security Incidents,</w:t>
      </w:r>
    </w:p>
    <w:p w14:paraId="7B808A1C" w14:textId="77777777" w:rsidR="00215226" w:rsidRPr="00DB230F" w:rsidRDefault="00215226" w:rsidP="008C704E">
      <w:pPr>
        <w:pStyle w:val="Bullet1"/>
      </w:pPr>
      <w:r w:rsidRPr="00DB230F">
        <w:lastRenderedPageBreak/>
        <w:t>The criteria by which the responsible authority would initiate or request formal, police or Australian Security Intelligence Organisation (ASIO) investigations of a cyber-security incident,</w:t>
      </w:r>
    </w:p>
    <w:p w14:paraId="0D3F5713" w14:textId="77777777" w:rsidR="00215226" w:rsidRPr="00DB230F" w:rsidRDefault="00215226" w:rsidP="008C704E">
      <w:pPr>
        <w:pStyle w:val="Bullet1"/>
      </w:pPr>
      <w:r w:rsidRPr="00DB230F">
        <w:t xml:space="preserve">Other authorities </w:t>
      </w:r>
      <w:r>
        <w:t>or</w:t>
      </w:r>
      <w:r w:rsidRPr="00DB230F">
        <w:t xml:space="preserve"> parties (e.g. clients and agencies) </w:t>
      </w:r>
      <w:r>
        <w:t xml:space="preserve">impacted by the incident </w:t>
      </w:r>
      <w:r w:rsidRPr="00DB230F">
        <w:t xml:space="preserve">which need to be informed in the event of an investigation being </w:t>
      </w:r>
      <w:r>
        <w:t>required</w:t>
      </w:r>
      <w:r w:rsidRPr="00DB230F">
        <w:t>, and</w:t>
      </w:r>
    </w:p>
    <w:p w14:paraId="51FC33F7" w14:textId="77777777" w:rsidR="00215226" w:rsidRPr="00DB230F" w:rsidRDefault="00215226" w:rsidP="008C704E">
      <w:pPr>
        <w:pStyle w:val="Bullet1"/>
      </w:pPr>
      <w:r w:rsidRPr="00DB230F">
        <w:t>The details of the system contingency measures or a reference to these details if they are located in a separate document</w:t>
      </w:r>
      <w:r>
        <w:t>.</w:t>
      </w:r>
    </w:p>
    <w:p w14:paraId="5362702F" w14:textId="77777777" w:rsidR="00215226" w:rsidRPr="00DB230F" w:rsidRDefault="00215226" w:rsidP="008C704E">
      <w:pPr>
        <w:pStyle w:val="BoxText"/>
      </w:pPr>
      <w:r w:rsidRPr="00DB230F">
        <w:t xml:space="preserve">Service Providers </w:t>
      </w:r>
      <w:r w:rsidRPr="00D825A0">
        <w:rPr>
          <w:rStyle w:val="Strong"/>
        </w:rPr>
        <w:t>MUST</w:t>
      </w:r>
      <w:r w:rsidRPr="00DB230F">
        <w:t xml:space="preserve"> ensure that all security inciden</w:t>
      </w:r>
      <w:r>
        <w:t>ts are recorded in a register.</w:t>
      </w:r>
    </w:p>
    <w:p w14:paraId="027692AB" w14:textId="77777777" w:rsidR="00215226" w:rsidRPr="007741B7" w:rsidRDefault="00215226" w:rsidP="008C704E">
      <w:r w:rsidRPr="007741B7">
        <w:t xml:space="preserve">The recorded information </w:t>
      </w:r>
      <w:r w:rsidRPr="00D825A0">
        <w:rPr>
          <w:rStyle w:val="Strong"/>
        </w:rPr>
        <w:t>MUST</w:t>
      </w:r>
      <w:r w:rsidRPr="007741B7">
        <w:t xml:space="preserve"> include, at a minimum:</w:t>
      </w:r>
    </w:p>
    <w:p w14:paraId="19E56A90" w14:textId="77777777" w:rsidR="00215226" w:rsidRPr="00DB230F" w:rsidRDefault="00215226" w:rsidP="008C704E">
      <w:pPr>
        <w:pStyle w:val="Bullet1"/>
      </w:pPr>
      <w:r w:rsidRPr="00DB230F">
        <w:t>The date the cyber security incident was discovered,</w:t>
      </w:r>
    </w:p>
    <w:p w14:paraId="1135D1E3" w14:textId="77777777" w:rsidR="00215226" w:rsidRPr="00DB230F" w:rsidRDefault="00215226" w:rsidP="008C704E">
      <w:pPr>
        <w:pStyle w:val="Bullet1"/>
      </w:pPr>
      <w:r w:rsidRPr="00DB230F">
        <w:t>The date the cyber security incident occurred,</w:t>
      </w:r>
    </w:p>
    <w:p w14:paraId="58C1A517" w14:textId="77777777" w:rsidR="00215226" w:rsidRPr="00DB230F" w:rsidRDefault="00215226" w:rsidP="008C704E">
      <w:pPr>
        <w:pStyle w:val="Bullet1"/>
      </w:pPr>
      <w:r w:rsidRPr="00DB230F">
        <w:t>A description of the cyber security incident, including people and locations involved,</w:t>
      </w:r>
    </w:p>
    <w:p w14:paraId="17E742F7" w14:textId="77777777" w:rsidR="00215226" w:rsidRPr="00DB230F" w:rsidRDefault="00215226" w:rsidP="008C704E">
      <w:pPr>
        <w:pStyle w:val="Bullet1"/>
      </w:pPr>
      <w:r w:rsidRPr="00DB230F">
        <w:t>The actions taken</w:t>
      </w:r>
      <w:r>
        <w:t xml:space="preserve"> in response to the incident, and</w:t>
      </w:r>
    </w:p>
    <w:p w14:paraId="1E00CEE1" w14:textId="77777777" w:rsidR="00215226" w:rsidRDefault="00215226" w:rsidP="008C704E">
      <w:pPr>
        <w:pStyle w:val="Bullet1"/>
      </w:pPr>
      <w:r w:rsidRPr="00DB230F">
        <w:t>The person to whom the cyber security incident was reported.</w:t>
      </w:r>
    </w:p>
    <w:p w14:paraId="200D5CB7" w14:textId="77777777" w:rsidR="00215226" w:rsidRPr="007741B7" w:rsidRDefault="00215226" w:rsidP="008C704E">
      <w:r w:rsidRPr="007741B7">
        <w:t>Service Providers</w:t>
      </w:r>
      <w:r w:rsidRPr="00D825A0">
        <w:rPr>
          <w:rStyle w:val="Strong"/>
        </w:rPr>
        <w:t xml:space="preserve"> SHOULD</w:t>
      </w:r>
      <w:r w:rsidRPr="007741B7">
        <w:t xml:space="preserve"> use the register as a reference for future security risk assessments.</w:t>
      </w:r>
    </w:p>
    <w:p w14:paraId="3BAA9D31" w14:textId="77777777" w:rsidR="00215226" w:rsidRPr="003E302C" w:rsidRDefault="00215226" w:rsidP="008C704E">
      <w:pPr>
        <w:pStyle w:val="Heading2Numbered"/>
      </w:pPr>
      <w:bookmarkStart w:id="248" w:name="_Toc426636705"/>
      <w:bookmarkStart w:id="249" w:name="_Toc426639989"/>
      <w:bookmarkStart w:id="250" w:name="_Toc430268940"/>
      <w:r w:rsidRPr="003E302C">
        <w:t>Cryptographic Key Management Plan</w:t>
      </w:r>
      <w:bookmarkEnd w:id="248"/>
      <w:bookmarkEnd w:id="249"/>
      <w:bookmarkEnd w:id="250"/>
    </w:p>
    <w:p w14:paraId="1B5D29EF" w14:textId="77777777" w:rsidR="00215226" w:rsidRDefault="00215226" w:rsidP="008C704E">
      <w:r w:rsidRPr="007741B7">
        <w:t>The security of information protected by PKI directly depends on the strength of the keys, the effectiveness of mechanisms and protocols associated with the keys and the protection afforded the keys.</w:t>
      </w:r>
      <w:r>
        <w:t xml:space="preserve"> </w:t>
      </w:r>
      <w:r w:rsidRPr="007741B7">
        <w:t>All keys need to be protected against modification, and private keys need to be protected against unauthorised disclosure. Key management provides the foundation for the secure generation, storage, distribution, use and destruction of keys.</w:t>
      </w:r>
    </w:p>
    <w:p w14:paraId="601E7417" w14:textId="77777777" w:rsidR="00215226" w:rsidRDefault="00215226" w:rsidP="008C704E">
      <w:pPr>
        <w:pStyle w:val="Heading3Numbered"/>
      </w:pPr>
      <w:bookmarkStart w:id="251" w:name="_Toc426636706"/>
      <w:bookmarkStart w:id="252" w:name="_Toc426636830"/>
      <w:bookmarkStart w:id="253" w:name="_Toc426639990"/>
      <w:r w:rsidRPr="003E302C">
        <w:t>Cryptographic Key Management Plan</w:t>
      </w:r>
      <w:bookmarkEnd w:id="251"/>
      <w:bookmarkEnd w:id="252"/>
      <w:bookmarkEnd w:id="253"/>
    </w:p>
    <w:p w14:paraId="0B586E06" w14:textId="77777777" w:rsidR="00215226" w:rsidRPr="007741B7" w:rsidRDefault="00215226" w:rsidP="008C704E">
      <w:r w:rsidRPr="007741B7">
        <w:t>The CKMP identifies the implementation, standards, procedures and methods for key management in PKI service providers and provides a good starting point for the protection of cryptographic systems, keys and digital certificates.</w:t>
      </w:r>
    </w:p>
    <w:p w14:paraId="5A81A396" w14:textId="77777777" w:rsidR="00215226" w:rsidRPr="00DB230F" w:rsidRDefault="00215226" w:rsidP="00BD2B67">
      <w:pPr>
        <w:pStyle w:val="BoxText"/>
        <w:keepNext w:val="0"/>
      </w:pPr>
      <w:r w:rsidRPr="00DB230F">
        <w:t xml:space="preserve">The level of detail included in the CKMP </w:t>
      </w:r>
      <w:r w:rsidRPr="00D825A0">
        <w:rPr>
          <w:rStyle w:val="Strong"/>
        </w:rPr>
        <w:t>MUST</w:t>
      </w:r>
      <w:r w:rsidRPr="00DB230F">
        <w:t xml:space="preserve"> be </w:t>
      </w:r>
      <w:r>
        <w:t>commensurate</w:t>
      </w:r>
      <w:r w:rsidRPr="00DB230F">
        <w:t xml:space="preserve"> with the criticality</w:t>
      </w:r>
      <w:r>
        <w:t xml:space="preserve">, </w:t>
      </w:r>
      <w:r w:rsidRPr="00DB230F">
        <w:t xml:space="preserve">sensitivity </w:t>
      </w:r>
      <w:r>
        <w:t>and</w:t>
      </w:r>
      <w:r w:rsidRPr="00DB230F">
        <w:t xml:space="preserve"> classification of the information to be protected.</w:t>
      </w:r>
    </w:p>
    <w:p w14:paraId="3A6D8F4E" w14:textId="77777777" w:rsidR="00215226" w:rsidRPr="007741B7" w:rsidRDefault="00215226" w:rsidP="00BD2B67">
      <w:pPr>
        <w:keepNext/>
      </w:pPr>
      <w:r w:rsidRPr="007741B7">
        <w:t>The Service Provider’s CKMP</w:t>
      </w:r>
      <w:r w:rsidRPr="00D825A0">
        <w:rPr>
          <w:rStyle w:val="Strong"/>
        </w:rPr>
        <w:t xml:space="preserve"> SHOULD</w:t>
      </w:r>
      <w:r w:rsidRPr="007741B7">
        <w:t xml:space="preserve"> include, at a minimum:</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991"/>
        <w:gridCol w:w="7069"/>
      </w:tblGrid>
      <w:tr w:rsidR="009C1B2F" w:rsidRPr="003939A1" w14:paraId="31C00368" w14:textId="77777777" w:rsidTr="009C1B2F">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210E0419" w14:textId="36B208F4" w:rsidR="009C1B2F" w:rsidRPr="003939A1" w:rsidRDefault="009C1B2F">
            <w:pPr>
              <w:pStyle w:val="Normal-TableText"/>
            </w:pPr>
            <w:r>
              <w:t>The Service Provider’s CKMP SHOULD include at a minimum:</w:t>
            </w:r>
          </w:p>
        </w:tc>
      </w:tr>
      <w:tr w:rsidR="003939A1" w:rsidRPr="003939A1" w14:paraId="2E4A3379" w14:textId="77777777" w:rsidTr="003939A1">
        <w:tc>
          <w:tcPr>
            <w:tcW w:w="1099" w:type="pct"/>
          </w:tcPr>
          <w:p w14:paraId="1149DB26" w14:textId="77777777" w:rsidR="003939A1" w:rsidRPr="003939A1" w:rsidRDefault="003939A1" w:rsidP="00FF121B">
            <w:pPr>
              <w:pStyle w:val="Normal-TableText"/>
            </w:pPr>
            <w:bookmarkStart w:id="254" w:name="_Toc426636707"/>
            <w:bookmarkStart w:id="255" w:name="_Toc426636831"/>
            <w:bookmarkStart w:id="256" w:name="_Toc426639991"/>
            <w:r w:rsidRPr="003939A1">
              <w:t>Objectives</w:t>
            </w:r>
          </w:p>
        </w:tc>
        <w:tc>
          <w:tcPr>
            <w:tcW w:w="3901" w:type="pct"/>
          </w:tcPr>
          <w:p w14:paraId="59690DFB" w14:textId="77777777" w:rsidR="003939A1" w:rsidRPr="003939A1" w:rsidRDefault="003939A1" w:rsidP="00FF121B">
            <w:pPr>
              <w:pStyle w:val="Normal-TableText"/>
            </w:pPr>
            <w:r w:rsidRPr="003939A1">
              <w:t>Objectives of the cryptographic system and CKMP, including Service Provider aims</w:t>
            </w:r>
          </w:p>
        </w:tc>
      </w:tr>
      <w:tr w:rsidR="003939A1" w:rsidRPr="003939A1" w14:paraId="27CD451F" w14:textId="77777777" w:rsidTr="003939A1">
        <w:tc>
          <w:tcPr>
            <w:tcW w:w="1099" w:type="pct"/>
            <w:vMerge w:val="restart"/>
          </w:tcPr>
          <w:p w14:paraId="6FA561E6" w14:textId="77777777" w:rsidR="003939A1" w:rsidRPr="003939A1" w:rsidRDefault="003939A1" w:rsidP="00FF121B">
            <w:pPr>
              <w:pStyle w:val="Normal-TableText"/>
            </w:pPr>
            <w:r w:rsidRPr="003939A1">
              <w:t>Accounting</w:t>
            </w:r>
          </w:p>
        </w:tc>
        <w:tc>
          <w:tcPr>
            <w:tcW w:w="3901" w:type="pct"/>
          </w:tcPr>
          <w:p w14:paraId="36A9B68E" w14:textId="77777777" w:rsidR="003939A1" w:rsidRPr="003939A1" w:rsidRDefault="003939A1" w:rsidP="00FF121B">
            <w:pPr>
              <w:pStyle w:val="Normal-TableText"/>
            </w:pPr>
            <w:r w:rsidRPr="003939A1">
              <w:t>How accounting will be undertaken for the cryptographic system</w:t>
            </w:r>
          </w:p>
        </w:tc>
      </w:tr>
      <w:tr w:rsidR="003939A1" w:rsidRPr="003939A1" w14:paraId="543B7023" w14:textId="77777777" w:rsidTr="003939A1">
        <w:tc>
          <w:tcPr>
            <w:tcW w:w="1099" w:type="pct"/>
            <w:vMerge/>
          </w:tcPr>
          <w:p w14:paraId="08E18072" w14:textId="77777777" w:rsidR="003939A1" w:rsidRPr="003939A1" w:rsidRDefault="003939A1" w:rsidP="00FF121B">
            <w:pPr>
              <w:pStyle w:val="Normal-TableText"/>
            </w:pPr>
          </w:p>
        </w:tc>
        <w:tc>
          <w:tcPr>
            <w:tcW w:w="3901" w:type="pct"/>
          </w:tcPr>
          <w:p w14:paraId="4E094225" w14:textId="77777777" w:rsidR="003939A1" w:rsidRPr="003939A1" w:rsidRDefault="003939A1" w:rsidP="00FF121B">
            <w:pPr>
              <w:pStyle w:val="Normal-TableText"/>
            </w:pPr>
            <w:r w:rsidRPr="003939A1">
              <w:t>What records will be maintained</w:t>
            </w:r>
          </w:p>
        </w:tc>
      </w:tr>
      <w:tr w:rsidR="003939A1" w:rsidRPr="003939A1" w14:paraId="2C30D5A1" w14:textId="77777777" w:rsidTr="003939A1">
        <w:tc>
          <w:tcPr>
            <w:tcW w:w="1099" w:type="pct"/>
            <w:vMerge/>
          </w:tcPr>
          <w:p w14:paraId="0749E1BC" w14:textId="77777777" w:rsidR="003939A1" w:rsidRPr="003939A1" w:rsidRDefault="003939A1" w:rsidP="00FF121B">
            <w:pPr>
              <w:pStyle w:val="Normal-TableText"/>
            </w:pPr>
          </w:p>
        </w:tc>
        <w:tc>
          <w:tcPr>
            <w:tcW w:w="3901" w:type="pct"/>
          </w:tcPr>
          <w:p w14:paraId="386595CE" w14:textId="77777777" w:rsidR="003939A1" w:rsidRPr="003939A1" w:rsidRDefault="003939A1" w:rsidP="00FF121B">
            <w:pPr>
              <w:pStyle w:val="Normal-TableText"/>
            </w:pPr>
            <w:r w:rsidRPr="003939A1">
              <w:t>How records will be audited</w:t>
            </w:r>
          </w:p>
        </w:tc>
      </w:tr>
      <w:tr w:rsidR="003939A1" w:rsidRPr="003939A1" w14:paraId="30AEB908" w14:textId="77777777" w:rsidTr="003939A1">
        <w:tc>
          <w:tcPr>
            <w:tcW w:w="1099" w:type="pct"/>
            <w:vMerge w:val="restart"/>
          </w:tcPr>
          <w:p w14:paraId="68805A80" w14:textId="77777777" w:rsidR="003939A1" w:rsidRPr="003939A1" w:rsidRDefault="003939A1" w:rsidP="00FF121B">
            <w:pPr>
              <w:pStyle w:val="Normal-TableText"/>
            </w:pPr>
            <w:r w:rsidRPr="003939A1">
              <w:lastRenderedPageBreak/>
              <w:t>Cyber Security Incidents</w:t>
            </w:r>
          </w:p>
        </w:tc>
        <w:tc>
          <w:tcPr>
            <w:tcW w:w="3901" w:type="pct"/>
          </w:tcPr>
          <w:p w14:paraId="1F1CD89D" w14:textId="77777777" w:rsidR="003939A1" w:rsidRPr="003939A1" w:rsidRDefault="003939A1" w:rsidP="00FF121B">
            <w:pPr>
              <w:pStyle w:val="Normal-TableText"/>
            </w:pPr>
            <w:r w:rsidRPr="003939A1">
              <w:t>A description of the conditions under which compromise of keys should be declared</w:t>
            </w:r>
          </w:p>
        </w:tc>
      </w:tr>
      <w:tr w:rsidR="003939A1" w:rsidRPr="003939A1" w14:paraId="29F551CD" w14:textId="77777777" w:rsidTr="003939A1">
        <w:tc>
          <w:tcPr>
            <w:tcW w:w="1099" w:type="pct"/>
            <w:vMerge/>
          </w:tcPr>
          <w:p w14:paraId="39FD3203" w14:textId="77777777" w:rsidR="003939A1" w:rsidRPr="003939A1" w:rsidRDefault="003939A1" w:rsidP="00FF121B">
            <w:pPr>
              <w:pStyle w:val="Normal-TableText"/>
            </w:pPr>
          </w:p>
        </w:tc>
        <w:tc>
          <w:tcPr>
            <w:tcW w:w="3901" w:type="pct"/>
          </w:tcPr>
          <w:p w14:paraId="41746938" w14:textId="77777777" w:rsidR="003939A1" w:rsidRPr="003939A1" w:rsidRDefault="003939A1" w:rsidP="00FF121B">
            <w:pPr>
              <w:pStyle w:val="Normal-TableText"/>
            </w:pPr>
            <w:r w:rsidRPr="003939A1">
              <w:t>References to procedures to be followed when reporting and dealing with compromised keys</w:t>
            </w:r>
          </w:p>
        </w:tc>
      </w:tr>
      <w:tr w:rsidR="003939A1" w:rsidRPr="003939A1" w14:paraId="5409347A" w14:textId="77777777" w:rsidTr="003939A1">
        <w:tc>
          <w:tcPr>
            <w:tcW w:w="1099" w:type="pct"/>
            <w:vMerge w:val="restart"/>
          </w:tcPr>
          <w:p w14:paraId="434FF1C0" w14:textId="77777777" w:rsidR="003939A1" w:rsidRPr="003939A1" w:rsidRDefault="003939A1" w:rsidP="00FF121B">
            <w:pPr>
              <w:pStyle w:val="Normal-TableText"/>
            </w:pPr>
            <w:r w:rsidRPr="003939A1">
              <w:t>Key Management</w:t>
            </w:r>
          </w:p>
        </w:tc>
        <w:tc>
          <w:tcPr>
            <w:tcW w:w="3901" w:type="pct"/>
          </w:tcPr>
          <w:p w14:paraId="6CFA2924" w14:textId="77777777" w:rsidR="003939A1" w:rsidRPr="003939A1" w:rsidRDefault="003939A1" w:rsidP="00FF121B">
            <w:pPr>
              <w:pStyle w:val="Normal-TableText"/>
            </w:pPr>
            <w:r w:rsidRPr="003939A1">
              <w:t>How are keys generated</w:t>
            </w:r>
          </w:p>
        </w:tc>
      </w:tr>
      <w:tr w:rsidR="003939A1" w:rsidRPr="003939A1" w14:paraId="15FCC401" w14:textId="77777777" w:rsidTr="003939A1">
        <w:tc>
          <w:tcPr>
            <w:tcW w:w="1099" w:type="pct"/>
            <w:vMerge/>
          </w:tcPr>
          <w:p w14:paraId="002F0377" w14:textId="77777777" w:rsidR="003939A1" w:rsidRPr="003939A1" w:rsidRDefault="003939A1" w:rsidP="00FF121B">
            <w:pPr>
              <w:pStyle w:val="Normal-TableText"/>
            </w:pPr>
          </w:p>
        </w:tc>
        <w:tc>
          <w:tcPr>
            <w:tcW w:w="3901" w:type="pct"/>
          </w:tcPr>
          <w:p w14:paraId="26A4A939" w14:textId="77777777" w:rsidR="003939A1" w:rsidRPr="003939A1" w:rsidRDefault="003939A1" w:rsidP="00FF121B">
            <w:pPr>
              <w:pStyle w:val="Normal-TableText"/>
            </w:pPr>
            <w:r w:rsidRPr="003939A1">
              <w:t>How are keys delivered to intended users</w:t>
            </w:r>
          </w:p>
        </w:tc>
      </w:tr>
      <w:tr w:rsidR="003939A1" w:rsidRPr="003939A1" w14:paraId="30B6C757" w14:textId="77777777" w:rsidTr="003939A1">
        <w:tc>
          <w:tcPr>
            <w:tcW w:w="1099" w:type="pct"/>
            <w:vMerge/>
          </w:tcPr>
          <w:p w14:paraId="1CF8297D" w14:textId="77777777" w:rsidR="003939A1" w:rsidRPr="003939A1" w:rsidRDefault="003939A1" w:rsidP="00FF121B">
            <w:pPr>
              <w:pStyle w:val="Normal-TableText"/>
            </w:pPr>
          </w:p>
        </w:tc>
        <w:tc>
          <w:tcPr>
            <w:tcW w:w="3901" w:type="pct"/>
          </w:tcPr>
          <w:p w14:paraId="775C730E" w14:textId="77777777" w:rsidR="003939A1" w:rsidRPr="003939A1" w:rsidRDefault="003939A1" w:rsidP="00FF121B">
            <w:pPr>
              <w:pStyle w:val="Normal-TableText"/>
            </w:pPr>
            <w:r w:rsidRPr="003939A1">
              <w:t>How keys are received, installed and activated</w:t>
            </w:r>
          </w:p>
        </w:tc>
      </w:tr>
      <w:tr w:rsidR="003939A1" w:rsidRPr="003939A1" w14:paraId="103FED75" w14:textId="77777777" w:rsidTr="003939A1">
        <w:tc>
          <w:tcPr>
            <w:tcW w:w="1099" w:type="pct"/>
            <w:vMerge/>
          </w:tcPr>
          <w:p w14:paraId="6F0A13C4" w14:textId="77777777" w:rsidR="003939A1" w:rsidRPr="003939A1" w:rsidRDefault="003939A1" w:rsidP="00FF121B">
            <w:pPr>
              <w:pStyle w:val="Normal-TableText"/>
            </w:pPr>
          </w:p>
        </w:tc>
        <w:tc>
          <w:tcPr>
            <w:tcW w:w="3901" w:type="pct"/>
          </w:tcPr>
          <w:p w14:paraId="70A54B20" w14:textId="77777777" w:rsidR="003939A1" w:rsidRPr="003939A1" w:rsidRDefault="003939A1" w:rsidP="00FF121B">
            <w:pPr>
              <w:pStyle w:val="Normal-TableText"/>
            </w:pPr>
            <w:r w:rsidRPr="003939A1">
              <w:t>Key distribution, including local, remote and central</w:t>
            </w:r>
          </w:p>
        </w:tc>
      </w:tr>
      <w:tr w:rsidR="003939A1" w:rsidRPr="003939A1" w14:paraId="6E0AAC4B" w14:textId="77777777" w:rsidTr="003939A1">
        <w:tc>
          <w:tcPr>
            <w:tcW w:w="1099" w:type="pct"/>
            <w:vMerge/>
          </w:tcPr>
          <w:p w14:paraId="7F856B74" w14:textId="77777777" w:rsidR="003939A1" w:rsidRPr="003939A1" w:rsidRDefault="003939A1" w:rsidP="00FF121B">
            <w:pPr>
              <w:pStyle w:val="Normal-TableText"/>
            </w:pPr>
          </w:p>
        </w:tc>
        <w:tc>
          <w:tcPr>
            <w:tcW w:w="3901" w:type="pct"/>
          </w:tcPr>
          <w:p w14:paraId="3C784C0F" w14:textId="77777777" w:rsidR="003939A1" w:rsidRPr="003939A1" w:rsidRDefault="003939A1" w:rsidP="00FF121B">
            <w:pPr>
              <w:pStyle w:val="Normal-TableText"/>
            </w:pPr>
            <w:r w:rsidRPr="003939A1">
              <w:t>How keys are transferred, stored, backed up and archived</w:t>
            </w:r>
          </w:p>
        </w:tc>
      </w:tr>
      <w:tr w:rsidR="003939A1" w:rsidRPr="003939A1" w14:paraId="3242BD75" w14:textId="77777777" w:rsidTr="003939A1">
        <w:tc>
          <w:tcPr>
            <w:tcW w:w="1099" w:type="pct"/>
            <w:vMerge/>
          </w:tcPr>
          <w:p w14:paraId="2A80B913" w14:textId="77777777" w:rsidR="003939A1" w:rsidRPr="003939A1" w:rsidRDefault="003939A1" w:rsidP="00FF121B">
            <w:pPr>
              <w:pStyle w:val="Normal-TableText"/>
            </w:pPr>
          </w:p>
        </w:tc>
        <w:tc>
          <w:tcPr>
            <w:tcW w:w="3901" w:type="pct"/>
          </w:tcPr>
          <w:p w14:paraId="2748E33F" w14:textId="77777777" w:rsidR="003939A1" w:rsidRPr="003939A1" w:rsidRDefault="003939A1" w:rsidP="00FF121B">
            <w:pPr>
              <w:pStyle w:val="Normal-TableText"/>
            </w:pPr>
            <w:r w:rsidRPr="003939A1">
              <w:t>How keys are recovered as part of disaster recovery of business continuity management</w:t>
            </w:r>
          </w:p>
        </w:tc>
      </w:tr>
      <w:tr w:rsidR="003939A1" w:rsidRPr="003939A1" w14:paraId="212478AD" w14:textId="77777777" w:rsidTr="003939A1">
        <w:tc>
          <w:tcPr>
            <w:tcW w:w="1099" w:type="pct"/>
            <w:vMerge/>
          </w:tcPr>
          <w:p w14:paraId="456AF59D" w14:textId="77777777" w:rsidR="003939A1" w:rsidRPr="003939A1" w:rsidRDefault="003939A1" w:rsidP="00FF121B">
            <w:pPr>
              <w:pStyle w:val="Normal-TableText"/>
            </w:pPr>
          </w:p>
        </w:tc>
        <w:tc>
          <w:tcPr>
            <w:tcW w:w="3901" w:type="pct"/>
          </w:tcPr>
          <w:p w14:paraId="335D6625" w14:textId="77777777" w:rsidR="003939A1" w:rsidRPr="003939A1" w:rsidRDefault="003939A1" w:rsidP="00FF121B">
            <w:pPr>
              <w:pStyle w:val="Normal-TableText"/>
            </w:pPr>
            <w:r w:rsidRPr="003939A1">
              <w:t>How keys are revoked, suspended, deactivated and destroyed</w:t>
            </w:r>
          </w:p>
        </w:tc>
      </w:tr>
      <w:tr w:rsidR="003939A1" w:rsidRPr="003939A1" w14:paraId="47C24A9B" w14:textId="77777777" w:rsidTr="003939A1">
        <w:tc>
          <w:tcPr>
            <w:tcW w:w="1099" w:type="pct"/>
            <w:vMerge/>
          </w:tcPr>
          <w:p w14:paraId="0F365985" w14:textId="77777777" w:rsidR="003939A1" w:rsidRPr="003939A1" w:rsidRDefault="003939A1" w:rsidP="00FF121B">
            <w:pPr>
              <w:pStyle w:val="Normal-TableText"/>
            </w:pPr>
          </w:p>
        </w:tc>
        <w:tc>
          <w:tcPr>
            <w:tcW w:w="3901" w:type="pct"/>
          </w:tcPr>
          <w:p w14:paraId="33150089" w14:textId="77777777" w:rsidR="003939A1" w:rsidRPr="003939A1" w:rsidRDefault="003939A1" w:rsidP="00FF121B">
            <w:pPr>
              <w:pStyle w:val="Normal-TableText"/>
            </w:pPr>
            <w:r w:rsidRPr="003939A1">
              <w:t xml:space="preserve">How keys are changed or updated </w:t>
            </w:r>
          </w:p>
        </w:tc>
      </w:tr>
      <w:tr w:rsidR="003939A1" w:rsidRPr="003939A1" w14:paraId="684AD565" w14:textId="77777777" w:rsidTr="003939A1">
        <w:trPr>
          <w:trHeight w:val="443"/>
        </w:trPr>
        <w:tc>
          <w:tcPr>
            <w:tcW w:w="1099" w:type="pct"/>
            <w:vMerge/>
          </w:tcPr>
          <w:p w14:paraId="03B4F70D" w14:textId="77777777" w:rsidR="003939A1" w:rsidRPr="003939A1" w:rsidRDefault="003939A1" w:rsidP="00FF121B">
            <w:pPr>
              <w:pStyle w:val="Normal-TableText"/>
            </w:pPr>
          </w:p>
        </w:tc>
        <w:tc>
          <w:tcPr>
            <w:tcW w:w="3901" w:type="pct"/>
          </w:tcPr>
          <w:p w14:paraId="50765FED" w14:textId="77777777" w:rsidR="003939A1" w:rsidRPr="003939A1" w:rsidRDefault="003939A1" w:rsidP="00FF121B">
            <w:pPr>
              <w:pStyle w:val="Normal-TableText"/>
            </w:pPr>
            <w:r w:rsidRPr="003939A1">
              <w:t>Logging and auditing of key management related activities</w:t>
            </w:r>
          </w:p>
        </w:tc>
      </w:tr>
      <w:tr w:rsidR="003939A1" w:rsidRPr="003939A1" w14:paraId="0946E111" w14:textId="77777777" w:rsidTr="003939A1">
        <w:trPr>
          <w:trHeight w:val="612"/>
        </w:trPr>
        <w:tc>
          <w:tcPr>
            <w:tcW w:w="1099" w:type="pct"/>
            <w:vMerge w:val="restart"/>
          </w:tcPr>
          <w:p w14:paraId="19E97CC7" w14:textId="77777777" w:rsidR="003939A1" w:rsidRPr="003939A1" w:rsidRDefault="003939A1" w:rsidP="00FF121B">
            <w:pPr>
              <w:pStyle w:val="Normal-TableText"/>
            </w:pPr>
            <w:r w:rsidRPr="003939A1">
              <w:t>Maintenance</w:t>
            </w:r>
          </w:p>
        </w:tc>
        <w:tc>
          <w:tcPr>
            <w:tcW w:w="3901" w:type="pct"/>
          </w:tcPr>
          <w:p w14:paraId="2D64A627" w14:textId="77777777" w:rsidR="003939A1" w:rsidRPr="003939A1" w:rsidRDefault="003939A1" w:rsidP="00FF121B">
            <w:pPr>
              <w:pStyle w:val="Normal-TableText"/>
            </w:pPr>
            <w:r w:rsidRPr="003939A1">
              <w:t xml:space="preserve">Maintaining the cryptographic system software and hardware </w:t>
            </w:r>
          </w:p>
        </w:tc>
      </w:tr>
      <w:tr w:rsidR="003939A1" w:rsidRPr="003939A1" w14:paraId="441A67E6" w14:textId="77777777" w:rsidTr="003939A1">
        <w:tc>
          <w:tcPr>
            <w:tcW w:w="1099" w:type="pct"/>
            <w:vMerge/>
          </w:tcPr>
          <w:p w14:paraId="7F34F3CE" w14:textId="77777777" w:rsidR="003939A1" w:rsidRPr="003939A1" w:rsidRDefault="003939A1" w:rsidP="00FF121B">
            <w:pPr>
              <w:pStyle w:val="Normal-TableText"/>
            </w:pPr>
          </w:p>
        </w:tc>
        <w:tc>
          <w:tcPr>
            <w:tcW w:w="3901" w:type="pct"/>
          </w:tcPr>
          <w:p w14:paraId="2D7A339A" w14:textId="77777777" w:rsidR="003939A1" w:rsidRPr="003939A1" w:rsidRDefault="003939A1" w:rsidP="00FF121B">
            <w:pPr>
              <w:pStyle w:val="Normal-TableText"/>
            </w:pPr>
            <w:r w:rsidRPr="003939A1">
              <w:t>Destroying cryptographic equipment and media</w:t>
            </w:r>
          </w:p>
        </w:tc>
      </w:tr>
      <w:tr w:rsidR="003939A1" w:rsidRPr="003939A1" w14:paraId="4C53A8A6" w14:textId="77777777" w:rsidTr="003939A1">
        <w:tc>
          <w:tcPr>
            <w:tcW w:w="1099" w:type="pct"/>
            <w:vMerge w:val="restart"/>
          </w:tcPr>
          <w:p w14:paraId="4410AAEF" w14:textId="77777777" w:rsidR="003939A1" w:rsidRPr="003939A1" w:rsidRDefault="003939A1" w:rsidP="00FF121B">
            <w:pPr>
              <w:pStyle w:val="Normal-TableText"/>
            </w:pPr>
            <w:r w:rsidRPr="003939A1">
              <w:t>References</w:t>
            </w:r>
          </w:p>
        </w:tc>
        <w:tc>
          <w:tcPr>
            <w:tcW w:w="3901" w:type="pct"/>
          </w:tcPr>
          <w:p w14:paraId="4E7A7E7F" w14:textId="77777777" w:rsidR="003939A1" w:rsidRPr="003939A1" w:rsidRDefault="003939A1" w:rsidP="00FF121B">
            <w:pPr>
              <w:pStyle w:val="Normal-TableText"/>
            </w:pPr>
            <w:r w:rsidRPr="003939A1">
              <w:t>Vendor documentation</w:t>
            </w:r>
          </w:p>
        </w:tc>
      </w:tr>
      <w:tr w:rsidR="003939A1" w:rsidRPr="003939A1" w14:paraId="77C7A54E" w14:textId="77777777" w:rsidTr="003939A1">
        <w:tc>
          <w:tcPr>
            <w:tcW w:w="1099" w:type="pct"/>
            <w:vMerge/>
          </w:tcPr>
          <w:p w14:paraId="4079D254" w14:textId="77777777" w:rsidR="003939A1" w:rsidRPr="003939A1" w:rsidRDefault="003939A1" w:rsidP="00FF121B">
            <w:pPr>
              <w:pStyle w:val="Normal-TableText"/>
            </w:pPr>
          </w:p>
        </w:tc>
        <w:tc>
          <w:tcPr>
            <w:tcW w:w="3901" w:type="pct"/>
          </w:tcPr>
          <w:p w14:paraId="1C86BB2E" w14:textId="77777777" w:rsidR="003939A1" w:rsidRPr="003939A1" w:rsidRDefault="003939A1" w:rsidP="00FF121B">
            <w:pPr>
              <w:pStyle w:val="Normal-TableText"/>
            </w:pPr>
            <w:r w:rsidRPr="003939A1">
              <w:t>Relevant policies</w:t>
            </w:r>
          </w:p>
        </w:tc>
      </w:tr>
      <w:tr w:rsidR="003939A1" w:rsidRPr="003939A1" w14:paraId="6916510C" w14:textId="77777777" w:rsidTr="003939A1">
        <w:trPr>
          <w:trHeight w:val="784"/>
        </w:trPr>
        <w:tc>
          <w:tcPr>
            <w:tcW w:w="1099" w:type="pct"/>
          </w:tcPr>
          <w:p w14:paraId="411D9A1F" w14:textId="77777777" w:rsidR="003939A1" w:rsidRPr="003939A1" w:rsidRDefault="003939A1" w:rsidP="00FF121B">
            <w:pPr>
              <w:pStyle w:val="Normal-TableText"/>
            </w:pPr>
            <w:r w:rsidRPr="003939A1">
              <w:t>Sensitivity or classification</w:t>
            </w:r>
          </w:p>
        </w:tc>
        <w:tc>
          <w:tcPr>
            <w:tcW w:w="3901" w:type="pct"/>
          </w:tcPr>
          <w:p w14:paraId="27AE699C" w14:textId="77777777" w:rsidR="003939A1" w:rsidRPr="003939A1" w:rsidRDefault="003939A1" w:rsidP="00FF121B">
            <w:pPr>
              <w:pStyle w:val="Normal-TableText"/>
            </w:pPr>
            <w:r w:rsidRPr="003939A1">
              <w:t>Sensitivity or classification of the cryptographic system hardware, software and documentation</w:t>
            </w:r>
          </w:p>
        </w:tc>
      </w:tr>
      <w:tr w:rsidR="003939A1" w:rsidRPr="003939A1" w14:paraId="66A39F6E" w14:textId="77777777" w:rsidTr="003939A1">
        <w:tc>
          <w:tcPr>
            <w:tcW w:w="1099" w:type="pct"/>
            <w:vMerge w:val="restart"/>
          </w:tcPr>
          <w:p w14:paraId="0B906CD6" w14:textId="1A1CF76C" w:rsidR="003939A1" w:rsidRPr="003939A1" w:rsidRDefault="003939A1" w:rsidP="00FF121B">
            <w:pPr>
              <w:pStyle w:val="Normal-TableText"/>
            </w:pPr>
            <w:r w:rsidRPr="003939A1">
              <w:t>System description</w:t>
            </w:r>
          </w:p>
        </w:tc>
        <w:tc>
          <w:tcPr>
            <w:tcW w:w="3901" w:type="pct"/>
          </w:tcPr>
          <w:p w14:paraId="3EABFA06" w14:textId="77777777" w:rsidR="003939A1" w:rsidRPr="003939A1" w:rsidRDefault="003939A1" w:rsidP="00FF121B">
            <w:pPr>
              <w:pStyle w:val="Normal-TableText"/>
            </w:pPr>
            <w:r w:rsidRPr="003939A1">
              <w:t>Sensitivity or classification of information protected</w:t>
            </w:r>
          </w:p>
        </w:tc>
      </w:tr>
      <w:tr w:rsidR="003939A1" w:rsidRPr="003939A1" w14:paraId="05EE11FF" w14:textId="77777777" w:rsidTr="003939A1">
        <w:tc>
          <w:tcPr>
            <w:tcW w:w="1099" w:type="pct"/>
            <w:vMerge/>
          </w:tcPr>
          <w:p w14:paraId="2E282457" w14:textId="77777777" w:rsidR="003939A1" w:rsidRPr="003939A1" w:rsidRDefault="003939A1" w:rsidP="00FF121B">
            <w:pPr>
              <w:pStyle w:val="Normal-TableText"/>
            </w:pPr>
          </w:p>
        </w:tc>
        <w:tc>
          <w:tcPr>
            <w:tcW w:w="3901" w:type="pct"/>
          </w:tcPr>
          <w:p w14:paraId="5506EE3A" w14:textId="77777777" w:rsidR="003939A1" w:rsidRPr="003939A1" w:rsidRDefault="003939A1" w:rsidP="00FF121B">
            <w:pPr>
              <w:pStyle w:val="Normal-TableText"/>
            </w:pPr>
            <w:r w:rsidRPr="003939A1">
              <w:t>The use of keys</w:t>
            </w:r>
          </w:p>
        </w:tc>
      </w:tr>
      <w:tr w:rsidR="003939A1" w:rsidRPr="003939A1" w14:paraId="008BB663" w14:textId="77777777" w:rsidTr="003939A1">
        <w:tc>
          <w:tcPr>
            <w:tcW w:w="1099" w:type="pct"/>
            <w:vMerge/>
          </w:tcPr>
          <w:p w14:paraId="19351ED5" w14:textId="77777777" w:rsidR="003939A1" w:rsidRPr="003939A1" w:rsidRDefault="003939A1" w:rsidP="00FF121B">
            <w:pPr>
              <w:pStyle w:val="Normal-TableText"/>
            </w:pPr>
          </w:p>
        </w:tc>
        <w:tc>
          <w:tcPr>
            <w:tcW w:w="3901" w:type="pct"/>
          </w:tcPr>
          <w:p w14:paraId="25EC97E3" w14:textId="77777777" w:rsidR="003939A1" w:rsidRPr="003939A1" w:rsidRDefault="003939A1" w:rsidP="00FF121B">
            <w:pPr>
              <w:pStyle w:val="Normal-TableText"/>
            </w:pPr>
            <w:r w:rsidRPr="003939A1">
              <w:t>The environment</w:t>
            </w:r>
          </w:p>
        </w:tc>
      </w:tr>
      <w:tr w:rsidR="003939A1" w:rsidRPr="003939A1" w14:paraId="64569DB7" w14:textId="75D023AE" w:rsidTr="003939A1">
        <w:tc>
          <w:tcPr>
            <w:tcW w:w="1099" w:type="pct"/>
            <w:vMerge/>
          </w:tcPr>
          <w:p w14:paraId="0AE09C0E" w14:textId="77777777" w:rsidR="003939A1" w:rsidRPr="003939A1" w:rsidRDefault="003939A1" w:rsidP="00FF121B">
            <w:pPr>
              <w:pStyle w:val="Normal-TableText"/>
            </w:pPr>
          </w:p>
        </w:tc>
        <w:tc>
          <w:tcPr>
            <w:tcW w:w="3901" w:type="pct"/>
          </w:tcPr>
          <w:p w14:paraId="65CF7F61" w14:textId="77777777" w:rsidR="003939A1" w:rsidRPr="003939A1" w:rsidRDefault="003939A1" w:rsidP="00FF121B">
            <w:pPr>
              <w:pStyle w:val="Normal-TableText"/>
            </w:pPr>
            <w:r w:rsidRPr="003939A1">
              <w:t>Administrative responsibilities</w:t>
            </w:r>
          </w:p>
        </w:tc>
      </w:tr>
      <w:tr w:rsidR="003939A1" w:rsidRPr="003939A1" w14:paraId="5EC986E8" w14:textId="77777777" w:rsidTr="003939A1">
        <w:tc>
          <w:tcPr>
            <w:tcW w:w="1099" w:type="pct"/>
            <w:vMerge/>
          </w:tcPr>
          <w:p w14:paraId="69ED662C" w14:textId="77777777" w:rsidR="003939A1" w:rsidRPr="003939A1" w:rsidRDefault="003939A1" w:rsidP="00FF121B">
            <w:pPr>
              <w:pStyle w:val="Normal-TableText"/>
            </w:pPr>
          </w:p>
        </w:tc>
        <w:tc>
          <w:tcPr>
            <w:tcW w:w="3901" w:type="pct"/>
          </w:tcPr>
          <w:p w14:paraId="53758704" w14:textId="77777777" w:rsidR="003939A1" w:rsidRPr="003939A1" w:rsidRDefault="003939A1" w:rsidP="00FF121B">
            <w:pPr>
              <w:pStyle w:val="Normal-TableText"/>
            </w:pPr>
            <w:r w:rsidRPr="003939A1">
              <w:t>Key algorithms</w:t>
            </w:r>
          </w:p>
        </w:tc>
      </w:tr>
      <w:tr w:rsidR="003939A1" w:rsidRPr="003939A1" w14:paraId="31E05262" w14:textId="77777777" w:rsidTr="003939A1">
        <w:tc>
          <w:tcPr>
            <w:tcW w:w="1099" w:type="pct"/>
            <w:vMerge/>
          </w:tcPr>
          <w:p w14:paraId="7449660B" w14:textId="77777777" w:rsidR="003939A1" w:rsidRPr="003939A1" w:rsidRDefault="003939A1" w:rsidP="00FF121B">
            <w:pPr>
              <w:pStyle w:val="Normal-TableText"/>
            </w:pPr>
          </w:p>
        </w:tc>
        <w:tc>
          <w:tcPr>
            <w:tcW w:w="3901" w:type="pct"/>
          </w:tcPr>
          <w:p w14:paraId="3EDCA630" w14:textId="77777777" w:rsidR="003939A1" w:rsidRPr="003939A1" w:rsidRDefault="003939A1" w:rsidP="00FF121B">
            <w:pPr>
              <w:pStyle w:val="Normal-TableText"/>
            </w:pPr>
            <w:r w:rsidRPr="003939A1">
              <w:t>Key lengths</w:t>
            </w:r>
          </w:p>
        </w:tc>
      </w:tr>
      <w:tr w:rsidR="003939A1" w:rsidRPr="003939A1" w14:paraId="4F669F55" w14:textId="77777777" w:rsidTr="003939A1">
        <w:tc>
          <w:tcPr>
            <w:tcW w:w="1099" w:type="pct"/>
            <w:vMerge/>
          </w:tcPr>
          <w:p w14:paraId="05C5565E" w14:textId="77777777" w:rsidR="003939A1" w:rsidRPr="003939A1" w:rsidRDefault="003939A1" w:rsidP="00FF121B">
            <w:pPr>
              <w:pStyle w:val="Normal-TableText"/>
            </w:pPr>
          </w:p>
        </w:tc>
        <w:tc>
          <w:tcPr>
            <w:tcW w:w="3901" w:type="pct"/>
          </w:tcPr>
          <w:p w14:paraId="7E8F02AD" w14:textId="77777777" w:rsidR="003939A1" w:rsidRPr="003939A1" w:rsidRDefault="003939A1" w:rsidP="00FF121B">
            <w:pPr>
              <w:pStyle w:val="Normal-TableText"/>
            </w:pPr>
            <w:r w:rsidRPr="003939A1">
              <w:t>Key lifetime</w:t>
            </w:r>
          </w:p>
        </w:tc>
      </w:tr>
      <w:tr w:rsidR="003939A1" w:rsidRPr="003939A1" w14:paraId="0DB361F9" w14:textId="77777777" w:rsidTr="003939A1">
        <w:tc>
          <w:tcPr>
            <w:tcW w:w="1099" w:type="pct"/>
          </w:tcPr>
          <w:p w14:paraId="2EFB5CB7" w14:textId="77777777" w:rsidR="003939A1" w:rsidRPr="003939A1" w:rsidRDefault="003939A1" w:rsidP="00FF121B">
            <w:pPr>
              <w:pStyle w:val="Normal-TableText"/>
            </w:pPr>
            <w:r w:rsidRPr="003939A1">
              <w:lastRenderedPageBreak/>
              <w:t>Topology</w:t>
            </w:r>
          </w:p>
        </w:tc>
        <w:tc>
          <w:tcPr>
            <w:tcW w:w="3901" w:type="pct"/>
          </w:tcPr>
          <w:p w14:paraId="7C20B457" w14:textId="77777777" w:rsidR="003939A1" w:rsidRPr="003939A1" w:rsidRDefault="003939A1" w:rsidP="00FF121B">
            <w:pPr>
              <w:pStyle w:val="Normal-TableText"/>
            </w:pPr>
            <w:r w:rsidRPr="003939A1">
              <w:t>Diagrams and descriptions of the cryptographic system topology including data flows</w:t>
            </w:r>
          </w:p>
        </w:tc>
      </w:tr>
    </w:tbl>
    <w:p w14:paraId="1AC00C75" w14:textId="77777777" w:rsidR="00215226" w:rsidRPr="003E302C" w:rsidRDefault="00215226" w:rsidP="00AA3DFF">
      <w:pPr>
        <w:pStyle w:val="Heading3Numbered"/>
      </w:pPr>
      <w:r w:rsidRPr="003E302C">
        <w:t>Compromise of keys and digital certificates</w:t>
      </w:r>
      <w:bookmarkEnd w:id="254"/>
      <w:bookmarkEnd w:id="255"/>
      <w:bookmarkEnd w:id="256"/>
    </w:p>
    <w:p w14:paraId="54AA91E9" w14:textId="77777777" w:rsidR="00215226" w:rsidRPr="007741B7" w:rsidRDefault="00215226" w:rsidP="00AA3DFF">
      <w:r w:rsidRPr="007741B7">
        <w:t>Keys or digital certificates used for digitally signing or encrypting messages that are suspected of being compromised (that is, lost, stolen, copied, or uncontrolled), are incapable of offering any assurance in the integrity of the subsequent messages digitally signed or encrypted by that key.</w:t>
      </w:r>
      <w:r>
        <w:t xml:space="preserve"> </w:t>
      </w:r>
      <w:r w:rsidRPr="007741B7">
        <w:t>Likewise, no assurance can be placed in the confidentiality of a message encrypted using the public key, since third parties could intercept the message and decrypt it using the private key.</w:t>
      </w:r>
    </w:p>
    <w:p w14:paraId="2EAC7455" w14:textId="77777777" w:rsidR="00215226" w:rsidRPr="00DB230F" w:rsidRDefault="00215226" w:rsidP="00AA3DFF">
      <w:pPr>
        <w:pStyle w:val="BoxText"/>
      </w:pPr>
      <w:r w:rsidRPr="00DB230F">
        <w:t xml:space="preserve">Service Providers </w:t>
      </w:r>
      <w:r w:rsidRPr="00D825A0">
        <w:rPr>
          <w:rStyle w:val="Strong"/>
        </w:rPr>
        <w:t>MUST</w:t>
      </w:r>
      <w:r w:rsidRPr="00DB230F">
        <w:t xml:space="preserve"> immediately revoke digital certificates suspected of being compromised</w:t>
      </w:r>
      <w:r>
        <w:t>.</w:t>
      </w:r>
    </w:p>
    <w:p w14:paraId="28F7AECE" w14:textId="77777777" w:rsidR="00215226" w:rsidRPr="003E302C" w:rsidRDefault="00215226" w:rsidP="00AA3DFF">
      <w:pPr>
        <w:pStyle w:val="Heading3Numbered"/>
      </w:pPr>
      <w:bookmarkStart w:id="257" w:name="_Toc426636708"/>
      <w:bookmarkStart w:id="258" w:name="_Toc426636832"/>
      <w:bookmarkStart w:id="259" w:name="_Toc426639992"/>
      <w:r w:rsidRPr="003E302C">
        <w:t>ASD Approved Cryptographic Algorithms</w:t>
      </w:r>
      <w:bookmarkEnd w:id="257"/>
      <w:bookmarkEnd w:id="258"/>
      <w:bookmarkEnd w:id="259"/>
    </w:p>
    <w:p w14:paraId="40F9EB14" w14:textId="77777777" w:rsidR="00215226" w:rsidRPr="007741B7" w:rsidRDefault="00215226" w:rsidP="00AA3DFF">
      <w:r w:rsidRPr="007741B7">
        <w:t>Whilst there is no guarantee or proof of security of an algorithm against presently unknown intrusion methods, the algorithms listed in this section have been extensively scrutinised by industry and academic communities in a practical and theoretical setting and have not been found to be susceptible to any feasible intrusion.</w:t>
      </w:r>
      <w:r>
        <w:t xml:space="preserve"> </w:t>
      </w:r>
      <w:r w:rsidRPr="007741B7">
        <w:t>There have been some cases where theoretically impressive vulnerabilities have been found, however these results are not of practical application.</w:t>
      </w:r>
    </w:p>
    <w:p w14:paraId="4EBC3ABA" w14:textId="77777777" w:rsidR="00215226" w:rsidRPr="00DB230F" w:rsidRDefault="00215226" w:rsidP="00AA3DFF">
      <w:pPr>
        <w:pStyle w:val="BoxText"/>
      </w:pPr>
      <w:r w:rsidRPr="00DB230F">
        <w:t xml:space="preserve">Service Providers </w:t>
      </w:r>
      <w:r w:rsidRPr="00D825A0">
        <w:rPr>
          <w:rStyle w:val="Strong"/>
        </w:rPr>
        <w:t>MUST</w:t>
      </w:r>
      <w:r w:rsidRPr="00DB230F">
        <w:t xml:space="preserve"> use encryption products that implement ASD Approved Cryptographic Algorithms</w:t>
      </w:r>
      <w:r>
        <w:t xml:space="preserve"> (AACAs).</w:t>
      </w:r>
    </w:p>
    <w:p w14:paraId="2625D0F5" w14:textId="77777777" w:rsidR="00215226" w:rsidRPr="007741B7" w:rsidRDefault="00215226" w:rsidP="00AA3DFF">
      <w:r w:rsidRPr="007741B7">
        <w:t>The AACAs fall into three categories: asymmetric or public key algorithms, hashing algorithms and symmetric encryption algorithms.</w:t>
      </w:r>
    </w:p>
    <w:p w14:paraId="13CE0340" w14:textId="77777777" w:rsidR="00215226" w:rsidRPr="007741B7" w:rsidRDefault="00215226" w:rsidP="00AA3DFF">
      <w:r w:rsidRPr="007741B7">
        <w:t>The approved asymmetric/ public key algorithms are:</w:t>
      </w:r>
    </w:p>
    <w:p w14:paraId="615F6339" w14:textId="77777777" w:rsidR="00215226" w:rsidRPr="00DB230F" w:rsidRDefault="00215226" w:rsidP="00AA3DFF">
      <w:pPr>
        <w:pStyle w:val="Bullet1"/>
      </w:pPr>
      <w:r w:rsidRPr="00DB230F">
        <w:t>Diffi</w:t>
      </w:r>
      <w:r w:rsidR="00897FA3">
        <w:t>e</w:t>
      </w:r>
      <w:r w:rsidR="00897FA3">
        <w:noBreakHyphen/>
      </w:r>
      <w:r w:rsidRPr="00DB230F">
        <w:t>Hellman (DH) for agreeing on encryption session keys,</w:t>
      </w:r>
    </w:p>
    <w:p w14:paraId="236E6BA8" w14:textId="77777777" w:rsidR="00215226" w:rsidRPr="00DB230F" w:rsidRDefault="00215226" w:rsidP="00AA3DFF">
      <w:pPr>
        <w:pStyle w:val="Bullet1"/>
      </w:pPr>
      <w:r w:rsidRPr="00DB230F">
        <w:t>Elliptic Curve Diffi</w:t>
      </w:r>
      <w:r w:rsidR="00897FA3">
        <w:t>e</w:t>
      </w:r>
      <w:r w:rsidR="00897FA3">
        <w:noBreakHyphen/>
      </w:r>
      <w:r w:rsidRPr="00DB230F">
        <w:t>Hellman (ECDH) for agreeing on encryption session keys,</w:t>
      </w:r>
    </w:p>
    <w:p w14:paraId="5E24DFBA" w14:textId="77777777" w:rsidR="00215226" w:rsidRPr="00DB230F" w:rsidRDefault="00215226" w:rsidP="00AA3DFF">
      <w:pPr>
        <w:pStyle w:val="Bullet1"/>
      </w:pPr>
      <w:r w:rsidRPr="00DB230F">
        <w:t>Digital Signature Algorithm (DSA) for digital signatures,</w:t>
      </w:r>
    </w:p>
    <w:p w14:paraId="47A7B84A" w14:textId="77777777" w:rsidR="00215226" w:rsidRPr="00DB230F" w:rsidRDefault="00215226" w:rsidP="00AA3DFF">
      <w:pPr>
        <w:pStyle w:val="Bullet1"/>
      </w:pPr>
      <w:r w:rsidRPr="00DB230F">
        <w:t>Elliptic Curve Digital Signature Algorithm (ECDSA) for digital signatures, and</w:t>
      </w:r>
    </w:p>
    <w:p w14:paraId="0855C0EF" w14:textId="77777777" w:rsidR="00215226" w:rsidRDefault="00215226" w:rsidP="00AA3DFF">
      <w:pPr>
        <w:pStyle w:val="Bullet1"/>
      </w:pPr>
      <w:r w:rsidRPr="00DB230F">
        <w:t xml:space="preserve">Rivest-Shamir-Adleman (RSA) for </w:t>
      </w:r>
      <w:r>
        <w:t xml:space="preserve">both </w:t>
      </w:r>
      <w:r w:rsidRPr="00DB230F">
        <w:t>digital signatures and passing encryption session keys.</w:t>
      </w:r>
    </w:p>
    <w:p w14:paraId="5CD74054" w14:textId="77777777" w:rsidR="00215226" w:rsidRPr="007741B7" w:rsidRDefault="00215226" w:rsidP="00AA3DFF">
      <w:r w:rsidRPr="007741B7">
        <w:t>The approved hashing algorithm is:</w:t>
      </w:r>
    </w:p>
    <w:p w14:paraId="48CBB680" w14:textId="77777777" w:rsidR="00215226" w:rsidRPr="00DB230F" w:rsidRDefault="00215226" w:rsidP="00AA3DFF">
      <w:pPr>
        <w:pStyle w:val="Bullet1"/>
      </w:pPr>
      <w:r w:rsidRPr="00DB230F">
        <w:t>Secure Hashing Algorithm 2 (SHA</w:t>
      </w:r>
      <w:r>
        <w:t>–2</w:t>
      </w:r>
      <w:r w:rsidRPr="00DB230F">
        <w:t>24, SHA</w:t>
      </w:r>
      <w:r>
        <w:t>–2</w:t>
      </w:r>
      <w:r w:rsidRPr="00DB230F">
        <w:t>56, SHA</w:t>
      </w:r>
      <w:r>
        <w:t>–3</w:t>
      </w:r>
      <w:r w:rsidRPr="00DB230F">
        <w:t>84 and SHA</w:t>
      </w:r>
      <w:r>
        <w:t>–5</w:t>
      </w:r>
      <w:r w:rsidRPr="00DB230F">
        <w:t>12).</w:t>
      </w:r>
    </w:p>
    <w:p w14:paraId="4A251A20" w14:textId="77777777" w:rsidR="00215226" w:rsidRPr="007741B7" w:rsidRDefault="00215226" w:rsidP="00AA3DFF">
      <w:r w:rsidRPr="007741B7">
        <w:t>The approved symmetric encryption algorithms are:</w:t>
      </w:r>
    </w:p>
    <w:p w14:paraId="0C681E5C" w14:textId="77777777" w:rsidR="00215226" w:rsidRPr="00DB230F" w:rsidRDefault="00215226" w:rsidP="00AA3DFF">
      <w:pPr>
        <w:pStyle w:val="Bullet1"/>
      </w:pPr>
      <w:r w:rsidRPr="00DB230F">
        <w:t>Advanced Encryption Standard (AES) using key lengths of 128, 192 and 256 bits, and</w:t>
      </w:r>
    </w:p>
    <w:p w14:paraId="11617602" w14:textId="77777777" w:rsidR="00215226" w:rsidRPr="00DB230F" w:rsidRDefault="00215226" w:rsidP="00AA3DFF">
      <w:pPr>
        <w:pStyle w:val="Bullet1"/>
      </w:pPr>
      <w:r w:rsidRPr="00DB230F">
        <w:t>Triple Data Encryption Standard (3DES).</w:t>
      </w:r>
    </w:p>
    <w:p w14:paraId="62F8E23F" w14:textId="77777777" w:rsidR="00215226" w:rsidRPr="003E302C" w:rsidRDefault="00215226" w:rsidP="00AA3DFF">
      <w:pPr>
        <w:pStyle w:val="Heading2Numbered"/>
      </w:pPr>
      <w:bookmarkStart w:id="260" w:name="_Toc426636709"/>
      <w:bookmarkStart w:id="261" w:name="_Toc426639993"/>
      <w:bookmarkStart w:id="262" w:name="_Toc430268941"/>
      <w:r w:rsidRPr="003E302C">
        <w:lastRenderedPageBreak/>
        <w:t>Disaster Recovery and Business Continuity Plan</w:t>
      </w:r>
      <w:bookmarkEnd w:id="260"/>
      <w:bookmarkEnd w:id="261"/>
      <w:bookmarkEnd w:id="262"/>
    </w:p>
    <w:p w14:paraId="010C7B95" w14:textId="77777777" w:rsidR="00215226" w:rsidRPr="007741B7" w:rsidRDefault="00215226" w:rsidP="00AA3DFF">
      <w:r w:rsidRPr="007741B7">
        <w:t>The DRBCP helps minimise the disruption to the availability of information and systems after a security incident or disaster by documenting the response procedures.</w:t>
      </w:r>
    </w:p>
    <w:p w14:paraId="56EDBDCC" w14:textId="77777777" w:rsidR="00AA3DFF" w:rsidRPr="00D825A0" w:rsidRDefault="00AA3DFF" w:rsidP="00AA3DFF">
      <w:pPr>
        <w:pStyle w:val="BoxText"/>
      </w:pPr>
      <w:r w:rsidRPr="00DB230F">
        <w:t xml:space="preserve">Service Providers </w:t>
      </w:r>
      <w:r w:rsidRPr="00D825A0">
        <w:rPr>
          <w:rStyle w:val="Strong"/>
        </w:rPr>
        <w:t>MUST</w:t>
      </w:r>
      <w:r w:rsidRPr="00DB230F">
        <w:t xml:space="preserve"> develop and maintain a DRBCP</w:t>
      </w:r>
      <w:r>
        <w:t>.</w:t>
      </w:r>
    </w:p>
    <w:p w14:paraId="79971D90" w14:textId="77777777" w:rsidR="00215226" w:rsidRPr="007741B7" w:rsidRDefault="00215226" w:rsidP="00AA3DFF">
      <w:r w:rsidRPr="007741B7">
        <w:t>As availability requirements will vary based on the business requirements they cannot be stipulated within the Framework.</w:t>
      </w:r>
      <w:r>
        <w:t xml:space="preserve"> </w:t>
      </w:r>
      <w:r w:rsidRPr="007741B7">
        <w:t>Specific availability requirements will be a matter for negotiation with the Relying Party.</w:t>
      </w:r>
      <w:r>
        <w:t xml:space="preserve"> </w:t>
      </w:r>
      <w:r w:rsidRPr="007741B7">
        <w:t>As such, Service Providers will need to determine availability requirements and implement appropriate security measures to achieve them.</w:t>
      </w:r>
    </w:p>
    <w:p w14:paraId="35561C8B" w14:textId="77777777" w:rsidR="00215226" w:rsidRPr="007741B7" w:rsidRDefault="00215226" w:rsidP="00AA3DFF">
      <w:r w:rsidRPr="007741B7">
        <w:t>Developing a Disaster Recovery Plan will reduce the time between a disaster occurring and critical functions of systems being restored. Developing a Business Continuity Plan can help ensure that critical functions of systems continue to operate when the system is in a degraded state.</w:t>
      </w:r>
    </w:p>
    <w:p w14:paraId="4391C475" w14:textId="77777777" w:rsidR="00215226" w:rsidRPr="003E302C" w:rsidRDefault="00215226" w:rsidP="00AA3DFF">
      <w:pPr>
        <w:pStyle w:val="Heading3Numbered"/>
      </w:pPr>
      <w:bookmarkStart w:id="263" w:name="_Toc426636710"/>
      <w:bookmarkStart w:id="264" w:name="_Toc426636834"/>
      <w:bookmarkStart w:id="265" w:name="_Toc426639994"/>
      <w:bookmarkStart w:id="266" w:name="_Toc390862354"/>
      <w:r w:rsidRPr="003E302C">
        <w:t>Business Continuity Standards</w:t>
      </w:r>
      <w:bookmarkEnd w:id="263"/>
      <w:bookmarkEnd w:id="264"/>
      <w:bookmarkEnd w:id="265"/>
    </w:p>
    <w:p w14:paraId="4A2A8CAD" w14:textId="77777777" w:rsidR="00215226" w:rsidRDefault="00215226" w:rsidP="00AA3DFF">
      <w:r w:rsidRPr="007741B7">
        <w:t xml:space="preserve">Service Providers </w:t>
      </w:r>
      <w:r w:rsidRPr="00D825A0">
        <w:rPr>
          <w:rStyle w:val="Strong"/>
        </w:rPr>
        <w:t>SHOULD</w:t>
      </w:r>
      <w:r w:rsidRPr="007741B7">
        <w:t xml:space="preserve"> develop business continuity plans in accordance with either of the following Australian standards for business continuity plans:</w:t>
      </w:r>
    </w:p>
    <w:p w14:paraId="5D63B052" w14:textId="77777777" w:rsidR="00215226" w:rsidRDefault="00215226" w:rsidP="00AA3DFF">
      <w:pPr>
        <w:pStyle w:val="Bullet1"/>
      </w:pPr>
      <w:r w:rsidRPr="00DB230F">
        <w:t xml:space="preserve">Standards Australia produces </w:t>
      </w:r>
      <w:r w:rsidRPr="00BC018C">
        <w:t>AS/NZS 5050:2010 Business Continuity – Managing disruption</w:t>
      </w:r>
      <w:r w:rsidR="00426C67">
        <w:noBreakHyphen/>
      </w:r>
      <w:r w:rsidRPr="00BC018C">
        <w:t>related risk</w:t>
      </w:r>
      <w:r w:rsidRPr="00D825A0">
        <w:rPr>
          <w:rStyle w:val="Emphasis"/>
        </w:rPr>
        <w:footnoteReference w:id="16"/>
      </w:r>
      <w:r w:rsidRPr="00DB230F">
        <w:t>, which sets out a definition and process for business continuity management and provides a workbook that may be used by organisations to assist in implementation.</w:t>
      </w:r>
    </w:p>
    <w:p w14:paraId="54703412" w14:textId="77777777" w:rsidR="00215226" w:rsidRDefault="00215226" w:rsidP="00AA3DFF">
      <w:pPr>
        <w:pStyle w:val="Bullet1"/>
      </w:pPr>
      <w:r w:rsidRPr="00DB230F">
        <w:t xml:space="preserve">The Australian National Audit Office has released a </w:t>
      </w:r>
      <w:r w:rsidRPr="00BC018C">
        <w:t>Business Continuity Management Better Practice Guide</w:t>
      </w:r>
      <w:r w:rsidRPr="00D825A0">
        <w:rPr>
          <w:rStyle w:val="Emphasis"/>
        </w:rPr>
        <w:footnoteReference w:id="17"/>
      </w:r>
      <w:r w:rsidRPr="00DB230F">
        <w:t xml:space="preserve"> to assist organisations to plan for, and build resilience into, critical business processes.</w:t>
      </w:r>
    </w:p>
    <w:p w14:paraId="6F8A8129" w14:textId="77777777" w:rsidR="00215226" w:rsidRPr="003E302C" w:rsidRDefault="00215226" w:rsidP="00AA3DFF">
      <w:pPr>
        <w:pStyle w:val="Heading3Numbered"/>
      </w:pPr>
      <w:bookmarkStart w:id="267" w:name="_Toc426636711"/>
      <w:bookmarkStart w:id="268" w:name="_Toc426636835"/>
      <w:bookmarkStart w:id="269" w:name="_Toc426639995"/>
      <w:r w:rsidRPr="003E302C">
        <w:t>Testing and validation of the DRBCP</w:t>
      </w:r>
      <w:bookmarkEnd w:id="267"/>
      <w:bookmarkEnd w:id="268"/>
      <w:bookmarkEnd w:id="269"/>
    </w:p>
    <w:p w14:paraId="2F89EDF1" w14:textId="77777777" w:rsidR="00215226" w:rsidRDefault="00215226" w:rsidP="00AA3DFF">
      <w:r>
        <w:t>Regular testing and validation of the DRBCP is crucial to effective disaster recovery and business continuity planning with the results of these tests being recorded and incorporated into the review and updates of the DRBCP.</w:t>
      </w:r>
    </w:p>
    <w:p w14:paraId="597A0DB1" w14:textId="77777777" w:rsidR="00215226" w:rsidRDefault="00215226" w:rsidP="00AA3DFF">
      <w:r>
        <w:t xml:space="preserve">Testing and validation of the DRBCP </w:t>
      </w:r>
      <w:r w:rsidRPr="00D825A0">
        <w:rPr>
          <w:rStyle w:val="Strong"/>
        </w:rPr>
        <w:t>SHOULD</w:t>
      </w:r>
      <w:r>
        <w:t xml:space="preserve"> be carried out at regular intervals throughout the year and </w:t>
      </w:r>
      <w:r w:rsidRPr="00D825A0">
        <w:rPr>
          <w:rStyle w:val="Strong"/>
        </w:rPr>
        <w:t>SHOULD</w:t>
      </w:r>
      <w:r>
        <w:t xml:space="preserve"> be implemented in the following steps:</w:t>
      </w:r>
    </w:p>
    <w:p w14:paraId="3A6C22A8" w14:textId="77777777" w:rsidR="00215226" w:rsidRDefault="00215226" w:rsidP="00906D67">
      <w:pPr>
        <w:pStyle w:val="NumberedList1"/>
        <w:numPr>
          <w:ilvl w:val="0"/>
          <w:numId w:val="12"/>
        </w:numPr>
      </w:pPr>
      <w:r>
        <w:t>identify area(s) to be tested and evaluated,</w:t>
      </w:r>
    </w:p>
    <w:p w14:paraId="617A5B53" w14:textId="77777777" w:rsidR="00215226" w:rsidRDefault="00215226" w:rsidP="00AA3DFF">
      <w:pPr>
        <w:pStyle w:val="NumberedList1"/>
      </w:pPr>
      <w:r>
        <w:t>prepare the plans,</w:t>
      </w:r>
    </w:p>
    <w:p w14:paraId="2E0E6641" w14:textId="77777777" w:rsidR="00215226" w:rsidRDefault="00215226" w:rsidP="00AA3DFF">
      <w:pPr>
        <w:pStyle w:val="NumberedList1"/>
      </w:pPr>
      <w:r>
        <w:t>undertake testing and validation,</w:t>
      </w:r>
    </w:p>
    <w:p w14:paraId="7975A30D" w14:textId="77777777" w:rsidR="00215226" w:rsidRDefault="00215226" w:rsidP="00AA3DFF">
      <w:pPr>
        <w:pStyle w:val="NumberedList1"/>
      </w:pPr>
      <w:r>
        <w:t>review and assess the results, and</w:t>
      </w:r>
    </w:p>
    <w:p w14:paraId="30FD28F4" w14:textId="77777777" w:rsidR="00215226" w:rsidRDefault="00215226" w:rsidP="00AA3DFF">
      <w:pPr>
        <w:pStyle w:val="NumberedList1"/>
      </w:pPr>
      <w:r>
        <w:t>update plans accordingly.</w:t>
      </w:r>
    </w:p>
    <w:p w14:paraId="7B18DC99" w14:textId="77777777" w:rsidR="00215226" w:rsidRPr="006E366D" w:rsidRDefault="00215226" w:rsidP="00AA3DFF">
      <w:pPr>
        <w:pStyle w:val="Heading1Numbered"/>
      </w:pPr>
      <w:bookmarkStart w:id="270" w:name="_Toc430268942"/>
      <w:bookmarkStart w:id="271" w:name="_Toc271532276"/>
      <w:bookmarkEnd w:id="266"/>
      <w:r w:rsidRPr="006E366D">
        <w:lastRenderedPageBreak/>
        <w:t>Registration Authority</w:t>
      </w:r>
      <w:bookmarkEnd w:id="270"/>
    </w:p>
    <w:p w14:paraId="03D3D01F" w14:textId="77777777" w:rsidR="00215226" w:rsidRPr="003E302C" w:rsidRDefault="00215226" w:rsidP="00AA3DFF">
      <w:pPr>
        <w:pStyle w:val="Heading2Numbered"/>
      </w:pPr>
      <w:bookmarkStart w:id="272" w:name="_Toc426636712"/>
      <w:bookmarkStart w:id="273" w:name="_Toc426639996"/>
      <w:bookmarkStart w:id="274" w:name="_Toc430268943"/>
      <w:bookmarkEnd w:id="271"/>
      <w:r w:rsidRPr="003E302C">
        <w:t>Registration Authority</w:t>
      </w:r>
      <w:bookmarkEnd w:id="272"/>
      <w:bookmarkEnd w:id="273"/>
      <w:bookmarkEnd w:id="274"/>
    </w:p>
    <w:p w14:paraId="6FE3F686" w14:textId="77777777" w:rsidR="00215226" w:rsidRDefault="00215226" w:rsidP="00AA3DFF">
      <w:r w:rsidRPr="00F94C00">
        <w:t>Registration Authorities undertake identity proofing of an Applicant requesting a digital certificate and may, depending on their business model and commercial relationship with the issuing CA, also play a role in relation to requests for certificate renewals and revocations.</w:t>
      </w:r>
    </w:p>
    <w:p w14:paraId="1775548A" w14:textId="77777777" w:rsidR="00215226" w:rsidRPr="00F94C00" w:rsidRDefault="00215226" w:rsidP="00AA3DFF">
      <w:r w:rsidRPr="00F94C00">
        <w:t>Identity proofing activities conducted by a RA for digital certificates will be performed in accordance with the Gatekeeper Identity Proofing Policy.</w:t>
      </w:r>
      <w:r>
        <w:t xml:space="preserve"> </w:t>
      </w:r>
      <w:r w:rsidRPr="00F94C00">
        <w:t xml:space="preserve">This policy is consistent with the </w:t>
      </w:r>
      <w:r w:rsidRPr="00E64190">
        <w:rPr>
          <w:rStyle w:val="Emphasis"/>
        </w:rPr>
        <w:t>National Identity Proofing Guidelines</w:t>
      </w:r>
      <w:r w:rsidRPr="00F94C00">
        <w:t xml:space="preserve"> and defines the minimum identity verification activities to defined LOAs performed by the RA.</w:t>
      </w:r>
      <w:r>
        <w:t xml:space="preserve"> </w:t>
      </w:r>
      <w:r w:rsidRPr="00F94C00">
        <w:t>Identity proofing activities conducted by a RA for certificate renewal or certificate rekey will be performed in accordance with the appropriate CPS and/or CP.</w:t>
      </w:r>
    </w:p>
    <w:p w14:paraId="0B38EE4E" w14:textId="77777777" w:rsidR="00215226" w:rsidRPr="00F94C00" w:rsidRDefault="00215226" w:rsidP="00AA3DFF">
      <w:r w:rsidRPr="00F94C00">
        <w:t>The intent of these activities is to address the five identity proofing objectives:</w:t>
      </w:r>
    </w:p>
    <w:p w14:paraId="221AD458" w14:textId="77777777" w:rsidR="00215226" w:rsidRPr="00F94C00" w:rsidRDefault="00215226" w:rsidP="00906D67">
      <w:pPr>
        <w:pStyle w:val="NumberedList1"/>
        <w:numPr>
          <w:ilvl w:val="0"/>
          <w:numId w:val="13"/>
        </w:numPr>
      </w:pPr>
      <w:r w:rsidRPr="00F94C00">
        <w:t>Confirm uniqueness of identity in the intended context,</w:t>
      </w:r>
    </w:p>
    <w:p w14:paraId="7A50FBAC" w14:textId="77777777" w:rsidR="00215226" w:rsidRPr="00F94C00" w:rsidRDefault="00215226" w:rsidP="00AA3DFF">
      <w:pPr>
        <w:pStyle w:val="NumberedList1"/>
      </w:pPr>
      <w:r w:rsidRPr="00F94C00">
        <w:t>Confirm the claimed identity is legitimate,</w:t>
      </w:r>
    </w:p>
    <w:p w14:paraId="0FD3EF2C" w14:textId="77777777" w:rsidR="00215226" w:rsidRPr="00F94C00" w:rsidRDefault="00215226" w:rsidP="00AA3DFF">
      <w:pPr>
        <w:pStyle w:val="NumberedList1"/>
      </w:pPr>
      <w:r w:rsidRPr="00F94C00">
        <w:t>Confirm the operation of the identity in the community over time,</w:t>
      </w:r>
    </w:p>
    <w:p w14:paraId="508B1DDC" w14:textId="77777777" w:rsidR="00215226" w:rsidRPr="00F94C00" w:rsidRDefault="00215226" w:rsidP="00AA3DFF">
      <w:pPr>
        <w:pStyle w:val="NumberedList1"/>
      </w:pPr>
      <w:r w:rsidRPr="00F94C00">
        <w:t>Confirm the linkage between the identity and the person claiming the identity, and</w:t>
      </w:r>
    </w:p>
    <w:p w14:paraId="04056794" w14:textId="77777777" w:rsidR="00215226" w:rsidRPr="00F94C00" w:rsidRDefault="00215226" w:rsidP="00AA3DFF">
      <w:pPr>
        <w:pStyle w:val="NumberedList1"/>
      </w:pPr>
      <w:r w:rsidRPr="00F94C00">
        <w:t>Confirm the identity is not known to be used fraudulently.</w:t>
      </w:r>
    </w:p>
    <w:p w14:paraId="5E634665" w14:textId="77777777" w:rsidR="00215226" w:rsidRPr="00F94C00" w:rsidRDefault="00215226" w:rsidP="00AA3DFF">
      <w:r w:rsidRPr="00F94C00">
        <w:t>Depending on the identity proofing objective and the LOA being met, biometric comparisons, interviews (in-person or remote) and verification of identity information or documents from authoritative sources</w:t>
      </w:r>
      <w:r w:rsidRPr="00E64190">
        <w:rPr>
          <w:rStyle w:val="FootnoteReference"/>
        </w:rPr>
        <w:footnoteReference w:id="18"/>
      </w:r>
      <w:r w:rsidRPr="00F94C00">
        <w:t xml:space="preserve"> are supported. Gatekeeper Accreditation requires there be confidence that the functions performed by the CA and RA interlock satisfactorily to form a consistent and reliable Chain of Trust.</w:t>
      </w:r>
      <w:r>
        <w:t xml:space="preserve"> </w:t>
      </w:r>
      <w:r w:rsidRPr="00F94C00">
        <w:t>The RA acts as an intermediately between Applicants and a CA and provides the essential function of identity proofing.</w:t>
      </w:r>
      <w:r>
        <w:t xml:space="preserve"> </w:t>
      </w:r>
      <w:r w:rsidRPr="00F94C00">
        <w:t>It must be trusted to undertake identity proofing on Applicants, pass accurate certificate requests and (as appropriate) certificate revocation requests to a CA.</w:t>
      </w:r>
      <w:r>
        <w:t xml:space="preserve"> </w:t>
      </w:r>
      <w:r w:rsidRPr="00F94C00">
        <w:t>The RA does not sign, issue or manage Subscriber digital certificates.</w:t>
      </w:r>
    </w:p>
    <w:p w14:paraId="21908249" w14:textId="77777777" w:rsidR="00215226" w:rsidRPr="00F94C00" w:rsidRDefault="00215226" w:rsidP="00AA3DFF">
      <w:r w:rsidRPr="00F94C00">
        <w:t>RAs may perform the registration function for more than one CA.</w:t>
      </w:r>
      <w:r>
        <w:t xml:space="preserve"> </w:t>
      </w:r>
      <w:r w:rsidRPr="00F94C00">
        <w:t>The assurance of performing this function must be consistent with the obligations of the CA and is to be undertaken in accordance with the CPS and/or CP of each of the Gatekeeper accredited CAs to which the RA provides a service.</w:t>
      </w:r>
      <w:r>
        <w:t xml:space="preserve"> </w:t>
      </w:r>
      <w:r w:rsidRPr="00F94C00">
        <w:t>If,</w:t>
      </w:r>
      <w:r w:rsidR="00426C67">
        <w:t> </w:t>
      </w:r>
      <w:r w:rsidRPr="00F94C00">
        <w:t>for example a CA provides a service that meets LOA 3 requirements, it shall, at a minimum use a RA that performs identity verification services at LOA 3. A RA operating at LOA 4 may also provide registration services to CAs that meet LOA 1, LOA 2 or LOA 3 requirements.</w:t>
      </w:r>
    </w:p>
    <w:p w14:paraId="3FE2EC15" w14:textId="77777777" w:rsidR="00426C67" w:rsidRDefault="00215226" w:rsidP="00AA3DFF">
      <w:r w:rsidRPr="00F94C00">
        <w:t>The use of a non-accredited entity to undertake identity proofing is recognised under Gatekeeper. If</w:t>
      </w:r>
      <w:r w:rsidR="00426C67">
        <w:t> </w:t>
      </w:r>
      <w:r w:rsidRPr="00F94C00">
        <w:t>the entity undertaking the identity proofing is mandated in regulations or legislation to do so for the Subscriber or for the COI in which the Subscriber participates.</w:t>
      </w:r>
      <w:r>
        <w:t xml:space="preserve"> </w:t>
      </w:r>
      <w:r w:rsidRPr="00F94C00">
        <w:t>In either case the provisions detailed in the regulations or legislation take precedence over the Gatekeeper requirements for identity proofing.</w:t>
      </w:r>
    </w:p>
    <w:p w14:paraId="7F87B8FE" w14:textId="77777777" w:rsidR="00426C67" w:rsidRDefault="00426C67">
      <w:pPr>
        <w:suppressAutoHyphens w:val="0"/>
        <w:spacing w:before="0" w:line="440" w:lineRule="atLeast"/>
      </w:pPr>
      <w:r>
        <w:br w:type="page"/>
      </w:r>
    </w:p>
    <w:p w14:paraId="14D0E089" w14:textId="77777777" w:rsidR="00215226" w:rsidRPr="003E302C" w:rsidRDefault="00215226" w:rsidP="00AA3DFF">
      <w:pPr>
        <w:pStyle w:val="Heading2Numbered"/>
      </w:pPr>
      <w:bookmarkStart w:id="275" w:name="_Toc393721084"/>
      <w:bookmarkStart w:id="276" w:name="_Toc393724870"/>
      <w:bookmarkStart w:id="277" w:name="_Toc393724950"/>
      <w:bookmarkStart w:id="278" w:name="_Toc393725029"/>
      <w:bookmarkStart w:id="279" w:name="_Toc394059986"/>
      <w:bookmarkStart w:id="280" w:name="_Toc393721085"/>
      <w:bookmarkStart w:id="281" w:name="_Toc393724871"/>
      <w:bookmarkStart w:id="282" w:name="_Toc393724951"/>
      <w:bookmarkStart w:id="283" w:name="_Toc393725030"/>
      <w:bookmarkStart w:id="284" w:name="_Toc394059987"/>
      <w:bookmarkStart w:id="285" w:name="_Toc426636713"/>
      <w:bookmarkStart w:id="286" w:name="_Toc426639997"/>
      <w:bookmarkStart w:id="287" w:name="_Toc430268944"/>
      <w:bookmarkEnd w:id="275"/>
      <w:bookmarkEnd w:id="276"/>
      <w:bookmarkEnd w:id="277"/>
      <w:bookmarkEnd w:id="278"/>
      <w:bookmarkEnd w:id="279"/>
      <w:bookmarkEnd w:id="280"/>
      <w:bookmarkEnd w:id="281"/>
      <w:bookmarkEnd w:id="282"/>
      <w:bookmarkEnd w:id="283"/>
      <w:bookmarkEnd w:id="284"/>
      <w:r w:rsidRPr="003E302C">
        <w:lastRenderedPageBreak/>
        <w:t>Evidence of Identity Rigour and Storage</w:t>
      </w:r>
      <w:bookmarkEnd w:id="285"/>
      <w:bookmarkEnd w:id="286"/>
      <w:bookmarkEnd w:id="287"/>
    </w:p>
    <w:p w14:paraId="2C42AFC7" w14:textId="77777777" w:rsidR="00215226" w:rsidRDefault="00AA3DFF" w:rsidP="00AA3DFF">
      <w:pPr>
        <w:pStyle w:val="BoxText"/>
      </w:pPr>
      <w:r w:rsidRPr="00DB230F">
        <w:t xml:space="preserve">Gatekeeper considers personal information to be a sensitive asset and requires accredited Registration Authorities to assign at a minimum, a DLM of </w:t>
      </w:r>
      <w:r w:rsidRPr="00D825A0">
        <w:rPr>
          <w:rStyle w:val="Emphasis"/>
        </w:rPr>
        <w:t>Sensitive: Personal</w:t>
      </w:r>
      <w:r w:rsidRPr="00D825A0">
        <w:rPr>
          <w:rStyle w:val="FootnoteReference"/>
        </w:rPr>
        <w:footnoteReference w:id="19"/>
      </w:r>
      <w:r w:rsidRPr="00D825A0">
        <w:rPr>
          <w:rStyle w:val="FootnoteReference"/>
        </w:rPr>
        <w:t xml:space="preserve"> </w:t>
      </w:r>
      <w:r w:rsidRPr="00DB230F">
        <w:t>to all personal information held, processed, stored or disclosed</w:t>
      </w:r>
      <w:r>
        <w:t>.</w:t>
      </w:r>
    </w:p>
    <w:p w14:paraId="155E2E20" w14:textId="412B5C22" w:rsidR="00AA3DFF" w:rsidRPr="001E275C" w:rsidRDefault="00AA3DFF" w:rsidP="00FF121B">
      <w:pPr>
        <w:pStyle w:val="NoSpacing"/>
      </w:pPr>
    </w:p>
    <w:p w14:paraId="591C4A61" w14:textId="77777777" w:rsidR="00215226" w:rsidRPr="00DB230F" w:rsidRDefault="00AA3DFF" w:rsidP="00AA3DFF">
      <w:pPr>
        <w:pStyle w:val="BoxText"/>
      </w:pPr>
      <w:r w:rsidRPr="00DB230F">
        <w:t xml:space="preserve">In relation to information collected as part of the registration process Service Providers </w:t>
      </w:r>
      <w:r w:rsidRPr="00D825A0">
        <w:rPr>
          <w:rStyle w:val="Strong"/>
        </w:rPr>
        <w:t>MUST</w:t>
      </w:r>
      <w:r w:rsidRPr="00DB230F">
        <w:t xml:space="preserve"> also consider issues of data aggregation and its impacts on security classificat</w:t>
      </w:r>
      <w:r>
        <w:t>ion and handling requirements.</w:t>
      </w:r>
    </w:p>
    <w:p w14:paraId="2D5E5364" w14:textId="77777777" w:rsidR="00215226" w:rsidRPr="00FF121B" w:rsidRDefault="00215226" w:rsidP="00AA3DFF">
      <w:pPr>
        <w:rPr>
          <w:spacing w:val="-2"/>
        </w:rPr>
      </w:pPr>
      <w:r w:rsidRPr="00FF121B">
        <w:rPr>
          <w:spacing w:val="-2"/>
        </w:rPr>
        <w:t xml:space="preserve">The </w:t>
      </w:r>
      <w:r w:rsidRPr="00FF121B">
        <w:rPr>
          <w:rStyle w:val="Emphasis"/>
          <w:spacing w:val="-2"/>
        </w:rPr>
        <w:t>Information Security Management Guideline – Management of aggregated information</w:t>
      </w:r>
      <w:r w:rsidRPr="00FF121B">
        <w:rPr>
          <w:rStyle w:val="FootnoteReference"/>
          <w:spacing w:val="-2"/>
        </w:rPr>
        <w:footnoteReference w:id="20"/>
      </w:r>
      <w:r w:rsidRPr="00FF121B">
        <w:rPr>
          <w:spacing w:val="-2"/>
        </w:rPr>
        <w:t xml:space="preserve"> provides</w:t>
      </w:r>
      <w:r w:rsidR="00426C67" w:rsidRPr="00FF121B">
        <w:rPr>
          <w:spacing w:val="-2"/>
        </w:rPr>
        <w:t> </w:t>
      </w:r>
      <w:r w:rsidRPr="00FF121B">
        <w:rPr>
          <w:spacing w:val="-2"/>
        </w:rPr>
        <w:t>guidance on good management practices to address the security risks associated with the</w:t>
      </w:r>
      <w:r w:rsidR="00426C67" w:rsidRPr="00FF121B">
        <w:rPr>
          <w:spacing w:val="-2"/>
        </w:rPr>
        <w:t> </w:t>
      </w:r>
      <w:r w:rsidRPr="00FF121B">
        <w:rPr>
          <w:spacing w:val="-2"/>
        </w:rPr>
        <w:t>aggregation of large volumes of information. The guidelines assist in identifying the value of aggregated information and provide guidance on the appropriate protections for aggregated information.</w:t>
      </w:r>
    </w:p>
    <w:p w14:paraId="16B1E93D" w14:textId="77777777" w:rsidR="00215226" w:rsidRPr="00F94C00" w:rsidRDefault="00215226" w:rsidP="00AA3DFF">
      <w:r w:rsidRPr="00F94C00">
        <w:t>The RA may also choose to implement a greater degree of security than is required by Gatekeeper because of a greater perceived threat to its operations.</w:t>
      </w:r>
      <w:r>
        <w:t xml:space="preserve"> </w:t>
      </w:r>
      <w:r w:rsidRPr="00F94C00">
        <w:t>This should be highlighted in the PSRR and SRMP, which should also describe the security arrangements in place for the protection of personal information collected during the identity proofing process.</w:t>
      </w:r>
    </w:p>
    <w:p w14:paraId="424D8EB2" w14:textId="77777777" w:rsidR="00215226" w:rsidRPr="003E302C" w:rsidRDefault="00215226" w:rsidP="00AA3DFF">
      <w:pPr>
        <w:pStyle w:val="Heading2Numbered"/>
      </w:pPr>
      <w:bookmarkStart w:id="288" w:name="_Toc426636714"/>
      <w:bookmarkStart w:id="289" w:name="_Toc426639998"/>
      <w:bookmarkStart w:id="290" w:name="_Toc430268945"/>
      <w:r w:rsidRPr="003E302C">
        <w:t>RA Operations Manual</w:t>
      </w:r>
      <w:bookmarkEnd w:id="288"/>
      <w:bookmarkEnd w:id="289"/>
      <w:bookmarkEnd w:id="290"/>
    </w:p>
    <w:p w14:paraId="34680BB8" w14:textId="77777777" w:rsidR="00215226" w:rsidRPr="00F94C00" w:rsidRDefault="00215226" w:rsidP="00AA3DFF">
      <w:r w:rsidRPr="00F94C00">
        <w:t xml:space="preserve">A RA Operations Manual </w:t>
      </w:r>
      <w:r w:rsidRPr="00D825A0">
        <w:rPr>
          <w:rStyle w:val="Strong"/>
        </w:rPr>
        <w:t>SHOULD</w:t>
      </w:r>
      <w:r w:rsidRPr="00F94C00">
        <w:t xml:space="preserve"> contain, at a minimum, the following information:</w:t>
      </w:r>
    </w:p>
    <w:p w14:paraId="16966F82" w14:textId="77777777" w:rsidR="00215226" w:rsidRPr="00F94C00" w:rsidRDefault="00215226" w:rsidP="00AA3DFF">
      <w:pPr>
        <w:pStyle w:val="Bullet1"/>
      </w:pPr>
      <w:r w:rsidRPr="00F94C00">
        <w:t>Roles and responsibilities of the RA and associated staff (i.e. RA Operators);</w:t>
      </w:r>
    </w:p>
    <w:p w14:paraId="244083A7" w14:textId="77777777" w:rsidR="00215226" w:rsidRDefault="00215226" w:rsidP="00AA3DFF">
      <w:pPr>
        <w:pStyle w:val="Bullet1"/>
      </w:pPr>
      <w:r w:rsidRPr="00F94C00">
        <w:t>The process and procedures in place to support identity proofing;</w:t>
      </w:r>
    </w:p>
    <w:p w14:paraId="5A0764B3" w14:textId="77777777" w:rsidR="00215226" w:rsidRPr="00F94C00" w:rsidRDefault="00215226" w:rsidP="00AA3DFF">
      <w:pPr>
        <w:pStyle w:val="Bullet1"/>
      </w:pPr>
      <w:r w:rsidRPr="00F94C00">
        <w:t>The procedures used to register, verify, authenticate and validate an Applicant (and Subscriber) requesting a digital certificate;</w:t>
      </w:r>
    </w:p>
    <w:p w14:paraId="68AF085B" w14:textId="77777777" w:rsidR="00215226" w:rsidRPr="00F94C00" w:rsidRDefault="00215226" w:rsidP="00AA3DFF">
      <w:pPr>
        <w:pStyle w:val="Bullet1"/>
      </w:pPr>
      <w:r w:rsidRPr="00F94C00">
        <w:t>Operational procedures describing the manner in which all nominated personnel employed within the RA perform any task undertaken with the RA;</w:t>
      </w:r>
    </w:p>
    <w:p w14:paraId="1DE08964" w14:textId="77777777" w:rsidR="00215226" w:rsidRPr="00F94C00" w:rsidRDefault="00215226" w:rsidP="00AA3DFF">
      <w:pPr>
        <w:pStyle w:val="Bullet1"/>
      </w:pPr>
      <w:r w:rsidRPr="00F94C00">
        <w:t>Overview of emergency security incident response plans (including data spills), vulnerability assessment and change management processes;</w:t>
      </w:r>
    </w:p>
    <w:p w14:paraId="4A037E3F" w14:textId="77777777" w:rsidR="00215226" w:rsidRPr="00F94C00" w:rsidRDefault="00215226" w:rsidP="00AA3DFF">
      <w:pPr>
        <w:pStyle w:val="Bullet1"/>
      </w:pPr>
      <w:r w:rsidRPr="00F94C00">
        <w:t>The degree of system logging used and the types of events captured.</w:t>
      </w:r>
    </w:p>
    <w:p w14:paraId="030F0437" w14:textId="77777777" w:rsidR="00215226" w:rsidRPr="00F94C00" w:rsidRDefault="00215226" w:rsidP="00AA3DFF">
      <w:pPr>
        <w:pStyle w:val="Bullet1"/>
      </w:pPr>
      <w:r w:rsidRPr="00F94C00">
        <w:t>Detailed descriptions of the procedures followed for:</w:t>
      </w:r>
    </w:p>
    <w:p w14:paraId="722176D6" w14:textId="77777777" w:rsidR="00215226" w:rsidRPr="00F94C00" w:rsidRDefault="00215226" w:rsidP="00AA3DFF">
      <w:pPr>
        <w:pStyle w:val="Bullet2"/>
      </w:pPr>
      <w:r w:rsidRPr="00F94C00">
        <w:t>Access control measures and procedures for RA facilities,</w:t>
      </w:r>
    </w:p>
    <w:p w14:paraId="08D8ED2E" w14:textId="77777777" w:rsidR="00215226" w:rsidRPr="00F94C00" w:rsidRDefault="00215226" w:rsidP="00AA3DFF">
      <w:pPr>
        <w:pStyle w:val="Bullet2"/>
      </w:pPr>
      <w:r w:rsidRPr="00F94C00">
        <w:t>Backup and archive procedures, and,</w:t>
      </w:r>
    </w:p>
    <w:p w14:paraId="050FA474" w14:textId="77777777" w:rsidR="00215226" w:rsidRPr="00F94C00" w:rsidRDefault="00215226" w:rsidP="00AA3DFF">
      <w:pPr>
        <w:pStyle w:val="Bullet2"/>
      </w:pPr>
      <w:r w:rsidRPr="00F94C00">
        <w:t>Publication of information for staff regarding operational practices.</w:t>
      </w:r>
    </w:p>
    <w:p w14:paraId="4424A618" w14:textId="77777777" w:rsidR="00215226" w:rsidRPr="00F94C00" w:rsidRDefault="00215226" w:rsidP="00AA3DFF">
      <w:pPr>
        <w:pStyle w:val="Bullet1"/>
      </w:pPr>
      <w:r w:rsidRPr="00F94C00">
        <w:t>Details of all interactions between the RA and CA;</w:t>
      </w:r>
    </w:p>
    <w:p w14:paraId="4D04CA26" w14:textId="77777777" w:rsidR="00215226" w:rsidRPr="00F94C00" w:rsidRDefault="00215226" w:rsidP="00AA3DFF">
      <w:pPr>
        <w:pStyle w:val="Bullet1"/>
      </w:pPr>
      <w:r w:rsidRPr="00F94C00">
        <w:t>Details of all operations consistent with those described in the Information Security Documentation;</w:t>
      </w:r>
    </w:p>
    <w:p w14:paraId="4BCBEF11" w14:textId="77777777" w:rsidR="00215226" w:rsidRPr="00F94C00" w:rsidRDefault="00215226" w:rsidP="00FF121B">
      <w:pPr>
        <w:pStyle w:val="Bullet1"/>
        <w:keepNext/>
      </w:pPr>
      <w:r w:rsidRPr="00F94C00">
        <w:t>Processes and procedures in place for:</w:t>
      </w:r>
    </w:p>
    <w:p w14:paraId="699F4227" w14:textId="77777777" w:rsidR="00215226" w:rsidRPr="00F94C00" w:rsidRDefault="00215226" w:rsidP="00FF121B">
      <w:pPr>
        <w:pStyle w:val="Bullet2"/>
        <w:keepNext/>
      </w:pPr>
      <w:r w:rsidRPr="00F94C00">
        <w:t>Storing identity information collected, and,</w:t>
      </w:r>
    </w:p>
    <w:p w14:paraId="1DB9D05A" w14:textId="77777777" w:rsidR="00215226" w:rsidRPr="00F94C00" w:rsidRDefault="00215226" w:rsidP="00AA3DFF">
      <w:pPr>
        <w:pStyle w:val="Bullet2"/>
      </w:pPr>
      <w:r w:rsidRPr="00F94C00">
        <w:t>Digital certificate renewals, revocations and suspension requests.</w:t>
      </w:r>
    </w:p>
    <w:p w14:paraId="7C7ABBAC" w14:textId="77777777" w:rsidR="00215226" w:rsidRPr="00F94C00" w:rsidRDefault="00215226" w:rsidP="00AA3DFF">
      <w:pPr>
        <w:pStyle w:val="Bullet1"/>
      </w:pPr>
      <w:r w:rsidRPr="00F94C00">
        <w:lastRenderedPageBreak/>
        <w:t>Graphics and functional flow diagrams to enhance the presentation of information in the document;</w:t>
      </w:r>
    </w:p>
    <w:p w14:paraId="0B7EB16B" w14:textId="77777777" w:rsidR="00215226" w:rsidRPr="00F94C00" w:rsidRDefault="00215226" w:rsidP="00AA3DFF">
      <w:pPr>
        <w:pStyle w:val="Bullet1"/>
      </w:pPr>
      <w:r w:rsidRPr="00F94C00">
        <w:t>Auditing requirements (internal and external);</w:t>
      </w:r>
    </w:p>
    <w:p w14:paraId="16691A22" w14:textId="77777777" w:rsidR="00215226" w:rsidRDefault="00215226" w:rsidP="00AA3DFF">
      <w:pPr>
        <w:pStyle w:val="Bullet1"/>
      </w:pPr>
      <w:r w:rsidRPr="00F94C00">
        <w:t>A complete glossary of terms used in the document; and,</w:t>
      </w:r>
    </w:p>
    <w:p w14:paraId="591C5009" w14:textId="77777777" w:rsidR="00215226" w:rsidRPr="00F94C00" w:rsidRDefault="00215226" w:rsidP="00AA3DFF">
      <w:pPr>
        <w:pStyle w:val="Bullet1"/>
      </w:pPr>
      <w:r w:rsidRPr="00F94C00">
        <w:t>Relevant standards referenced in the document.</w:t>
      </w:r>
    </w:p>
    <w:p w14:paraId="2E374043" w14:textId="77777777" w:rsidR="00215226" w:rsidRDefault="00215226" w:rsidP="00AA3DFF">
      <w:pPr>
        <w:pStyle w:val="Heading2Numbered"/>
      </w:pPr>
      <w:bookmarkStart w:id="291" w:name="_Toc426636715"/>
      <w:bookmarkStart w:id="292" w:name="_Toc426639999"/>
      <w:bookmarkStart w:id="293" w:name="_Toc430268946"/>
      <w:r w:rsidRPr="003E302C">
        <w:t>Registration Authority Levels of Assurance</w:t>
      </w:r>
      <w:bookmarkEnd w:id="291"/>
      <w:bookmarkEnd w:id="292"/>
      <w:bookmarkEnd w:id="293"/>
    </w:p>
    <w:p w14:paraId="18A91FC3" w14:textId="77777777" w:rsidR="00215226" w:rsidRDefault="00215226" w:rsidP="00AA3DFF">
      <w:r w:rsidRPr="00F94C00">
        <w:t xml:space="preserve">This section (and the subsequent table) details the assurance requirements to be met by RAs. Each level defines characteristics and minimum criteria that </w:t>
      </w:r>
      <w:r w:rsidRPr="00D825A0">
        <w:rPr>
          <w:rStyle w:val="Strong"/>
        </w:rPr>
        <w:t>MUST</w:t>
      </w:r>
      <w:r w:rsidRPr="00F94C00">
        <w:t xml:space="preserve"> be met in order to gain and maintain accreditation at a particular level.</w:t>
      </w:r>
    </w:p>
    <w:p w14:paraId="2B343204" w14:textId="77777777" w:rsidR="00215226" w:rsidRPr="00F94C00" w:rsidRDefault="00215226" w:rsidP="00AA3DFF">
      <w:pPr>
        <w:pStyle w:val="Heading3"/>
      </w:pPr>
      <w:r w:rsidRPr="00F94C00">
        <w:t>LOA 1</w:t>
      </w:r>
    </w:p>
    <w:p w14:paraId="0C6F8372" w14:textId="77777777" w:rsidR="00215226" w:rsidRDefault="00215226" w:rsidP="00AA3DFF">
      <w:r w:rsidRPr="00F94C00">
        <w:t>At this level identity is unique within the intended context. There is little confidence in the accuracy or legitimacy of the claimed identity.</w:t>
      </w:r>
      <w:r>
        <w:t xml:space="preserve"> </w:t>
      </w:r>
      <w:r w:rsidRPr="00F94C00">
        <w:t>Self-claimed or self-asserted identity (including pseudonymity) is possible but not anonymity.</w:t>
      </w:r>
    </w:p>
    <w:p w14:paraId="2D126489" w14:textId="77777777" w:rsidR="00215226" w:rsidRPr="00F94C00" w:rsidRDefault="00215226" w:rsidP="00AA3DFF">
      <w:r w:rsidRPr="00F94C00">
        <w:t>Identity assertions at this level are appropriate for transactions with minimal consequences to Relying Parties from the registration of a fraudulent identity.</w:t>
      </w:r>
    </w:p>
    <w:p w14:paraId="35A7B77C" w14:textId="77777777" w:rsidR="00215226" w:rsidRPr="00F94C00" w:rsidRDefault="00215226" w:rsidP="00AA3DFF">
      <w:pPr>
        <w:pStyle w:val="Heading3"/>
      </w:pPr>
      <w:r w:rsidRPr="00F94C00">
        <w:t>LOA 2</w:t>
      </w:r>
    </w:p>
    <w:p w14:paraId="7E36D01B" w14:textId="77777777" w:rsidR="00215226" w:rsidRDefault="00215226" w:rsidP="00AA3DFF">
      <w:r w:rsidRPr="00F94C00">
        <w:t>At this level identity is unique within the intended context, identity has been asserted by authoritative sources and identity may be used in other contexts. There is some confidence in the claimed identity.</w:t>
      </w:r>
    </w:p>
    <w:p w14:paraId="17DAA7A1" w14:textId="77777777" w:rsidR="00215226" w:rsidRPr="00F94C00" w:rsidRDefault="00215226" w:rsidP="00AA3DFF">
      <w:r w:rsidRPr="00F94C00">
        <w:t>Identity assertions at this level are appropriate for transactions with some minor consequences associated with the registration of fraudulent identity.</w:t>
      </w:r>
    </w:p>
    <w:p w14:paraId="3A5D7CDE" w14:textId="77777777" w:rsidR="00215226" w:rsidRPr="00F94C00" w:rsidRDefault="00215226" w:rsidP="00AA3DFF">
      <w:pPr>
        <w:pStyle w:val="Heading3"/>
      </w:pPr>
      <w:r w:rsidRPr="00F94C00">
        <w:t>LOA 3</w:t>
      </w:r>
    </w:p>
    <w:p w14:paraId="2F8C1F06" w14:textId="77777777" w:rsidR="00215226" w:rsidRPr="00F94C00" w:rsidRDefault="00215226" w:rsidP="00AA3DFF">
      <w:r w:rsidRPr="00F94C00">
        <w:t>At this level identity is unique within the intended context, the identity is recognised by authoritative sources, identity information is verified with authoritative sources, identity can be used in other contexts and the Subscriber is linked to the identity. There is high confidence in the claimed identity.</w:t>
      </w:r>
    </w:p>
    <w:p w14:paraId="2D8F02DF" w14:textId="77777777" w:rsidR="00215226" w:rsidRPr="00F94C00" w:rsidRDefault="00215226" w:rsidP="00AA3DFF">
      <w:r w:rsidRPr="00F94C00">
        <w:t>Identity assertions at this level are appropriate for transactions with serious consequences associated with registration of fraudulent identity.</w:t>
      </w:r>
    </w:p>
    <w:p w14:paraId="626DE8BF" w14:textId="77777777" w:rsidR="00215226" w:rsidRPr="00F94C00" w:rsidRDefault="00215226" w:rsidP="00AA3DFF">
      <w:pPr>
        <w:pStyle w:val="Heading3"/>
      </w:pPr>
      <w:r w:rsidRPr="00F94C00">
        <w:t>LOA 4</w:t>
      </w:r>
    </w:p>
    <w:p w14:paraId="2D86C905" w14:textId="77777777" w:rsidR="00215226" w:rsidRDefault="00215226" w:rsidP="00AA3DFF">
      <w:r w:rsidRPr="00F94C00">
        <w:t>At this level identity is unique within the intended context, the identity is recognised by authoritative sources, identity information is verified with authoritative sources, identity can be used in other contexts and the Subscriber is linked to the identity. There is very high confidence in the claimed identity.</w:t>
      </w:r>
    </w:p>
    <w:p w14:paraId="26DA924B" w14:textId="77777777" w:rsidR="00215226" w:rsidRPr="00F94C00" w:rsidRDefault="00215226" w:rsidP="00AA3DFF">
      <w:r w:rsidRPr="00F94C00">
        <w:t>If the Subscriber is an individual then a local, face to face interview is required. This provides greater opportunities for examining the integrity of original identity documents provided as evidence of identity and establishing a link between a Subscriber and a claimed identity.</w:t>
      </w:r>
    </w:p>
    <w:p w14:paraId="2A2B1A0B" w14:textId="77777777" w:rsidR="00215226" w:rsidRDefault="00215226" w:rsidP="00AA3DFF">
      <w:r w:rsidRPr="00F94C00">
        <w:t>Identity assertions at this level are appropriate for transactions with very serious consequences associated with the registration of fraudulent identity.</w:t>
      </w:r>
    </w:p>
    <w:p w14:paraId="5292E6D2" w14:textId="77777777" w:rsidR="00EB6345" w:rsidRDefault="00EB6345" w:rsidP="00AA3DFF"/>
    <w:p w14:paraId="68ADE36C" w14:textId="77777777" w:rsidR="00EB6345" w:rsidRDefault="00EB6345" w:rsidP="00AA3DFF">
      <w:pPr>
        <w:sectPr w:rsidR="00EB6345" w:rsidSect="00D3101B">
          <w:headerReference w:type="default" r:id="rId33"/>
          <w:footerReference w:type="default" r:id="rId34"/>
          <w:pgSz w:w="11906" w:h="16838" w:code="9"/>
          <w:pgMar w:top="1418" w:right="1418" w:bottom="1134" w:left="1418" w:header="567" w:footer="567" w:gutter="0"/>
          <w:cols w:space="708"/>
          <w:docGrid w:linePitch="360"/>
        </w:sectPr>
      </w:pP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3181"/>
        <w:gridCol w:w="2281"/>
        <w:gridCol w:w="2567"/>
        <w:gridCol w:w="3272"/>
        <w:gridCol w:w="2975"/>
      </w:tblGrid>
      <w:tr w:rsidR="00215226" w:rsidRPr="00F94C00" w14:paraId="12EB1278" w14:textId="77777777" w:rsidTr="00EB6345">
        <w:trPr>
          <w:cnfStyle w:val="100000000000" w:firstRow="1" w:lastRow="0" w:firstColumn="0" w:lastColumn="0" w:oddVBand="0" w:evenVBand="0" w:oddHBand="0" w:evenHBand="0" w:firstRowFirstColumn="0" w:firstRowLastColumn="0" w:lastRowFirstColumn="0" w:lastRowLastColumn="0"/>
          <w:trHeight w:val="113"/>
          <w:tblHeader/>
        </w:trPr>
        <w:tc>
          <w:tcPr>
            <w:tcW w:w="1114" w:type="pct"/>
          </w:tcPr>
          <w:p w14:paraId="71FA9DF8" w14:textId="77777777" w:rsidR="00215226" w:rsidRPr="00F94C00" w:rsidRDefault="00215226" w:rsidP="00EB6345">
            <w:pPr>
              <w:pStyle w:val="Normal-TableText"/>
            </w:pPr>
            <w:r w:rsidRPr="00F94C00">
              <w:lastRenderedPageBreak/>
              <w:t>Requirement</w:t>
            </w:r>
          </w:p>
        </w:tc>
        <w:tc>
          <w:tcPr>
            <w:tcW w:w="799" w:type="pct"/>
          </w:tcPr>
          <w:p w14:paraId="368B16F9" w14:textId="77777777" w:rsidR="00215226" w:rsidRPr="00F94C00" w:rsidRDefault="00215226" w:rsidP="00EB6345">
            <w:pPr>
              <w:pStyle w:val="Normal-TableText"/>
            </w:pPr>
            <w:r w:rsidRPr="00F94C00">
              <w:t>LOA 1</w:t>
            </w:r>
          </w:p>
        </w:tc>
        <w:tc>
          <w:tcPr>
            <w:tcW w:w="899" w:type="pct"/>
          </w:tcPr>
          <w:p w14:paraId="10FD2D3F" w14:textId="77777777" w:rsidR="00215226" w:rsidRPr="00F94C00" w:rsidRDefault="00215226" w:rsidP="00EB6345">
            <w:pPr>
              <w:pStyle w:val="Normal-TableText"/>
            </w:pPr>
            <w:r w:rsidRPr="00F94C00">
              <w:t>LOA 2</w:t>
            </w:r>
          </w:p>
        </w:tc>
        <w:tc>
          <w:tcPr>
            <w:tcW w:w="1146" w:type="pct"/>
          </w:tcPr>
          <w:p w14:paraId="5BBD74BF" w14:textId="77777777" w:rsidR="00215226" w:rsidRPr="00F94C00" w:rsidRDefault="00215226" w:rsidP="00EB6345">
            <w:pPr>
              <w:pStyle w:val="Normal-TableText"/>
            </w:pPr>
            <w:r w:rsidRPr="00F94C00">
              <w:t>LOA 3</w:t>
            </w:r>
          </w:p>
        </w:tc>
        <w:tc>
          <w:tcPr>
            <w:tcW w:w="1042" w:type="pct"/>
          </w:tcPr>
          <w:p w14:paraId="0E349955" w14:textId="77777777" w:rsidR="00215226" w:rsidRPr="00F94C00" w:rsidRDefault="00215226" w:rsidP="00EB6345">
            <w:pPr>
              <w:pStyle w:val="Normal-TableText"/>
            </w:pPr>
            <w:r w:rsidRPr="00F94C00">
              <w:t>LOA 4</w:t>
            </w:r>
          </w:p>
        </w:tc>
      </w:tr>
      <w:tr w:rsidR="00215226" w:rsidRPr="00F94C00" w14:paraId="5B575330" w14:textId="77777777" w:rsidTr="00EB6345">
        <w:trPr>
          <w:trHeight w:val="113"/>
        </w:trPr>
        <w:tc>
          <w:tcPr>
            <w:tcW w:w="5000" w:type="pct"/>
            <w:gridSpan w:val="5"/>
          </w:tcPr>
          <w:p w14:paraId="5F304F19" w14:textId="77777777" w:rsidR="00215226" w:rsidRPr="00C6440C" w:rsidRDefault="00215226" w:rsidP="00EB6345">
            <w:pPr>
              <w:pStyle w:val="Normal-TableText"/>
              <w:rPr>
                <w:rStyle w:val="Strong"/>
              </w:rPr>
            </w:pPr>
            <w:r w:rsidRPr="00C6440C">
              <w:rPr>
                <w:rStyle w:val="Strong"/>
              </w:rPr>
              <w:t xml:space="preserve">Identity Verification </w:t>
            </w:r>
          </w:p>
        </w:tc>
      </w:tr>
      <w:tr w:rsidR="00215226" w:rsidRPr="00F94C00" w14:paraId="35A07AE1" w14:textId="77777777" w:rsidTr="00EB6345">
        <w:trPr>
          <w:trHeight w:val="113"/>
        </w:trPr>
        <w:tc>
          <w:tcPr>
            <w:tcW w:w="1114" w:type="pct"/>
          </w:tcPr>
          <w:p w14:paraId="401F41DD" w14:textId="77777777" w:rsidR="00215226" w:rsidRPr="00F94C00" w:rsidRDefault="00215226" w:rsidP="00EB6345">
            <w:pPr>
              <w:pStyle w:val="Normal-TableText"/>
            </w:pPr>
            <w:r w:rsidRPr="00C6440C">
              <w:rPr>
                <w:rStyle w:val="Strong"/>
              </w:rPr>
              <w:t>Objective 1</w:t>
            </w:r>
            <w:r w:rsidRPr="00F94C00">
              <w:t>: Unique in context</w:t>
            </w:r>
          </w:p>
        </w:tc>
        <w:tc>
          <w:tcPr>
            <w:tcW w:w="3886" w:type="pct"/>
            <w:gridSpan w:val="4"/>
          </w:tcPr>
          <w:p w14:paraId="0A2E8492" w14:textId="77777777" w:rsidR="00215226" w:rsidRPr="00F94C00" w:rsidRDefault="00215226" w:rsidP="00EB6345">
            <w:pPr>
              <w:pStyle w:val="Normal-TableText"/>
            </w:pPr>
            <w:r w:rsidRPr="00F94C00">
              <w:t>Check that the Subscriber is the sole claimant of the identity being claimed.</w:t>
            </w:r>
          </w:p>
        </w:tc>
      </w:tr>
      <w:tr w:rsidR="00215226" w:rsidRPr="00F94C00" w14:paraId="33D77F53" w14:textId="77777777" w:rsidTr="00EB6345">
        <w:trPr>
          <w:trHeight w:val="113"/>
        </w:trPr>
        <w:tc>
          <w:tcPr>
            <w:tcW w:w="1114" w:type="pct"/>
          </w:tcPr>
          <w:p w14:paraId="6896D929" w14:textId="77777777" w:rsidR="00215226" w:rsidRDefault="00215226" w:rsidP="00EB6345">
            <w:pPr>
              <w:pStyle w:val="Normal-TableText"/>
            </w:pPr>
            <w:r w:rsidRPr="00C6440C">
              <w:rPr>
                <w:rStyle w:val="Strong"/>
              </w:rPr>
              <w:t>Objective 2</w:t>
            </w:r>
            <w:r w:rsidRPr="00F94C00">
              <w:t>: Claimed identity is legitimate</w:t>
            </w:r>
          </w:p>
          <w:p w14:paraId="7E15E869" w14:textId="77777777" w:rsidR="00215226" w:rsidRPr="00F94C00" w:rsidRDefault="00215226" w:rsidP="00EB6345">
            <w:pPr>
              <w:pStyle w:val="Normal-TableText"/>
            </w:pPr>
            <w:r w:rsidRPr="00F94C00">
              <w:t>(commencement of identity deceased identity check)</w:t>
            </w:r>
          </w:p>
        </w:tc>
        <w:tc>
          <w:tcPr>
            <w:tcW w:w="799" w:type="pct"/>
          </w:tcPr>
          <w:p w14:paraId="29820147" w14:textId="77777777" w:rsidR="00215226" w:rsidRPr="00F94C00" w:rsidRDefault="00215226" w:rsidP="00EB6345">
            <w:pPr>
              <w:pStyle w:val="Normal-TableText"/>
            </w:pPr>
            <w:r w:rsidRPr="00F94C00">
              <w:t>No stipulation</w:t>
            </w:r>
          </w:p>
        </w:tc>
        <w:tc>
          <w:tcPr>
            <w:tcW w:w="899" w:type="pct"/>
          </w:tcPr>
          <w:p w14:paraId="7B77C174" w14:textId="77777777" w:rsidR="00215226" w:rsidRPr="00F94C00" w:rsidRDefault="00215226" w:rsidP="00EB6345">
            <w:pPr>
              <w:pStyle w:val="Normal-TableText"/>
            </w:pPr>
            <w:r w:rsidRPr="00F94C00">
              <w:t>No stipulation</w:t>
            </w:r>
          </w:p>
        </w:tc>
        <w:tc>
          <w:tcPr>
            <w:tcW w:w="1146" w:type="pct"/>
          </w:tcPr>
          <w:p w14:paraId="3C4575FA" w14:textId="77777777" w:rsidR="00215226" w:rsidRPr="00F94C00" w:rsidRDefault="00215226" w:rsidP="00EB6345">
            <w:pPr>
              <w:pStyle w:val="Normal-TableText"/>
            </w:pPr>
            <w:r w:rsidRPr="00F94C00">
              <w:t>Verify one of the following:</w:t>
            </w:r>
          </w:p>
          <w:p w14:paraId="4FCBD4F5" w14:textId="77777777" w:rsidR="00215226" w:rsidRPr="00F94C00" w:rsidRDefault="00215226" w:rsidP="00EB6345">
            <w:pPr>
              <w:pStyle w:val="Bullet1"/>
            </w:pPr>
            <w:r w:rsidRPr="00F94C00">
              <w:t>Australian Birth Certificate</w:t>
            </w:r>
          </w:p>
          <w:p w14:paraId="59B58C60" w14:textId="77777777" w:rsidR="00215226" w:rsidRPr="00F94C00" w:rsidRDefault="00215226" w:rsidP="00EB6345">
            <w:pPr>
              <w:pStyle w:val="Bullet1"/>
            </w:pPr>
            <w:r w:rsidRPr="00F94C00">
              <w:t>Australian Passport</w:t>
            </w:r>
          </w:p>
          <w:p w14:paraId="24D722C2" w14:textId="77777777" w:rsidR="00215226" w:rsidRPr="00F94C00" w:rsidRDefault="00215226" w:rsidP="00EB6345">
            <w:pPr>
              <w:pStyle w:val="Bullet1"/>
            </w:pPr>
            <w:r w:rsidRPr="00F94C00">
              <w:t>Immigration Record</w:t>
            </w:r>
          </w:p>
          <w:p w14:paraId="6C5D24D2" w14:textId="77777777" w:rsidR="00215226" w:rsidRPr="00F94C00" w:rsidRDefault="00215226" w:rsidP="00EB6345">
            <w:pPr>
              <w:pStyle w:val="Bullet1"/>
            </w:pPr>
            <w:r w:rsidRPr="00F94C00">
              <w:t>Australian Citizenship Certificate</w:t>
            </w:r>
          </w:p>
          <w:p w14:paraId="4C5A7CE8" w14:textId="77777777" w:rsidR="00215226" w:rsidRPr="00F94C00" w:rsidRDefault="00215226" w:rsidP="00EB6345">
            <w:pPr>
              <w:pStyle w:val="Bullet1"/>
            </w:pPr>
            <w:r w:rsidRPr="00F94C00">
              <w:t>Australian Visa (supported by a foreign passport)</w:t>
            </w:r>
          </w:p>
          <w:p w14:paraId="4676AA6B" w14:textId="77777777" w:rsidR="00215226" w:rsidRPr="00D825A0" w:rsidRDefault="00215226" w:rsidP="00EB6345">
            <w:pPr>
              <w:pStyle w:val="Bullet1"/>
              <w:rPr>
                <w:rStyle w:val="Strong"/>
              </w:rPr>
            </w:pPr>
            <w:r w:rsidRPr="00F94C00">
              <w:t>ImmiCard</w:t>
            </w:r>
          </w:p>
          <w:p w14:paraId="5174B86A" w14:textId="77777777" w:rsidR="00215226" w:rsidRDefault="00215226" w:rsidP="00EB6345">
            <w:pPr>
              <w:pStyle w:val="Normal-TableText"/>
            </w:pPr>
            <w:r w:rsidRPr="00F94C00">
              <w:t>Check the identity is not that of a deceased person by either:</w:t>
            </w:r>
          </w:p>
          <w:p w14:paraId="05D3A9C8" w14:textId="77777777" w:rsidR="00215226" w:rsidRDefault="00215226" w:rsidP="00EB6345">
            <w:pPr>
              <w:pStyle w:val="Bullet1"/>
            </w:pPr>
            <w:r w:rsidRPr="00F94C00">
              <w:t>verifying birth certificate with issuing authority, or</w:t>
            </w:r>
          </w:p>
          <w:p w14:paraId="24250705" w14:textId="77777777" w:rsidR="00215226" w:rsidRPr="00F94C00" w:rsidRDefault="00215226" w:rsidP="00EB6345">
            <w:pPr>
              <w:pStyle w:val="Bullet1"/>
            </w:pPr>
            <w:r w:rsidRPr="00F94C00">
              <w:t>check the Fact of Death file</w:t>
            </w:r>
          </w:p>
        </w:tc>
        <w:tc>
          <w:tcPr>
            <w:tcW w:w="1042" w:type="pct"/>
          </w:tcPr>
          <w:p w14:paraId="3B8B087C" w14:textId="77777777" w:rsidR="00215226" w:rsidRPr="00F94C00" w:rsidRDefault="00215226" w:rsidP="00EB6345">
            <w:pPr>
              <w:pStyle w:val="Normal-TableText"/>
            </w:pPr>
            <w:r w:rsidRPr="00F94C00">
              <w:t>At an in-person interview verify one of the following:</w:t>
            </w:r>
          </w:p>
          <w:p w14:paraId="5FD14354" w14:textId="77777777" w:rsidR="00215226" w:rsidRPr="00F94C00" w:rsidRDefault="00215226" w:rsidP="00EB6345">
            <w:pPr>
              <w:pStyle w:val="Bullet1"/>
            </w:pPr>
            <w:r w:rsidRPr="00F94C00">
              <w:t>Australian Birth Certificate</w:t>
            </w:r>
          </w:p>
          <w:p w14:paraId="7A10D5E3" w14:textId="77777777" w:rsidR="00215226" w:rsidRPr="00F94C00" w:rsidRDefault="00215226" w:rsidP="00EB6345">
            <w:pPr>
              <w:pStyle w:val="Bullet1"/>
            </w:pPr>
            <w:r w:rsidRPr="00F94C00">
              <w:t>Immigration Record</w:t>
            </w:r>
          </w:p>
          <w:p w14:paraId="72EA66A3" w14:textId="77777777" w:rsidR="00215226" w:rsidRPr="00F94C00" w:rsidRDefault="00215226" w:rsidP="00EB6345">
            <w:pPr>
              <w:pStyle w:val="Bullet1"/>
            </w:pPr>
            <w:r w:rsidRPr="00F94C00">
              <w:t>Australian Citizenship Certificate</w:t>
            </w:r>
          </w:p>
          <w:p w14:paraId="2570811D" w14:textId="77777777" w:rsidR="00215226" w:rsidRPr="00F94C00" w:rsidRDefault="00215226" w:rsidP="00EB6345">
            <w:pPr>
              <w:pStyle w:val="Bullet1"/>
            </w:pPr>
            <w:r w:rsidRPr="00F94C00">
              <w:t>Australian Visa (supported by a foreign passport)</w:t>
            </w:r>
          </w:p>
          <w:p w14:paraId="6815FFC9" w14:textId="77777777" w:rsidR="00215226" w:rsidRDefault="00215226" w:rsidP="00EB6345">
            <w:pPr>
              <w:pStyle w:val="Bullet1"/>
            </w:pPr>
            <w:r w:rsidRPr="00F94C00">
              <w:t>ImmiCard</w:t>
            </w:r>
          </w:p>
          <w:p w14:paraId="2F02C273" w14:textId="77777777" w:rsidR="00215226" w:rsidRDefault="00215226" w:rsidP="00EB6345">
            <w:pPr>
              <w:pStyle w:val="Normal-TableText"/>
            </w:pPr>
            <w:r w:rsidRPr="00F94C00">
              <w:t>Check the identity is not that of a deceased person by either:</w:t>
            </w:r>
          </w:p>
          <w:p w14:paraId="17EA75FE" w14:textId="77777777" w:rsidR="00215226" w:rsidRDefault="00215226" w:rsidP="00EB6345">
            <w:pPr>
              <w:pStyle w:val="Bullet1"/>
            </w:pPr>
            <w:r w:rsidRPr="00F94C00">
              <w:t>verifying birth certificate with issuing authority, or</w:t>
            </w:r>
          </w:p>
          <w:p w14:paraId="18BD5E4D" w14:textId="77777777" w:rsidR="00215226" w:rsidRPr="00F94C00" w:rsidRDefault="00215226" w:rsidP="00EB6345">
            <w:pPr>
              <w:pStyle w:val="Bullet1"/>
            </w:pPr>
            <w:r w:rsidRPr="00F94C00">
              <w:t>check the Fact of Death file</w:t>
            </w:r>
          </w:p>
        </w:tc>
      </w:tr>
      <w:tr w:rsidR="00215226" w:rsidRPr="00F94C00" w14:paraId="68DBB822" w14:textId="77777777" w:rsidTr="00EB6345">
        <w:trPr>
          <w:trHeight w:val="113"/>
        </w:trPr>
        <w:tc>
          <w:tcPr>
            <w:tcW w:w="1114" w:type="pct"/>
          </w:tcPr>
          <w:p w14:paraId="6D3C5456" w14:textId="77777777" w:rsidR="00215226" w:rsidRPr="00F94C00" w:rsidRDefault="00215226" w:rsidP="00EB6345">
            <w:pPr>
              <w:pStyle w:val="Normal-TableText"/>
            </w:pPr>
            <w:r w:rsidRPr="00F94C00">
              <w:br w:type="page"/>
            </w:r>
            <w:r w:rsidRPr="00C6440C">
              <w:rPr>
                <w:rStyle w:val="Strong"/>
              </w:rPr>
              <w:t>Objective 3</w:t>
            </w:r>
            <w:r w:rsidRPr="00F94C00">
              <w:t>: Operation of the identity in the community over time</w:t>
            </w:r>
          </w:p>
        </w:tc>
        <w:tc>
          <w:tcPr>
            <w:tcW w:w="799" w:type="pct"/>
          </w:tcPr>
          <w:p w14:paraId="3E7C687E" w14:textId="77777777" w:rsidR="00215226" w:rsidRPr="00F94C00" w:rsidRDefault="00215226" w:rsidP="00EB6345">
            <w:pPr>
              <w:pStyle w:val="Normal-TableText"/>
            </w:pPr>
            <w:r w:rsidRPr="00F94C00">
              <w:t>No stipulation</w:t>
            </w:r>
          </w:p>
        </w:tc>
        <w:tc>
          <w:tcPr>
            <w:tcW w:w="899" w:type="pct"/>
          </w:tcPr>
          <w:p w14:paraId="45C1905A" w14:textId="77777777" w:rsidR="00215226" w:rsidRPr="00F94C00" w:rsidRDefault="00215226" w:rsidP="00EB6345">
            <w:pPr>
              <w:pStyle w:val="Normal-TableText"/>
            </w:pPr>
            <w:r w:rsidRPr="00F94C00">
              <w:t>Verify one PRIMARY and one SECONDARY piece of evidence</w:t>
            </w:r>
          </w:p>
        </w:tc>
        <w:tc>
          <w:tcPr>
            <w:tcW w:w="1146" w:type="pct"/>
          </w:tcPr>
          <w:p w14:paraId="2DCB99B9" w14:textId="77777777" w:rsidR="00215226" w:rsidRPr="00F94C00" w:rsidRDefault="00215226" w:rsidP="00EB6345">
            <w:pPr>
              <w:pStyle w:val="Normal-TableText"/>
            </w:pPr>
            <w:r w:rsidRPr="00F94C00">
              <w:t>Verify one PRIMARY and one SECONDARY piece of evidence with an authoritative source (e.g. issuing authority)</w:t>
            </w:r>
          </w:p>
        </w:tc>
        <w:tc>
          <w:tcPr>
            <w:tcW w:w="1042" w:type="pct"/>
          </w:tcPr>
          <w:p w14:paraId="76D51D8E" w14:textId="77777777" w:rsidR="00215226" w:rsidRPr="00F94C00" w:rsidRDefault="00215226" w:rsidP="00EB6345">
            <w:pPr>
              <w:pStyle w:val="Normal-TableText"/>
            </w:pPr>
            <w:r w:rsidRPr="00F94C00">
              <w:t>As per LOA 3 requirements AND provide evidence at an in-person interview</w:t>
            </w:r>
          </w:p>
        </w:tc>
      </w:tr>
      <w:tr w:rsidR="00215226" w:rsidRPr="00F94C00" w14:paraId="533F7D66" w14:textId="77777777" w:rsidTr="00EB6345">
        <w:trPr>
          <w:trHeight w:val="113"/>
        </w:trPr>
        <w:tc>
          <w:tcPr>
            <w:tcW w:w="1114" w:type="pct"/>
          </w:tcPr>
          <w:p w14:paraId="5033F1C1" w14:textId="77777777" w:rsidR="00215226" w:rsidRPr="00F94C00" w:rsidRDefault="00215226" w:rsidP="00EB6345">
            <w:pPr>
              <w:pStyle w:val="Normal-TableText"/>
            </w:pPr>
            <w:r w:rsidRPr="00C6440C">
              <w:rPr>
                <w:rStyle w:val="Strong"/>
              </w:rPr>
              <w:lastRenderedPageBreak/>
              <w:t>Objective 4</w:t>
            </w:r>
            <w:r w:rsidRPr="00F94C00">
              <w:t>: Link between the identity and the person claiming the identity</w:t>
            </w:r>
          </w:p>
        </w:tc>
        <w:tc>
          <w:tcPr>
            <w:tcW w:w="799" w:type="pct"/>
          </w:tcPr>
          <w:p w14:paraId="73CE4730" w14:textId="77777777" w:rsidR="00215226" w:rsidRPr="00F94C00" w:rsidRDefault="00215226" w:rsidP="00EB6345">
            <w:pPr>
              <w:pStyle w:val="Normal-TableText"/>
            </w:pPr>
            <w:r w:rsidRPr="00F94C00">
              <w:t>No stipulation</w:t>
            </w:r>
          </w:p>
        </w:tc>
        <w:tc>
          <w:tcPr>
            <w:tcW w:w="899" w:type="pct"/>
          </w:tcPr>
          <w:p w14:paraId="4B8DE09E" w14:textId="77777777" w:rsidR="00215226" w:rsidRPr="00F94C00" w:rsidRDefault="00215226" w:rsidP="00EB6345">
            <w:pPr>
              <w:pStyle w:val="Normal-TableText"/>
            </w:pPr>
            <w:r w:rsidRPr="00F94C00">
              <w:t>No stipulation – evidence provided to meet Objective 3 is sufficient to meet Objective 4</w:t>
            </w:r>
          </w:p>
        </w:tc>
        <w:tc>
          <w:tcPr>
            <w:tcW w:w="1146" w:type="pct"/>
          </w:tcPr>
          <w:p w14:paraId="1CEEE1B2" w14:textId="77777777" w:rsidR="00215226" w:rsidRPr="00F94C00" w:rsidRDefault="00215226" w:rsidP="00EB6345">
            <w:pPr>
              <w:pStyle w:val="Normal-TableText"/>
            </w:pPr>
            <w:r w:rsidRPr="00F94C00">
              <w:t>Verify link between claimed identity and claimant via one of the following:</w:t>
            </w:r>
          </w:p>
          <w:p w14:paraId="13552A68" w14:textId="77777777" w:rsidR="00215226" w:rsidRDefault="00215226" w:rsidP="00EB6345">
            <w:pPr>
              <w:pStyle w:val="Bullet1"/>
            </w:pPr>
            <w:r w:rsidRPr="00F94C00">
              <w:t>Manual/visual comparison of a person’s face against a photo on a PRIMARY document</w:t>
            </w:r>
          </w:p>
          <w:p w14:paraId="454888DC" w14:textId="77777777" w:rsidR="00215226" w:rsidRDefault="00215226" w:rsidP="00EB6345">
            <w:pPr>
              <w:pStyle w:val="Bullet1"/>
            </w:pPr>
            <w:r w:rsidRPr="00F94C00">
              <w:t>Verification of a biometric previously collected</w:t>
            </w:r>
          </w:p>
          <w:p w14:paraId="0AB738CA" w14:textId="77777777" w:rsidR="00215226" w:rsidRPr="00F94C00" w:rsidRDefault="00215226" w:rsidP="00EB6345">
            <w:pPr>
              <w:pStyle w:val="Bullet1"/>
            </w:pPr>
            <w:r w:rsidRPr="00F94C00">
              <w:t xml:space="preserve">Knowledge based authentication </w:t>
            </w:r>
          </w:p>
        </w:tc>
        <w:tc>
          <w:tcPr>
            <w:tcW w:w="1042" w:type="pct"/>
          </w:tcPr>
          <w:p w14:paraId="320A6132" w14:textId="77777777" w:rsidR="00215226" w:rsidRPr="00F94C00" w:rsidRDefault="00215226" w:rsidP="00EB6345">
            <w:pPr>
              <w:pStyle w:val="Normal-TableText"/>
            </w:pPr>
            <w:r w:rsidRPr="00F94C00">
              <w:t>As per LOA 3 requirements, except that a visual comparison of a person’s face or verification of a biometric to occur as part of an in-person face to face interview</w:t>
            </w:r>
          </w:p>
        </w:tc>
      </w:tr>
      <w:tr w:rsidR="00215226" w:rsidRPr="00F94C00" w14:paraId="3915F4B1" w14:textId="77777777" w:rsidTr="00EB6345">
        <w:trPr>
          <w:trHeight w:val="113"/>
        </w:trPr>
        <w:tc>
          <w:tcPr>
            <w:tcW w:w="1114" w:type="pct"/>
          </w:tcPr>
          <w:p w14:paraId="45BAA1C6" w14:textId="77777777" w:rsidR="00215226" w:rsidRPr="00F94C00" w:rsidRDefault="00215226" w:rsidP="00EB6345">
            <w:pPr>
              <w:pStyle w:val="Normal-TableText"/>
            </w:pPr>
            <w:r w:rsidRPr="00C6440C">
              <w:rPr>
                <w:rStyle w:val="Strong"/>
              </w:rPr>
              <w:t>Objective 5</w:t>
            </w:r>
            <w:r w:rsidRPr="00F94C00">
              <w:t>: Identity is not known to be fraudulent</w:t>
            </w:r>
          </w:p>
        </w:tc>
        <w:tc>
          <w:tcPr>
            <w:tcW w:w="799" w:type="pct"/>
          </w:tcPr>
          <w:p w14:paraId="23DCFC1A" w14:textId="77777777" w:rsidR="00215226" w:rsidRPr="00F94C00" w:rsidRDefault="00215226" w:rsidP="00EB6345">
            <w:pPr>
              <w:pStyle w:val="Normal-TableText"/>
            </w:pPr>
            <w:r w:rsidRPr="00F94C00">
              <w:t>No stipulation</w:t>
            </w:r>
          </w:p>
        </w:tc>
        <w:tc>
          <w:tcPr>
            <w:tcW w:w="899" w:type="pct"/>
          </w:tcPr>
          <w:p w14:paraId="6FC03CBF" w14:textId="77777777" w:rsidR="00215226" w:rsidRPr="00F94C00" w:rsidRDefault="00215226" w:rsidP="00EB6345">
            <w:pPr>
              <w:pStyle w:val="Normal-TableText"/>
            </w:pPr>
            <w:r w:rsidRPr="00F94C00">
              <w:t>No stipulation</w:t>
            </w:r>
          </w:p>
        </w:tc>
        <w:tc>
          <w:tcPr>
            <w:tcW w:w="2188" w:type="pct"/>
            <w:gridSpan w:val="2"/>
          </w:tcPr>
          <w:p w14:paraId="3CE75A48" w14:textId="77777777" w:rsidR="00215226" w:rsidRPr="00F94C00" w:rsidRDefault="00215226" w:rsidP="00EB6345">
            <w:pPr>
              <w:pStyle w:val="Normal-TableText"/>
            </w:pPr>
            <w:r w:rsidRPr="00F94C00">
              <w:t>Check information/records held within the organisation of known fraudulent identities (if such information exists).</w:t>
            </w:r>
          </w:p>
          <w:p w14:paraId="127F4F68" w14:textId="77777777" w:rsidR="00215226" w:rsidRPr="00F94C00" w:rsidRDefault="00215226" w:rsidP="00EB6345">
            <w:pPr>
              <w:pStyle w:val="Normal-TableText"/>
            </w:pPr>
            <w:r w:rsidRPr="00F94C00">
              <w:t xml:space="preserve">Once technology permits these checks </w:t>
            </w:r>
            <w:r w:rsidRPr="00C6440C">
              <w:rPr>
                <w:rStyle w:val="Strong"/>
              </w:rPr>
              <w:t>SHOULD</w:t>
            </w:r>
            <w:r w:rsidRPr="00F94C00">
              <w:t xml:space="preserve"> also include checks against information on known fraudulent identities held with authoritative sources such as law enforcement and government agencies.</w:t>
            </w:r>
          </w:p>
        </w:tc>
      </w:tr>
    </w:tbl>
    <w:p w14:paraId="1A58EEB7" w14:textId="77777777" w:rsidR="00215226" w:rsidRDefault="00215226" w:rsidP="00D825A0"/>
    <w:p w14:paraId="60CA8FBC" w14:textId="77777777" w:rsidR="00EB6345" w:rsidRDefault="00EB6345" w:rsidP="00D825A0">
      <w:pPr>
        <w:sectPr w:rsidR="00EB6345" w:rsidSect="00EB6345">
          <w:footerReference w:type="default" r:id="rId35"/>
          <w:pgSz w:w="16838" w:h="11906" w:orient="landscape" w:code="9"/>
          <w:pgMar w:top="1418" w:right="1134" w:bottom="1418" w:left="1418" w:header="567" w:footer="567" w:gutter="0"/>
          <w:cols w:space="708"/>
          <w:docGrid w:linePitch="360"/>
        </w:sectPr>
      </w:pPr>
    </w:p>
    <w:p w14:paraId="55F91469" w14:textId="77777777" w:rsidR="00215226" w:rsidRDefault="00215226" w:rsidP="00EB6345">
      <w:pPr>
        <w:pStyle w:val="Heading2Numbered"/>
      </w:pPr>
      <w:bookmarkStart w:id="294" w:name="_Toc426636716"/>
      <w:bookmarkStart w:id="295" w:name="_Toc426640000"/>
      <w:bookmarkStart w:id="296" w:name="_Toc430268947"/>
      <w:r w:rsidRPr="003E302C">
        <w:lastRenderedPageBreak/>
        <w:t>Individual Identity Proofing</w:t>
      </w:r>
      <w:bookmarkEnd w:id="294"/>
      <w:bookmarkEnd w:id="295"/>
      <w:bookmarkEnd w:id="296"/>
    </w:p>
    <w:p w14:paraId="4F90D650" w14:textId="77777777" w:rsidR="00215226" w:rsidRDefault="00215226" w:rsidP="00EB6345">
      <w:r w:rsidRPr="00F94C00">
        <w:t>The table below lists the types of evidence of identity documents that are acceptable as either PRIMARY or SECONDARY documents.</w:t>
      </w:r>
    </w:p>
    <w:p w14:paraId="027A908F" w14:textId="77777777" w:rsidR="00215226" w:rsidRDefault="00215226" w:rsidP="00EB6345">
      <w:pPr>
        <w:pStyle w:val="Bullet1"/>
      </w:pPr>
      <w:r w:rsidRPr="00F94C00">
        <w:t>PRIMARY evidence is generally government issued evidence types with robust identity proofing processes, issuance and management processes. Where it is a physical document, it will generally contain a photograph and security features.</w:t>
      </w:r>
    </w:p>
    <w:p w14:paraId="33087B18" w14:textId="77777777" w:rsidR="00215226" w:rsidRPr="00F94C00" w:rsidRDefault="00215226" w:rsidP="00EB6345">
      <w:pPr>
        <w:pStyle w:val="Bullet1"/>
        <w:rPr>
          <w:lang w:val="en-US"/>
        </w:rPr>
      </w:pPr>
      <w:r w:rsidRPr="00F94C00">
        <w:rPr>
          <w:lang w:val="en-US"/>
        </w:rPr>
        <w:t>SECONDARY evidence includes evidence types from government or non-government sources that are supported by moderate identity proofing processes, issuance and management processes.</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7203"/>
        <w:gridCol w:w="1857"/>
      </w:tblGrid>
      <w:tr w:rsidR="00215226" w:rsidRPr="00F94C00" w14:paraId="33B27D2F" w14:textId="77777777" w:rsidTr="00EB6345">
        <w:trPr>
          <w:cnfStyle w:val="100000000000" w:firstRow="1" w:lastRow="0" w:firstColumn="0" w:lastColumn="0" w:oddVBand="0" w:evenVBand="0" w:oddHBand="0" w:evenHBand="0" w:firstRowFirstColumn="0" w:firstRowLastColumn="0" w:lastRowFirstColumn="0" w:lastRowLastColumn="0"/>
          <w:tblHeader/>
        </w:trPr>
        <w:tc>
          <w:tcPr>
            <w:tcW w:w="3975" w:type="pct"/>
          </w:tcPr>
          <w:p w14:paraId="67670396" w14:textId="77777777" w:rsidR="00215226" w:rsidRPr="00F94C00" w:rsidRDefault="00215226" w:rsidP="00EB6345">
            <w:pPr>
              <w:pStyle w:val="Normal-TableText"/>
            </w:pPr>
            <w:r w:rsidRPr="00F94C00">
              <w:t>Type of evidence</w:t>
            </w:r>
          </w:p>
        </w:tc>
        <w:tc>
          <w:tcPr>
            <w:tcW w:w="1025" w:type="pct"/>
          </w:tcPr>
          <w:p w14:paraId="7601875A" w14:textId="77777777" w:rsidR="00215226" w:rsidRPr="00F94C00" w:rsidRDefault="00215226" w:rsidP="00EB6345">
            <w:pPr>
              <w:pStyle w:val="Normal-TableText"/>
            </w:pPr>
            <w:r w:rsidRPr="00F94C00">
              <w:t>Weighting</w:t>
            </w:r>
          </w:p>
        </w:tc>
      </w:tr>
      <w:tr w:rsidR="00215226" w:rsidRPr="00F94C00" w14:paraId="45C6C619" w14:textId="77777777" w:rsidTr="00EB6345">
        <w:tc>
          <w:tcPr>
            <w:tcW w:w="3975" w:type="pct"/>
          </w:tcPr>
          <w:p w14:paraId="617946B8" w14:textId="77777777" w:rsidR="00215226" w:rsidRPr="00F94C00" w:rsidRDefault="00215226" w:rsidP="00EB6345">
            <w:pPr>
              <w:pStyle w:val="Normal-TableText"/>
            </w:pPr>
            <w:r w:rsidRPr="00F94C00">
              <w:t>Australian passport (including Ordinary, Frequent traveller, Diplomatic, Official and Emergency)</w:t>
            </w:r>
          </w:p>
        </w:tc>
        <w:tc>
          <w:tcPr>
            <w:tcW w:w="1025" w:type="pct"/>
          </w:tcPr>
          <w:p w14:paraId="049AE819" w14:textId="77777777" w:rsidR="00215226" w:rsidRPr="00F94C00" w:rsidRDefault="00215226" w:rsidP="00EB6345">
            <w:pPr>
              <w:pStyle w:val="Normal-TableText"/>
            </w:pPr>
            <w:r w:rsidRPr="00F94C00">
              <w:t xml:space="preserve">Primary </w:t>
            </w:r>
          </w:p>
        </w:tc>
      </w:tr>
      <w:tr w:rsidR="00215226" w:rsidRPr="00F94C00" w14:paraId="6893D7B1" w14:textId="77777777" w:rsidTr="00EB6345">
        <w:tc>
          <w:tcPr>
            <w:tcW w:w="3975" w:type="pct"/>
          </w:tcPr>
          <w:p w14:paraId="75AA7DB4" w14:textId="77777777" w:rsidR="00215226" w:rsidRPr="00F94C00" w:rsidRDefault="00215226" w:rsidP="00EB6345">
            <w:pPr>
              <w:pStyle w:val="Normal-TableText"/>
            </w:pPr>
            <w:r w:rsidRPr="00F94C00">
              <w:t>Foreign passport</w:t>
            </w:r>
          </w:p>
        </w:tc>
        <w:tc>
          <w:tcPr>
            <w:tcW w:w="1025" w:type="pct"/>
          </w:tcPr>
          <w:p w14:paraId="28A54D51" w14:textId="77777777" w:rsidR="00215226" w:rsidRPr="00F94C00" w:rsidRDefault="00215226" w:rsidP="00EB6345">
            <w:pPr>
              <w:pStyle w:val="Normal-TableText"/>
            </w:pPr>
            <w:r w:rsidRPr="00F94C00">
              <w:t xml:space="preserve">Primary </w:t>
            </w:r>
          </w:p>
        </w:tc>
      </w:tr>
      <w:tr w:rsidR="00215226" w:rsidRPr="00F94C00" w14:paraId="61E25833" w14:textId="77777777" w:rsidTr="00EB6345">
        <w:tc>
          <w:tcPr>
            <w:tcW w:w="3975" w:type="pct"/>
          </w:tcPr>
          <w:p w14:paraId="0AC69525" w14:textId="77777777" w:rsidR="00215226" w:rsidRPr="00F94C00" w:rsidRDefault="00215226" w:rsidP="00EB6345">
            <w:pPr>
              <w:pStyle w:val="Normal-TableText"/>
            </w:pPr>
            <w:r w:rsidRPr="00F94C00">
              <w:t>Australian driver licence</w:t>
            </w:r>
          </w:p>
        </w:tc>
        <w:tc>
          <w:tcPr>
            <w:tcW w:w="1025" w:type="pct"/>
          </w:tcPr>
          <w:p w14:paraId="7F5458DF" w14:textId="77777777" w:rsidR="00215226" w:rsidRPr="00F94C00" w:rsidRDefault="00215226" w:rsidP="00EB6345">
            <w:pPr>
              <w:pStyle w:val="Normal-TableText"/>
            </w:pPr>
            <w:r w:rsidRPr="00F94C00">
              <w:t xml:space="preserve">Primary </w:t>
            </w:r>
          </w:p>
        </w:tc>
      </w:tr>
      <w:tr w:rsidR="00215226" w:rsidRPr="00F94C00" w14:paraId="129F15DF" w14:textId="77777777" w:rsidTr="00EB6345">
        <w:tc>
          <w:tcPr>
            <w:tcW w:w="3975" w:type="pct"/>
          </w:tcPr>
          <w:p w14:paraId="435E79AA" w14:textId="77777777" w:rsidR="00215226" w:rsidRPr="00F94C00" w:rsidRDefault="00215226" w:rsidP="00EB6345">
            <w:pPr>
              <w:pStyle w:val="Normal-TableText"/>
            </w:pPr>
            <w:r w:rsidRPr="00F94C00">
              <w:t>Australian government issued proof of age card/photo card</w:t>
            </w:r>
          </w:p>
        </w:tc>
        <w:tc>
          <w:tcPr>
            <w:tcW w:w="1025" w:type="pct"/>
          </w:tcPr>
          <w:p w14:paraId="1A6E4022" w14:textId="77777777" w:rsidR="00215226" w:rsidRPr="00F94C00" w:rsidRDefault="00215226" w:rsidP="00EB6345">
            <w:pPr>
              <w:pStyle w:val="Normal-TableText"/>
            </w:pPr>
            <w:r w:rsidRPr="00F94C00">
              <w:t xml:space="preserve">Primary </w:t>
            </w:r>
          </w:p>
        </w:tc>
      </w:tr>
      <w:tr w:rsidR="00215226" w:rsidRPr="00F94C00" w14:paraId="0EA2DE18" w14:textId="77777777" w:rsidTr="00EB6345">
        <w:tc>
          <w:tcPr>
            <w:tcW w:w="3975" w:type="pct"/>
          </w:tcPr>
          <w:p w14:paraId="7C16C45B" w14:textId="77777777" w:rsidR="00215226" w:rsidRDefault="00215226" w:rsidP="00EB6345">
            <w:pPr>
              <w:pStyle w:val="Normal-TableText"/>
            </w:pPr>
            <w:r w:rsidRPr="00F94C00">
              <w:t>Australian secondary student identity document</w:t>
            </w:r>
          </w:p>
          <w:p w14:paraId="1077C7AE" w14:textId="77777777" w:rsidR="00215226" w:rsidRPr="00F94C00" w:rsidRDefault="00215226" w:rsidP="00EB6345">
            <w:pPr>
              <w:pStyle w:val="Normal-TableText"/>
            </w:pPr>
            <w:r w:rsidRPr="00F94C00">
              <w:t>(issued by a government agency or Australian school only)</w:t>
            </w:r>
          </w:p>
        </w:tc>
        <w:tc>
          <w:tcPr>
            <w:tcW w:w="1025" w:type="pct"/>
          </w:tcPr>
          <w:p w14:paraId="5E3411FC" w14:textId="77777777" w:rsidR="00215226" w:rsidRPr="00F94C00" w:rsidRDefault="00215226" w:rsidP="00EB6345">
            <w:pPr>
              <w:pStyle w:val="Normal-TableText"/>
            </w:pPr>
            <w:r w:rsidRPr="00F94C00">
              <w:t xml:space="preserve">Primary </w:t>
            </w:r>
          </w:p>
        </w:tc>
      </w:tr>
      <w:tr w:rsidR="00215226" w:rsidRPr="00F94C00" w14:paraId="2477ECDD" w14:textId="77777777" w:rsidTr="00EB6345">
        <w:tc>
          <w:tcPr>
            <w:tcW w:w="3975" w:type="pct"/>
          </w:tcPr>
          <w:p w14:paraId="192F07A0" w14:textId="77777777" w:rsidR="00215226" w:rsidRPr="00F94C00" w:rsidRDefault="00215226" w:rsidP="00EB6345">
            <w:pPr>
              <w:pStyle w:val="Normal-TableText"/>
            </w:pPr>
            <w:r w:rsidRPr="00F94C00">
              <w:t>ImmiCard</w:t>
            </w:r>
          </w:p>
        </w:tc>
        <w:tc>
          <w:tcPr>
            <w:tcW w:w="1025" w:type="pct"/>
          </w:tcPr>
          <w:p w14:paraId="3C4454D9" w14:textId="77777777" w:rsidR="00215226" w:rsidRPr="00F94C00" w:rsidRDefault="00215226" w:rsidP="00EB6345">
            <w:pPr>
              <w:pStyle w:val="Normal-TableText"/>
            </w:pPr>
            <w:r w:rsidRPr="00F94C00">
              <w:t>Primary</w:t>
            </w:r>
          </w:p>
        </w:tc>
      </w:tr>
      <w:tr w:rsidR="00215226" w:rsidRPr="00F94C00" w14:paraId="59E9A489" w14:textId="77777777" w:rsidTr="00EB6345">
        <w:tc>
          <w:tcPr>
            <w:tcW w:w="3975" w:type="pct"/>
          </w:tcPr>
          <w:p w14:paraId="27C6A092" w14:textId="77777777" w:rsidR="00215226" w:rsidRPr="00F94C00" w:rsidRDefault="00215226" w:rsidP="00EB6345">
            <w:pPr>
              <w:pStyle w:val="Normal-TableText"/>
            </w:pPr>
            <w:r w:rsidRPr="00F94C00">
              <w:t>DFAT issued Certificate or Document of Identity</w:t>
            </w:r>
          </w:p>
        </w:tc>
        <w:tc>
          <w:tcPr>
            <w:tcW w:w="1025" w:type="pct"/>
          </w:tcPr>
          <w:p w14:paraId="0A0AC30E" w14:textId="77777777" w:rsidR="00215226" w:rsidRPr="00F94C00" w:rsidRDefault="00215226" w:rsidP="00EB6345">
            <w:pPr>
              <w:pStyle w:val="Normal-TableText"/>
            </w:pPr>
            <w:r w:rsidRPr="00F94C00">
              <w:t xml:space="preserve">Secondary </w:t>
            </w:r>
          </w:p>
        </w:tc>
      </w:tr>
      <w:tr w:rsidR="00215226" w:rsidRPr="00F94C00" w14:paraId="5A160032" w14:textId="77777777" w:rsidTr="00EB6345">
        <w:tc>
          <w:tcPr>
            <w:tcW w:w="3975" w:type="pct"/>
          </w:tcPr>
          <w:p w14:paraId="7359FB4D" w14:textId="77777777" w:rsidR="00215226" w:rsidRPr="00F94C00" w:rsidRDefault="00215226" w:rsidP="00EB6345">
            <w:pPr>
              <w:pStyle w:val="Normal-TableText"/>
            </w:pPr>
            <w:r w:rsidRPr="00F94C00">
              <w:t xml:space="preserve">DFAT issued United Nations Convention Travel Document </w:t>
            </w:r>
          </w:p>
        </w:tc>
        <w:tc>
          <w:tcPr>
            <w:tcW w:w="1025" w:type="pct"/>
          </w:tcPr>
          <w:p w14:paraId="5E0AA983" w14:textId="77777777" w:rsidR="00215226" w:rsidRPr="00F94C00" w:rsidRDefault="00215226" w:rsidP="00EB6345">
            <w:pPr>
              <w:pStyle w:val="Normal-TableText"/>
            </w:pPr>
            <w:r w:rsidRPr="00F94C00">
              <w:t xml:space="preserve">Secondary </w:t>
            </w:r>
          </w:p>
        </w:tc>
      </w:tr>
      <w:tr w:rsidR="00215226" w:rsidRPr="00F94C00" w14:paraId="48FF63B9" w14:textId="77777777" w:rsidTr="00EB6345">
        <w:tc>
          <w:tcPr>
            <w:tcW w:w="3975" w:type="pct"/>
          </w:tcPr>
          <w:p w14:paraId="191276CD" w14:textId="77777777" w:rsidR="00215226" w:rsidRPr="00F94C00" w:rsidRDefault="00215226" w:rsidP="00EB6345">
            <w:pPr>
              <w:pStyle w:val="Normal-TableText"/>
            </w:pPr>
            <w:r w:rsidRPr="00F94C00">
              <w:t>Foreign government issued documents (e.g. driver licences)</w:t>
            </w:r>
          </w:p>
        </w:tc>
        <w:tc>
          <w:tcPr>
            <w:tcW w:w="1025" w:type="pct"/>
          </w:tcPr>
          <w:p w14:paraId="74645AE1" w14:textId="77777777" w:rsidR="00215226" w:rsidRPr="00F94C00" w:rsidRDefault="00215226" w:rsidP="00EB6345">
            <w:pPr>
              <w:pStyle w:val="Normal-TableText"/>
            </w:pPr>
            <w:r w:rsidRPr="00F94C00">
              <w:t>Secondary</w:t>
            </w:r>
          </w:p>
        </w:tc>
      </w:tr>
      <w:tr w:rsidR="00215226" w:rsidRPr="00F94C00" w14:paraId="59D3947A" w14:textId="77777777" w:rsidTr="00EB6345">
        <w:tc>
          <w:tcPr>
            <w:tcW w:w="3975" w:type="pct"/>
          </w:tcPr>
          <w:p w14:paraId="08A17EF6" w14:textId="77777777" w:rsidR="00215226" w:rsidRPr="00F94C00" w:rsidRDefault="00215226" w:rsidP="00EB6345">
            <w:pPr>
              <w:pStyle w:val="Normal-TableText"/>
            </w:pPr>
            <w:r w:rsidRPr="00F94C00">
              <w:t>Medicare Card</w:t>
            </w:r>
          </w:p>
        </w:tc>
        <w:tc>
          <w:tcPr>
            <w:tcW w:w="1025" w:type="pct"/>
          </w:tcPr>
          <w:p w14:paraId="3690532C" w14:textId="77777777" w:rsidR="00215226" w:rsidRPr="00F94C00" w:rsidRDefault="00215226" w:rsidP="00EB6345">
            <w:pPr>
              <w:pStyle w:val="Normal-TableText"/>
            </w:pPr>
            <w:r w:rsidRPr="00F94C00">
              <w:t xml:space="preserve">Secondary </w:t>
            </w:r>
          </w:p>
        </w:tc>
      </w:tr>
      <w:tr w:rsidR="00215226" w:rsidRPr="00F94C00" w14:paraId="0152E3F7" w14:textId="77777777" w:rsidTr="00EB6345">
        <w:tc>
          <w:tcPr>
            <w:tcW w:w="3975" w:type="pct"/>
          </w:tcPr>
          <w:p w14:paraId="24F3EFD4" w14:textId="77777777" w:rsidR="00215226" w:rsidRPr="00F94C00" w:rsidRDefault="00215226" w:rsidP="00EB6345">
            <w:pPr>
              <w:pStyle w:val="Normal-TableText"/>
            </w:pPr>
            <w:r w:rsidRPr="00F94C00">
              <w:t>Enrolment with the Australian Electoral Commission</w:t>
            </w:r>
          </w:p>
        </w:tc>
        <w:tc>
          <w:tcPr>
            <w:tcW w:w="1025" w:type="pct"/>
          </w:tcPr>
          <w:p w14:paraId="3D4453E2" w14:textId="77777777" w:rsidR="00215226" w:rsidRPr="00F94C00" w:rsidRDefault="00215226" w:rsidP="00EB6345">
            <w:pPr>
              <w:pStyle w:val="Normal-TableText"/>
            </w:pPr>
            <w:r w:rsidRPr="00F94C00">
              <w:t xml:space="preserve">Secondary </w:t>
            </w:r>
          </w:p>
        </w:tc>
      </w:tr>
      <w:tr w:rsidR="00215226" w:rsidRPr="00F94C00" w14:paraId="0493E75C" w14:textId="77777777" w:rsidTr="00EB6345">
        <w:tc>
          <w:tcPr>
            <w:tcW w:w="3975" w:type="pct"/>
          </w:tcPr>
          <w:p w14:paraId="64002C8E" w14:textId="77777777" w:rsidR="00215226" w:rsidRPr="00F94C00" w:rsidRDefault="00215226" w:rsidP="00EB6345">
            <w:pPr>
              <w:pStyle w:val="Normal-TableText"/>
            </w:pPr>
            <w:r w:rsidRPr="00F94C00">
              <w:t>Security Guard/Crowd Control photo licence</w:t>
            </w:r>
          </w:p>
        </w:tc>
        <w:tc>
          <w:tcPr>
            <w:tcW w:w="1025" w:type="pct"/>
          </w:tcPr>
          <w:p w14:paraId="75BA3BC5" w14:textId="77777777" w:rsidR="00215226" w:rsidRPr="00F94C00" w:rsidRDefault="00215226" w:rsidP="00EB6345">
            <w:pPr>
              <w:pStyle w:val="Normal-TableText"/>
            </w:pPr>
            <w:r w:rsidRPr="00F94C00">
              <w:t>Secondary</w:t>
            </w:r>
          </w:p>
        </w:tc>
      </w:tr>
      <w:tr w:rsidR="00215226" w:rsidRPr="00F94C00" w14:paraId="304DD727" w14:textId="77777777" w:rsidTr="00EB6345">
        <w:tc>
          <w:tcPr>
            <w:tcW w:w="3975" w:type="pct"/>
          </w:tcPr>
          <w:p w14:paraId="391F7263" w14:textId="77777777" w:rsidR="00215226" w:rsidRPr="00F94C00" w:rsidRDefault="00215226" w:rsidP="00EB6345">
            <w:pPr>
              <w:pStyle w:val="Normal-TableText"/>
            </w:pPr>
            <w:r w:rsidRPr="00F94C00">
              <w:t>Evidence of right to a government benefit (DVA or Centrelink)</w:t>
            </w:r>
          </w:p>
        </w:tc>
        <w:tc>
          <w:tcPr>
            <w:tcW w:w="1025" w:type="pct"/>
          </w:tcPr>
          <w:p w14:paraId="06742220" w14:textId="77777777" w:rsidR="00215226" w:rsidRPr="00F94C00" w:rsidRDefault="00215226" w:rsidP="00EB6345">
            <w:pPr>
              <w:pStyle w:val="Normal-TableText"/>
            </w:pPr>
            <w:r w:rsidRPr="00F94C00">
              <w:t>Secondary</w:t>
            </w:r>
          </w:p>
        </w:tc>
      </w:tr>
      <w:tr w:rsidR="00215226" w:rsidRPr="00F94C00" w14:paraId="6BFCA3D5" w14:textId="77777777" w:rsidTr="00EB6345">
        <w:tc>
          <w:tcPr>
            <w:tcW w:w="3975" w:type="pct"/>
          </w:tcPr>
          <w:p w14:paraId="3543CF7B" w14:textId="77777777" w:rsidR="00215226" w:rsidRPr="00F94C00" w:rsidRDefault="00215226" w:rsidP="00EB6345">
            <w:pPr>
              <w:pStyle w:val="Normal-TableText"/>
            </w:pPr>
            <w:r w:rsidRPr="00F94C00">
              <w:t>Consular photo identity card issued by DFAT</w:t>
            </w:r>
          </w:p>
        </w:tc>
        <w:tc>
          <w:tcPr>
            <w:tcW w:w="1025" w:type="pct"/>
          </w:tcPr>
          <w:p w14:paraId="057B7322" w14:textId="77777777" w:rsidR="00215226" w:rsidRPr="00F94C00" w:rsidRDefault="00215226" w:rsidP="00EB6345">
            <w:pPr>
              <w:pStyle w:val="Normal-TableText"/>
            </w:pPr>
            <w:r w:rsidRPr="00F94C00">
              <w:t>Secondary</w:t>
            </w:r>
          </w:p>
        </w:tc>
      </w:tr>
      <w:tr w:rsidR="00215226" w:rsidRPr="00F94C00" w14:paraId="263BB7A4" w14:textId="77777777" w:rsidTr="00EB6345">
        <w:tc>
          <w:tcPr>
            <w:tcW w:w="3975" w:type="pct"/>
          </w:tcPr>
          <w:p w14:paraId="56262354" w14:textId="77777777" w:rsidR="00215226" w:rsidRPr="00F94C00" w:rsidRDefault="00215226" w:rsidP="00EB6345">
            <w:pPr>
              <w:pStyle w:val="Normal-TableText"/>
            </w:pPr>
            <w:r w:rsidRPr="00F94C00">
              <w:t>Police Force Officer photo identity card</w:t>
            </w:r>
          </w:p>
        </w:tc>
        <w:tc>
          <w:tcPr>
            <w:tcW w:w="1025" w:type="pct"/>
          </w:tcPr>
          <w:p w14:paraId="10263E96" w14:textId="77777777" w:rsidR="00215226" w:rsidRPr="00F94C00" w:rsidRDefault="00215226" w:rsidP="00EB6345">
            <w:pPr>
              <w:pStyle w:val="Normal-TableText"/>
            </w:pPr>
            <w:r w:rsidRPr="00F94C00">
              <w:t>Secondary</w:t>
            </w:r>
          </w:p>
        </w:tc>
      </w:tr>
      <w:tr w:rsidR="00215226" w:rsidRPr="00F94C00" w14:paraId="50F4D961" w14:textId="77777777" w:rsidTr="00EB6345">
        <w:tc>
          <w:tcPr>
            <w:tcW w:w="3975" w:type="pct"/>
          </w:tcPr>
          <w:p w14:paraId="5C00DC6D" w14:textId="77777777" w:rsidR="00215226" w:rsidRPr="00F94C00" w:rsidRDefault="00215226" w:rsidP="00EB6345">
            <w:pPr>
              <w:pStyle w:val="Normal-TableText"/>
            </w:pPr>
            <w:r w:rsidRPr="00F94C00">
              <w:t xml:space="preserve">Australian Defence Force photo identity card </w:t>
            </w:r>
          </w:p>
        </w:tc>
        <w:tc>
          <w:tcPr>
            <w:tcW w:w="1025" w:type="pct"/>
          </w:tcPr>
          <w:p w14:paraId="2815373D" w14:textId="77777777" w:rsidR="00215226" w:rsidRPr="00F94C00" w:rsidRDefault="00215226" w:rsidP="00EB6345">
            <w:pPr>
              <w:pStyle w:val="Normal-TableText"/>
            </w:pPr>
            <w:r w:rsidRPr="00F94C00">
              <w:t>Secondary</w:t>
            </w:r>
          </w:p>
        </w:tc>
      </w:tr>
      <w:tr w:rsidR="00215226" w:rsidRPr="00F94C00" w14:paraId="18B1E309" w14:textId="77777777" w:rsidTr="00EB6345">
        <w:tc>
          <w:tcPr>
            <w:tcW w:w="3975" w:type="pct"/>
          </w:tcPr>
          <w:p w14:paraId="5C443D3F" w14:textId="77777777" w:rsidR="00215226" w:rsidRPr="00F94C00" w:rsidRDefault="00215226" w:rsidP="00EB6345">
            <w:pPr>
              <w:pStyle w:val="Normal-TableText"/>
            </w:pPr>
            <w:r w:rsidRPr="00F94C00">
              <w:t>Commonwealth or state/territory government photo ID card</w:t>
            </w:r>
          </w:p>
        </w:tc>
        <w:tc>
          <w:tcPr>
            <w:tcW w:w="1025" w:type="pct"/>
          </w:tcPr>
          <w:p w14:paraId="40EE8004" w14:textId="77777777" w:rsidR="00215226" w:rsidRPr="00F94C00" w:rsidRDefault="00215226" w:rsidP="00EB6345">
            <w:pPr>
              <w:pStyle w:val="Normal-TableText"/>
            </w:pPr>
            <w:r w:rsidRPr="00F94C00">
              <w:t>Secondary</w:t>
            </w:r>
          </w:p>
        </w:tc>
      </w:tr>
      <w:tr w:rsidR="00215226" w:rsidRPr="00F94C00" w14:paraId="16DA9811" w14:textId="77777777" w:rsidTr="00EB6345">
        <w:tc>
          <w:tcPr>
            <w:tcW w:w="3975" w:type="pct"/>
          </w:tcPr>
          <w:p w14:paraId="7B5F91FA" w14:textId="77777777" w:rsidR="00215226" w:rsidRPr="00F94C00" w:rsidRDefault="00215226" w:rsidP="00EB6345">
            <w:pPr>
              <w:pStyle w:val="Normal-TableText"/>
            </w:pPr>
            <w:r w:rsidRPr="00F94C00">
              <w:t>Aviation Security Identification Card</w:t>
            </w:r>
          </w:p>
        </w:tc>
        <w:tc>
          <w:tcPr>
            <w:tcW w:w="1025" w:type="pct"/>
          </w:tcPr>
          <w:p w14:paraId="1C702F7D" w14:textId="77777777" w:rsidR="00215226" w:rsidRPr="00F94C00" w:rsidRDefault="00215226" w:rsidP="00EB6345">
            <w:pPr>
              <w:pStyle w:val="Normal-TableText"/>
            </w:pPr>
            <w:r w:rsidRPr="00F94C00">
              <w:t>Secondary</w:t>
            </w:r>
          </w:p>
        </w:tc>
      </w:tr>
      <w:tr w:rsidR="00215226" w:rsidRPr="00F94C00" w14:paraId="0040D90F" w14:textId="77777777" w:rsidTr="00EB6345">
        <w:tc>
          <w:tcPr>
            <w:tcW w:w="3975" w:type="pct"/>
          </w:tcPr>
          <w:p w14:paraId="5B088CDB" w14:textId="77777777" w:rsidR="00215226" w:rsidRPr="00F94C00" w:rsidRDefault="00215226" w:rsidP="00EB6345">
            <w:pPr>
              <w:pStyle w:val="Normal-TableText"/>
            </w:pPr>
            <w:r w:rsidRPr="00F94C00">
              <w:lastRenderedPageBreak/>
              <w:t>Maritime Security Identification Card</w:t>
            </w:r>
          </w:p>
        </w:tc>
        <w:tc>
          <w:tcPr>
            <w:tcW w:w="1025" w:type="pct"/>
          </w:tcPr>
          <w:p w14:paraId="72108EBD" w14:textId="77777777" w:rsidR="00215226" w:rsidRPr="00F94C00" w:rsidRDefault="00215226" w:rsidP="00EB6345">
            <w:pPr>
              <w:pStyle w:val="Normal-TableText"/>
            </w:pPr>
            <w:r w:rsidRPr="00F94C00">
              <w:t>Secondary</w:t>
            </w:r>
          </w:p>
        </w:tc>
      </w:tr>
      <w:tr w:rsidR="00215226" w:rsidRPr="00F94C00" w14:paraId="1F9F6385" w14:textId="77777777" w:rsidTr="00EB6345">
        <w:tc>
          <w:tcPr>
            <w:tcW w:w="3975" w:type="pct"/>
          </w:tcPr>
          <w:p w14:paraId="52D3B33E" w14:textId="77777777" w:rsidR="00215226" w:rsidRPr="00F94C00" w:rsidRDefault="00215226" w:rsidP="00EB6345">
            <w:pPr>
              <w:pStyle w:val="Normal-TableText"/>
            </w:pPr>
            <w:r w:rsidRPr="00F94C00">
              <w:t>Firearms licence</w:t>
            </w:r>
          </w:p>
        </w:tc>
        <w:tc>
          <w:tcPr>
            <w:tcW w:w="1025" w:type="pct"/>
          </w:tcPr>
          <w:p w14:paraId="1E904478" w14:textId="77777777" w:rsidR="00215226" w:rsidRPr="00F94C00" w:rsidRDefault="00215226" w:rsidP="00EB6345">
            <w:pPr>
              <w:pStyle w:val="Normal-TableText"/>
            </w:pPr>
            <w:r w:rsidRPr="00F94C00">
              <w:t>Secondary</w:t>
            </w:r>
          </w:p>
        </w:tc>
      </w:tr>
      <w:tr w:rsidR="00215226" w:rsidRPr="00F94C00" w14:paraId="0D501C2C" w14:textId="77777777" w:rsidTr="00EB6345">
        <w:tc>
          <w:tcPr>
            <w:tcW w:w="3975" w:type="pct"/>
          </w:tcPr>
          <w:p w14:paraId="40B9BA6F" w14:textId="77777777" w:rsidR="00215226" w:rsidRPr="00F94C00" w:rsidRDefault="00215226" w:rsidP="00EB6345">
            <w:pPr>
              <w:pStyle w:val="Normal-TableText"/>
            </w:pPr>
            <w:r w:rsidRPr="00F94C00">
              <w:t>Credit reference check</w:t>
            </w:r>
          </w:p>
        </w:tc>
        <w:tc>
          <w:tcPr>
            <w:tcW w:w="1025" w:type="pct"/>
          </w:tcPr>
          <w:p w14:paraId="30321B5A" w14:textId="77777777" w:rsidR="00215226" w:rsidRPr="00F94C00" w:rsidRDefault="00215226" w:rsidP="00EB6345">
            <w:pPr>
              <w:pStyle w:val="Normal-TableText"/>
            </w:pPr>
            <w:r w:rsidRPr="00F94C00">
              <w:t>Secondary</w:t>
            </w:r>
          </w:p>
        </w:tc>
      </w:tr>
      <w:tr w:rsidR="00215226" w:rsidRPr="00F94C00" w14:paraId="75B8D5ED" w14:textId="77777777" w:rsidTr="00EB6345">
        <w:tc>
          <w:tcPr>
            <w:tcW w:w="3975" w:type="pct"/>
          </w:tcPr>
          <w:p w14:paraId="55557A9B" w14:textId="77777777" w:rsidR="00215226" w:rsidRPr="00F94C00" w:rsidRDefault="00215226" w:rsidP="00EB6345">
            <w:pPr>
              <w:pStyle w:val="Normal-TableText"/>
            </w:pPr>
            <w:r w:rsidRPr="00F94C00">
              <w:t>Australian tertiary student photo identity document</w:t>
            </w:r>
          </w:p>
        </w:tc>
        <w:tc>
          <w:tcPr>
            <w:tcW w:w="1025" w:type="pct"/>
          </w:tcPr>
          <w:p w14:paraId="4B4D761B" w14:textId="77777777" w:rsidR="00215226" w:rsidRPr="00F94C00" w:rsidRDefault="00215226" w:rsidP="00EB6345">
            <w:pPr>
              <w:pStyle w:val="Normal-TableText"/>
            </w:pPr>
            <w:r w:rsidRPr="00F94C00">
              <w:t>Secondary</w:t>
            </w:r>
          </w:p>
        </w:tc>
      </w:tr>
      <w:tr w:rsidR="00215226" w:rsidRPr="00F94C00" w14:paraId="2A36EF0F" w14:textId="77777777" w:rsidTr="00EB6345">
        <w:tc>
          <w:tcPr>
            <w:tcW w:w="3975" w:type="pct"/>
          </w:tcPr>
          <w:p w14:paraId="4EF3E96C" w14:textId="77777777" w:rsidR="00215226" w:rsidRPr="00F94C00" w:rsidRDefault="00215226" w:rsidP="00EB6345">
            <w:pPr>
              <w:pStyle w:val="Normal-TableText"/>
            </w:pPr>
            <w:r w:rsidRPr="00F94C00">
              <w:t>Australian secondary student photo identity document</w:t>
            </w:r>
          </w:p>
        </w:tc>
        <w:tc>
          <w:tcPr>
            <w:tcW w:w="1025" w:type="pct"/>
          </w:tcPr>
          <w:p w14:paraId="7E4EA5AE" w14:textId="77777777" w:rsidR="00215226" w:rsidRPr="00F94C00" w:rsidRDefault="00215226" w:rsidP="00EB6345">
            <w:pPr>
              <w:pStyle w:val="Normal-TableText"/>
            </w:pPr>
            <w:r w:rsidRPr="00F94C00">
              <w:t>Secondary</w:t>
            </w:r>
          </w:p>
        </w:tc>
      </w:tr>
      <w:tr w:rsidR="00215226" w:rsidRPr="00F94C00" w14:paraId="70A8ABA9" w14:textId="77777777" w:rsidTr="00EB6345">
        <w:tc>
          <w:tcPr>
            <w:tcW w:w="3975" w:type="pct"/>
          </w:tcPr>
          <w:p w14:paraId="187DED31" w14:textId="77777777" w:rsidR="00215226" w:rsidRPr="00F94C00" w:rsidRDefault="00215226" w:rsidP="00EB6345">
            <w:pPr>
              <w:pStyle w:val="Normal-TableText"/>
            </w:pPr>
            <w:r w:rsidRPr="00F94C00">
              <w:t>Certified academic transcript from an Australian university</w:t>
            </w:r>
          </w:p>
        </w:tc>
        <w:tc>
          <w:tcPr>
            <w:tcW w:w="1025" w:type="pct"/>
          </w:tcPr>
          <w:p w14:paraId="32012301" w14:textId="77777777" w:rsidR="00215226" w:rsidRPr="00F94C00" w:rsidRDefault="00215226" w:rsidP="00EB6345">
            <w:pPr>
              <w:pStyle w:val="Normal-TableText"/>
            </w:pPr>
            <w:r w:rsidRPr="00F94C00">
              <w:t>Secondary</w:t>
            </w:r>
          </w:p>
        </w:tc>
      </w:tr>
      <w:tr w:rsidR="00215226" w:rsidRPr="00F94C00" w14:paraId="4C8D3064" w14:textId="77777777" w:rsidTr="00EB6345">
        <w:tc>
          <w:tcPr>
            <w:tcW w:w="3975" w:type="pct"/>
          </w:tcPr>
          <w:p w14:paraId="11CE6B7B" w14:textId="77777777" w:rsidR="00215226" w:rsidRPr="00F94C00" w:rsidRDefault="00215226" w:rsidP="00EB6345">
            <w:pPr>
              <w:pStyle w:val="Normal-TableText"/>
            </w:pPr>
            <w:r w:rsidRPr="00F94C00">
              <w:t>Trusted referees report</w:t>
            </w:r>
          </w:p>
        </w:tc>
        <w:tc>
          <w:tcPr>
            <w:tcW w:w="1025" w:type="pct"/>
          </w:tcPr>
          <w:p w14:paraId="36FE158A" w14:textId="77777777" w:rsidR="00215226" w:rsidRPr="00F94C00" w:rsidRDefault="00215226" w:rsidP="00EB6345">
            <w:pPr>
              <w:pStyle w:val="Normal-TableText"/>
            </w:pPr>
            <w:r w:rsidRPr="00F94C00">
              <w:t>Secondary</w:t>
            </w:r>
          </w:p>
        </w:tc>
      </w:tr>
      <w:tr w:rsidR="00215226" w:rsidRPr="00F94C00" w14:paraId="54AF9489" w14:textId="77777777" w:rsidTr="00EB6345">
        <w:tc>
          <w:tcPr>
            <w:tcW w:w="3975" w:type="pct"/>
          </w:tcPr>
          <w:p w14:paraId="5F863D53" w14:textId="77777777" w:rsidR="00215226" w:rsidRPr="00F94C00" w:rsidRDefault="00215226" w:rsidP="00EB6345">
            <w:pPr>
              <w:pStyle w:val="Normal-TableText"/>
            </w:pPr>
            <w:r w:rsidRPr="00F94C00">
              <w:t>Bank or credit card</w:t>
            </w:r>
          </w:p>
        </w:tc>
        <w:tc>
          <w:tcPr>
            <w:tcW w:w="1025" w:type="pct"/>
          </w:tcPr>
          <w:p w14:paraId="3BEB808E" w14:textId="77777777" w:rsidR="00215226" w:rsidRPr="00F94C00" w:rsidRDefault="00215226" w:rsidP="00EB6345">
            <w:pPr>
              <w:pStyle w:val="Normal-TableText"/>
            </w:pPr>
            <w:r w:rsidRPr="00F94C00">
              <w:t>Secondary</w:t>
            </w:r>
          </w:p>
        </w:tc>
      </w:tr>
      <w:tr w:rsidR="00215226" w:rsidRPr="00F94C00" w14:paraId="2549A7EE" w14:textId="77777777" w:rsidTr="00EB6345">
        <w:trPr>
          <w:trHeight w:val="113"/>
        </w:trPr>
        <w:tc>
          <w:tcPr>
            <w:tcW w:w="3975" w:type="pct"/>
          </w:tcPr>
          <w:p w14:paraId="6EE23A83" w14:textId="77777777" w:rsidR="00215226" w:rsidRPr="00F94C00" w:rsidRDefault="00215226" w:rsidP="00EB6345">
            <w:pPr>
              <w:pStyle w:val="Normal-TableText"/>
            </w:pPr>
            <w:r w:rsidRPr="00F94C00">
              <w:t>Other authoritative online sources of evidence verified by a Third Party Identity Provider</w:t>
            </w:r>
          </w:p>
        </w:tc>
        <w:tc>
          <w:tcPr>
            <w:tcW w:w="1025" w:type="pct"/>
          </w:tcPr>
          <w:p w14:paraId="77EB9F42" w14:textId="77777777" w:rsidR="00215226" w:rsidRPr="00F94C00" w:rsidRDefault="00215226" w:rsidP="00EB6345">
            <w:pPr>
              <w:pStyle w:val="Normal-TableText"/>
            </w:pPr>
            <w:r w:rsidRPr="00F94C00">
              <w:t>Secondary</w:t>
            </w:r>
          </w:p>
        </w:tc>
      </w:tr>
    </w:tbl>
    <w:p w14:paraId="15BC202B" w14:textId="77777777" w:rsidR="00215226" w:rsidRDefault="00215226" w:rsidP="00EB6345">
      <w:pPr>
        <w:pStyle w:val="Heading2Numbered"/>
      </w:pPr>
      <w:bookmarkStart w:id="297" w:name="_Toc426636717"/>
      <w:bookmarkStart w:id="298" w:name="_Toc426640001"/>
      <w:bookmarkStart w:id="299" w:name="_Toc430268948"/>
      <w:r w:rsidRPr="003E302C">
        <w:t>Organisation Identity Proofing</w:t>
      </w:r>
      <w:bookmarkEnd w:id="297"/>
      <w:bookmarkEnd w:id="298"/>
      <w:bookmarkEnd w:id="299"/>
    </w:p>
    <w:p w14:paraId="6D2AC8C4" w14:textId="77777777" w:rsidR="00215226" w:rsidRDefault="00215226" w:rsidP="00EB6345">
      <w:r w:rsidRPr="00DB230F">
        <w:t xml:space="preserve">This section describes the organisation identity proofing requirements to be met </w:t>
      </w:r>
      <w:r>
        <w:t xml:space="preserve">by RAs </w:t>
      </w:r>
      <w:r w:rsidRPr="00DB230F">
        <w:t xml:space="preserve">when </w:t>
      </w:r>
      <w:r>
        <w:t>undertaking identity proofing activities on</w:t>
      </w:r>
      <w:r w:rsidRPr="00DB230F">
        <w:t xml:space="preserve"> </w:t>
      </w:r>
      <w:r>
        <w:t xml:space="preserve">Subscribers (organisations, individuals and NPEs) who are subsequently issued digital certificates to act on behalf of an organisation. </w:t>
      </w:r>
      <w:r w:rsidRPr="00DB230F">
        <w:t xml:space="preserve">Organisation certificates </w:t>
      </w:r>
      <w:r>
        <w:t xml:space="preserve">can be used </w:t>
      </w:r>
      <w:r w:rsidRPr="00DB230F">
        <w:t xml:space="preserve">at all </w:t>
      </w:r>
      <w:r>
        <w:t>LOAs under Gatekeeper:</w:t>
      </w:r>
    </w:p>
    <w:p w14:paraId="1D64FB6B" w14:textId="77777777" w:rsidR="00215226" w:rsidRDefault="00215226" w:rsidP="00EB6345">
      <w:pPr>
        <w:pStyle w:val="Bullet1"/>
      </w:pPr>
      <w:r>
        <w:t xml:space="preserve">At LOA 1 and LOA 2 the organisation </w:t>
      </w:r>
      <w:r w:rsidRPr="00D825A0">
        <w:rPr>
          <w:rStyle w:val="Strong"/>
        </w:rPr>
        <w:t>MUST</w:t>
      </w:r>
      <w:r>
        <w:t xml:space="preserve"> be identified in the digital certificate. The Subscriber (if</w:t>
      </w:r>
      <w:r w:rsidR="00426C67">
        <w:t> </w:t>
      </w:r>
      <w:r>
        <w:t xml:space="preserve">different from the organisation) </w:t>
      </w:r>
      <w:r w:rsidRPr="00D825A0">
        <w:rPr>
          <w:rStyle w:val="Strong"/>
        </w:rPr>
        <w:t>SHOULD</w:t>
      </w:r>
      <w:r>
        <w:t xml:space="preserve"> also be identified.</w:t>
      </w:r>
    </w:p>
    <w:p w14:paraId="460E0738" w14:textId="77777777" w:rsidR="00215226" w:rsidRDefault="00215226" w:rsidP="00EB6345">
      <w:pPr>
        <w:pStyle w:val="Bullet1"/>
      </w:pPr>
      <w:r>
        <w:t xml:space="preserve">At LOA 3 and 4 the organisation and the Subscriber (if different from the organisation) </w:t>
      </w:r>
      <w:r w:rsidRPr="00D825A0">
        <w:rPr>
          <w:rStyle w:val="Strong"/>
        </w:rPr>
        <w:t>MUST</w:t>
      </w:r>
      <w:r>
        <w:t xml:space="preserve"> be identified in the digital certificate.</w:t>
      </w:r>
    </w:p>
    <w:p w14:paraId="2337D6E6" w14:textId="77777777" w:rsidR="00215226" w:rsidRPr="003E302C" w:rsidRDefault="00215226" w:rsidP="00EB6345">
      <w:pPr>
        <w:pStyle w:val="Heading3Numbered"/>
      </w:pPr>
      <w:bookmarkStart w:id="300" w:name="_Toc426636718"/>
      <w:bookmarkStart w:id="301" w:name="_Toc426636843"/>
      <w:bookmarkStart w:id="302" w:name="_Toc426640002"/>
      <w:r w:rsidRPr="003E302C">
        <w:t>Key Organisation Roles</w:t>
      </w:r>
      <w:bookmarkEnd w:id="300"/>
      <w:bookmarkEnd w:id="301"/>
      <w:bookmarkEnd w:id="302"/>
    </w:p>
    <w:p w14:paraId="303BEA15" w14:textId="77777777" w:rsidR="00215226" w:rsidRPr="00DB230F" w:rsidRDefault="00215226" w:rsidP="00EB6345">
      <w:r w:rsidRPr="00DB230F">
        <w:t xml:space="preserve">Within the </w:t>
      </w:r>
      <w:r>
        <w:t>o</w:t>
      </w:r>
      <w:r w:rsidRPr="00DB230F">
        <w:t>rganisation two classes of individuals are important, the Authoriser and the Certificate Manager.</w:t>
      </w:r>
    </w:p>
    <w:p w14:paraId="058FE7C5" w14:textId="77777777" w:rsidR="00215226" w:rsidRPr="000713E6" w:rsidRDefault="00215226" w:rsidP="00EB6345">
      <w:pPr>
        <w:pStyle w:val="Heading4"/>
      </w:pPr>
      <w:r w:rsidRPr="000713E6">
        <w:t>Authoriser</w:t>
      </w:r>
    </w:p>
    <w:p w14:paraId="7CBB369F" w14:textId="77777777" w:rsidR="00215226" w:rsidRDefault="00215226" w:rsidP="00EB6345">
      <w:r w:rsidRPr="00DB230F">
        <w:t xml:space="preserve">An Authoriser is a member of a class of persons with a clear capacity to commit an </w:t>
      </w:r>
      <w:r>
        <w:t>o</w:t>
      </w:r>
      <w:r w:rsidRPr="00DB230F">
        <w:t>rganisation and</w:t>
      </w:r>
      <w:r w:rsidR="00426C67">
        <w:t> </w:t>
      </w:r>
      <w:r w:rsidRPr="00DB230F">
        <w:t>to appoint a Certificate Manager.</w:t>
      </w:r>
      <w:r>
        <w:t xml:space="preserve"> </w:t>
      </w:r>
      <w:r w:rsidRPr="00DB230F">
        <w:t xml:space="preserve">Persons who are members </w:t>
      </w:r>
      <w:r>
        <w:t xml:space="preserve">of </w:t>
      </w:r>
      <w:r w:rsidRPr="00DB230F">
        <w:t xml:space="preserve">this class </w:t>
      </w:r>
      <w:r>
        <w:t xml:space="preserve">may </w:t>
      </w:r>
      <w:r w:rsidRPr="00DB230F">
        <w:t>include but are not</w:t>
      </w:r>
      <w:r w:rsidR="00426C67">
        <w:t> </w:t>
      </w:r>
      <w:r w:rsidRPr="00DB230F">
        <w:t>limited to</w:t>
      </w:r>
      <w:r>
        <w:t xml:space="preserve"> a Chief Executive Officer, Company Director, Trustee, Sole Trader, Partner or Company</w:t>
      </w:r>
      <w:r w:rsidR="00426C67">
        <w:t> </w:t>
      </w:r>
      <w:r>
        <w:t>Owner.</w:t>
      </w:r>
    </w:p>
    <w:p w14:paraId="352B6B99" w14:textId="77777777" w:rsidR="00215226" w:rsidRPr="00DB230F" w:rsidRDefault="00215226" w:rsidP="00EB6345">
      <w:pPr>
        <w:pStyle w:val="BoxText"/>
      </w:pPr>
      <w:r w:rsidRPr="00DB230F">
        <w:t xml:space="preserve">The Authoriser’s association with the </w:t>
      </w:r>
      <w:r>
        <w:t>o</w:t>
      </w:r>
      <w:r w:rsidRPr="00DB230F">
        <w:t xml:space="preserve">rganisation </w:t>
      </w:r>
      <w:r w:rsidRPr="00D825A0">
        <w:rPr>
          <w:rStyle w:val="Strong"/>
        </w:rPr>
        <w:t>MUST</w:t>
      </w:r>
      <w:r w:rsidRPr="00DB230F">
        <w:t xml:space="preserve"> be evidence by reference to:</w:t>
      </w:r>
    </w:p>
    <w:p w14:paraId="5DCB8D8B" w14:textId="2A0B26BC" w:rsidR="00215226" w:rsidRDefault="00215226" w:rsidP="00EB6345">
      <w:pPr>
        <w:pStyle w:val="BoxBullet1"/>
      </w:pPr>
      <w:r w:rsidRPr="00DB230F">
        <w:t>An authoritative public register (such as the ABR or the Australian Securities and Investments</w:t>
      </w:r>
      <w:r w:rsidR="00426C67">
        <w:t> </w:t>
      </w:r>
      <w:r w:rsidRPr="00DB230F">
        <w:t>Commission);</w:t>
      </w:r>
      <w:r w:rsidR="00A02CB4">
        <w:t xml:space="preserve"> and</w:t>
      </w:r>
    </w:p>
    <w:p w14:paraId="6501F9D7" w14:textId="77777777" w:rsidR="00215226" w:rsidRDefault="00215226" w:rsidP="00EB6345">
      <w:pPr>
        <w:pStyle w:val="BoxBullet1"/>
      </w:pPr>
      <w:r w:rsidRPr="00DB230F">
        <w:t>Appropriate legal, regulatory documents issued by a government Agency</w:t>
      </w:r>
      <w:r>
        <w:t>; or</w:t>
      </w:r>
    </w:p>
    <w:p w14:paraId="17DA9FF9" w14:textId="77777777" w:rsidR="00215226" w:rsidRPr="00DB230F" w:rsidRDefault="00215226" w:rsidP="00EB6345">
      <w:pPr>
        <w:pStyle w:val="BoxBullet1"/>
      </w:pPr>
      <w:r>
        <w:t>Appropriate legal, regulatory documents issued by a non-government Agency.</w:t>
      </w:r>
    </w:p>
    <w:p w14:paraId="3937D864" w14:textId="77777777" w:rsidR="00215226" w:rsidRDefault="00215226" w:rsidP="00EB6345">
      <w:pPr>
        <w:pStyle w:val="Heading4"/>
      </w:pPr>
      <w:r w:rsidRPr="00EB2A5C">
        <w:lastRenderedPageBreak/>
        <w:t>Certificate Manager</w:t>
      </w:r>
    </w:p>
    <w:p w14:paraId="2E75525D" w14:textId="77777777" w:rsidR="00215226" w:rsidRDefault="00215226" w:rsidP="00EB6345">
      <w:r w:rsidRPr="00DB230F">
        <w:t xml:space="preserve">A Certificate Manager is an employee or representative of an </w:t>
      </w:r>
      <w:r>
        <w:t>o</w:t>
      </w:r>
      <w:r w:rsidRPr="00DB230F">
        <w:t>rganisation duly authorised by the Authoriser to perform the Certificate Management duties appropriate to the LOA commensurate for certificates being requested.</w:t>
      </w:r>
    </w:p>
    <w:p w14:paraId="65E5920C" w14:textId="77777777" w:rsidR="00215226" w:rsidRDefault="00215226" w:rsidP="00EB6345">
      <w:r w:rsidRPr="00DB230F">
        <w:t xml:space="preserve">For example, if an organisation requires certificates which provide </w:t>
      </w:r>
      <w:r>
        <w:t xml:space="preserve">a </w:t>
      </w:r>
      <w:r w:rsidRPr="00DB230F">
        <w:t>high level of assurance</w:t>
      </w:r>
      <w:r>
        <w:t xml:space="preserve"> (i.e.</w:t>
      </w:r>
      <w:r w:rsidR="00426C67">
        <w:t> </w:t>
      </w:r>
      <w:r>
        <w:t>LOA</w:t>
      </w:r>
      <w:r w:rsidR="00426C67">
        <w:t> </w:t>
      </w:r>
      <w:r>
        <w:t>3)</w:t>
      </w:r>
      <w:r w:rsidRPr="00DB230F">
        <w:t xml:space="preserve"> the CM must undergo an LOA 3 identity proofing process.</w:t>
      </w:r>
    </w:p>
    <w:p w14:paraId="3320D584" w14:textId="77777777" w:rsidR="00215226" w:rsidRPr="00DB230F" w:rsidRDefault="00215226" w:rsidP="00EB6345">
      <w:r w:rsidRPr="00DB230F">
        <w:t>The duties of a Certificate Manager may include:</w:t>
      </w:r>
    </w:p>
    <w:p w14:paraId="0DABE5CC" w14:textId="77777777" w:rsidR="00215226" w:rsidRPr="00DB230F" w:rsidRDefault="00215226" w:rsidP="00EB6345">
      <w:pPr>
        <w:pStyle w:val="Bullet1"/>
      </w:pPr>
      <w:r w:rsidRPr="00DB230F">
        <w:t xml:space="preserve">Submit an application to hold an </w:t>
      </w:r>
      <w:r>
        <w:t>o</w:t>
      </w:r>
      <w:r w:rsidRPr="00DB230F">
        <w:t>rganisational certificate;</w:t>
      </w:r>
    </w:p>
    <w:p w14:paraId="169B8978" w14:textId="77777777" w:rsidR="00215226" w:rsidRPr="00DB230F" w:rsidRDefault="00215226" w:rsidP="00EB6345">
      <w:pPr>
        <w:pStyle w:val="Bullet1"/>
      </w:pPr>
      <w:r w:rsidRPr="00DB230F">
        <w:t xml:space="preserve">Complete, sign and lodge the necessary documentation that provide evidence of the binding between the </w:t>
      </w:r>
      <w:r>
        <w:t>o</w:t>
      </w:r>
      <w:r w:rsidRPr="00DB230F">
        <w:t>rganisation and the Certificate Manager;</w:t>
      </w:r>
    </w:p>
    <w:p w14:paraId="67F58992" w14:textId="77777777" w:rsidR="00215226" w:rsidRPr="00DB230F" w:rsidRDefault="00215226" w:rsidP="00EB6345">
      <w:pPr>
        <w:pStyle w:val="Bullet1"/>
      </w:pPr>
      <w:r w:rsidRPr="00DB230F">
        <w:t xml:space="preserve">Request digital certificates as required for use by </w:t>
      </w:r>
      <w:r>
        <w:t>Subscribers</w:t>
      </w:r>
      <w:r w:rsidRPr="00DB230F">
        <w:t xml:space="preserve"> of the </w:t>
      </w:r>
      <w:r>
        <w:t>o</w:t>
      </w:r>
      <w:r w:rsidRPr="00DB230F">
        <w:t>rganisation; and,</w:t>
      </w:r>
    </w:p>
    <w:p w14:paraId="51ABA318" w14:textId="4D0E7AAE" w:rsidR="00215226" w:rsidRDefault="00215226" w:rsidP="00EB6345">
      <w:pPr>
        <w:pStyle w:val="Bullet1"/>
      </w:pPr>
      <w:r w:rsidRPr="00DB230F">
        <w:t xml:space="preserve">On behalf of the </w:t>
      </w:r>
      <w:r>
        <w:t>organisation:</w:t>
      </w:r>
    </w:p>
    <w:p w14:paraId="409CAFA1" w14:textId="77777777" w:rsidR="00215226" w:rsidRDefault="00215226" w:rsidP="00EB6345">
      <w:pPr>
        <w:pStyle w:val="Bullet2"/>
      </w:pPr>
      <w:r>
        <w:t>V</w:t>
      </w:r>
      <w:r w:rsidRPr="00DB230F">
        <w:t xml:space="preserve">erify the identity of </w:t>
      </w:r>
      <w:r>
        <w:t>Subscribers</w:t>
      </w:r>
      <w:r w:rsidRPr="00DB230F">
        <w:t xml:space="preserve"> for whom digital certificates are requested to an LOA commensurate for </w:t>
      </w:r>
      <w:r>
        <w:t>the certificate being requested. For certificates being issued to NPEs (such as a device or web server), the custodian or person responsible for the NPE is required to have their identity verified by the Certificate Manager to the LOA commensurate for the certificate being requested; and,</w:t>
      </w:r>
    </w:p>
    <w:p w14:paraId="560A7A25" w14:textId="77777777" w:rsidR="00215226" w:rsidRDefault="00215226" w:rsidP="00EB6345">
      <w:pPr>
        <w:pStyle w:val="Bullet2"/>
      </w:pPr>
      <w:r>
        <w:t>Ensure Subscribers and NPE custodians read, understand, sign and comply with any certificate terms of use.</w:t>
      </w:r>
    </w:p>
    <w:p w14:paraId="6AFCC24B" w14:textId="77777777" w:rsidR="00215226" w:rsidRDefault="00215226" w:rsidP="00EB6345">
      <w:r w:rsidRPr="00DB230F">
        <w:t>An organisation may have one or more Certificate Managers. A small organisation may have only one Certificate Manager while a large or decentralised organisation may choose to appoint a number of Certificate Managers for practical or operational purposes</w:t>
      </w:r>
      <w:r>
        <w:t>.</w:t>
      </w:r>
    </w:p>
    <w:p w14:paraId="7DB6A3D0" w14:textId="77777777" w:rsidR="00215226" w:rsidRDefault="00215226" w:rsidP="00EB6345">
      <w:r w:rsidRPr="00BC018C">
        <w:t xml:space="preserve">Given the critical role played by the Certificate Manager the allocation of such positions </w:t>
      </w:r>
      <w:r w:rsidRPr="00D825A0">
        <w:rPr>
          <w:rStyle w:val="Strong"/>
        </w:rPr>
        <w:t>MUST</w:t>
      </w:r>
      <w:r w:rsidRPr="00BC018C">
        <w:t xml:space="preserve"> be strictly managed by the organisation</w:t>
      </w:r>
      <w:r w:rsidRPr="00070D6A">
        <w:t>.</w:t>
      </w:r>
      <w:r>
        <w:t xml:space="preserve"> The organisation </w:t>
      </w:r>
      <w:r w:rsidRPr="00D825A0">
        <w:rPr>
          <w:rStyle w:val="Strong"/>
        </w:rPr>
        <w:t>MUST</w:t>
      </w:r>
      <w:r>
        <w:t xml:space="preserve"> ensure the privileges grated to a Certificate Manager are removed when no longer required.</w:t>
      </w:r>
    </w:p>
    <w:p w14:paraId="62B76A68" w14:textId="77777777" w:rsidR="00215226" w:rsidRPr="00DB230F" w:rsidRDefault="00215226" w:rsidP="00EB6345">
      <w:r w:rsidRPr="00DB230F">
        <w:t>The Certificate Manager as described above and the person providing the Certificate Manager with the authority (the Authoriser) may be one and the same person, for example, in a small organisation.</w:t>
      </w:r>
      <w:r>
        <w:t xml:space="preserve"> </w:t>
      </w:r>
      <w:r w:rsidRPr="00DB230F">
        <w:t>A person appointed by the organisation as a Certificate Manager cannot appoint other Certificate Managers unless the person is also an Authoriser.</w:t>
      </w:r>
    </w:p>
    <w:p w14:paraId="3179FDC3" w14:textId="77777777" w:rsidR="00215226" w:rsidRPr="003E302C" w:rsidRDefault="00215226" w:rsidP="00EB6345">
      <w:pPr>
        <w:pStyle w:val="Heading3Numbered"/>
      </w:pPr>
      <w:bookmarkStart w:id="303" w:name="_Toc426636719"/>
      <w:bookmarkStart w:id="304" w:name="_Toc426636844"/>
      <w:bookmarkStart w:id="305" w:name="_Toc426640003"/>
      <w:r w:rsidRPr="003E302C">
        <w:t>Organisation Identity Proofing Requirements</w:t>
      </w:r>
      <w:bookmarkEnd w:id="303"/>
      <w:bookmarkEnd w:id="304"/>
      <w:bookmarkEnd w:id="305"/>
    </w:p>
    <w:p w14:paraId="3008DD7C" w14:textId="77777777" w:rsidR="00215226" w:rsidRDefault="00215226" w:rsidP="00EB6345">
      <w:r w:rsidRPr="00DB230F">
        <w:t xml:space="preserve">Organisation identity proofing requires Applicants to provide legal or regulatory documents as evidence of the </w:t>
      </w:r>
      <w:r>
        <w:t>o</w:t>
      </w:r>
      <w:r w:rsidRPr="00DB230F">
        <w:t xml:space="preserve">rganisation’s existence. The organisational documents presented for establishing the organisation identity </w:t>
      </w:r>
      <w:r w:rsidRPr="00D825A0">
        <w:rPr>
          <w:rStyle w:val="Strong"/>
        </w:rPr>
        <w:t>MUST</w:t>
      </w:r>
      <w:r>
        <w:t xml:space="preserve"> identify the organisation and confirm that the Authoriser is a member of the organisation.</w:t>
      </w:r>
    </w:p>
    <w:p w14:paraId="5F25A800" w14:textId="77777777" w:rsidR="00215226" w:rsidRDefault="00215226" w:rsidP="00EB6345">
      <w:r w:rsidRPr="00DB230F">
        <w:t xml:space="preserve">The RA is responsible for verifying the identity of the organisation, the identity of the Authoriser of the business entity and the identity and authorisations of the Certificate Manager to request certificates on behalf of the </w:t>
      </w:r>
      <w:r>
        <w:t>o</w:t>
      </w:r>
      <w:r w:rsidRPr="00DB230F">
        <w:t>rganisation.</w:t>
      </w:r>
    </w:p>
    <w:p w14:paraId="42AAEC8E" w14:textId="77777777" w:rsidR="00215226" w:rsidRDefault="00215226" w:rsidP="00EB6345">
      <w:r w:rsidRPr="00DB230F">
        <w:t xml:space="preserve">Organisational identity proofing is satisfied </w:t>
      </w:r>
      <w:r>
        <w:t xml:space="preserve">for all LOAs </w:t>
      </w:r>
      <w:r w:rsidRPr="00DB230F">
        <w:t>if either Option 1 or Option 2 is completed:</w:t>
      </w:r>
    </w:p>
    <w:p w14:paraId="3241D449" w14:textId="77777777" w:rsidR="00215226" w:rsidRPr="00DB230F" w:rsidRDefault="00215226" w:rsidP="00EB6345"/>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094"/>
        <w:gridCol w:w="7966"/>
      </w:tblGrid>
      <w:tr w:rsidR="00215226" w:rsidRPr="00DB230F" w14:paraId="50EC7DFE" w14:textId="77777777" w:rsidTr="00EB6345">
        <w:trPr>
          <w:cnfStyle w:val="100000000000" w:firstRow="1" w:lastRow="0" w:firstColumn="0" w:lastColumn="0" w:oddVBand="0" w:evenVBand="0" w:oddHBand="0" w:evenHBand="0" w:firstRowFirstColumn="0" w:firstRowLastColumn="0" w:lastRowFirstColumn="0" w:lastRowLastColumn="0"/>
          <w:tblHeader/>
        </w:trPr>
        <w:tc>
          <w:tcPr>
            <w:tcW w:w="604" w:type="pct"/>
          </w:tcPr>
          <w:p w14:paraId="2279C00D" w14:textId="77777777" w:rsidR="00215226" w:rsidRPr="00DB230F" w:rsidRDefault="00215226" w:rsidP="00EB6345">
            <w:pPr>
              <w:pStyle w:val="Normal-TableText"/>
              <w:rPr>
                <w:rFonts w:eastAsia="Cambria"/>
              </w:rPr>
            </w:pPr>
            <w:r w:rsidRPr="00DB230F">
              <w:lastRenderedPageBreak/>
              <w:t>Option</w:t>
            </w:r>
          </w:p>
        </w:tc>
        <w:tc>
          <w:tcPr>
            <w:tcW w:w="4396" w:type="pct"/>
          </w:tcPr>
          <w:p w14:paraId="33C969CC" w14:textId="77777777" w:rsidR="00215226" w:rsidRPr="00DB230F" w:rsidRDefault="00215226" w:rsidP="00EB6345">
            <w:pPr>
              <w:pStyle w:val="Normal-TableText"/>
              <w:rPr>
                <w:rFonts w:eastAsia="Cambria"/>
              </w:rPr>
            </w:pPr>
            <w:r w:rsidRPr="00DB230F">
              <w:t>Organisation Identity Proofing Requirement</w:t>
            </w:r>
          </w:p>
        </w:tc>
      </w:tr>
      <w:tr w:rsidR="00215226" w:rsidRPr="00DB4C5A" w14:paraId="32B391CE" w14:textId="77777777" w:rsidTr="00EB6345">
        <w:tc>
          <w:tcPr>
            <w:tcW w:w="604" w:type="pct"/>
          </w:tcPr>
          <w:p w14:paraId="1BAA4CAC" w14:textId="77777777" w:rsidR="00215226" w:rsidRPr="00DB4C5A" w:rsidRDefault="00215226" w:rsidP="00EB6345">
            <w:pPr>
              <w:pStyle w:val="Normal-TableText"/>
              <w:rPr>
                <w:rFonts w:eastAsia="Cambria"/>
                <w:szCs w:val="22"/>
              </w:rPr>
            </w:pPr>
            <w:r w:rsidRPr="00DB4C5A">
              <w:rPr>
                <w:szCs w:val="22"/>
              </w:rPr>
              <w:t>Option 1</w:t>
            </w:r>
          </w:p>
        </w:tc>
        <w:tc>
          <w:tcPr>
            <w:tcW w:w="4396" w:type="pct"/>
          </w:tcPr>
          <w:p w14:paraId="6F4C1C54" w14:textId="77777777" w:rsidR="00215226" w:rsidRPr="00DB4C5A" w:rsidRDefault="00215226" w:rsidP="001C3825">
            <w:pPr>
              <w:pStyle w:val="Bullet1"/>
            </w:pPr>
            <w:r w:rsidRPr="00DB4C5A">
              <w:t>An original or certified copy of the notice issued by the Registrar of the ABR bearing the business entity’s name and ABN. If either the owner, chief capacity or other officer or employee with clear capability to commit the business entity is named as the Public Officer on the document issued by the Registrar of the ABR, then this document only will suffice; and</w:t>
            </w:r>
          </w:p>
          <w:p w14:paraId="55E7A50C" w14:textId="77777777" w:rsidR="00215226" w:rsidRPr="00DB4C5A" w:rsidRDefault="00215226" w:rsidP="001C3825">
            <w:pPr>
              <w:pStyle w:val="Bullet1"/>
            </w:pPr>
            <w:r w:rsidRPr="00DB4C5A">
              <w:t>Online verification with the ABR to link the Organisation’s ABN to its business name.</w:t>
            </w:r>
          </w:p>
        </w:tc>
      </w:tr>
      <w:tr w:rsidR="00215226" w:rsidRPr="00DB4C5A" w14:paraId="316BB1C5" w14:textId="77777777" w:rsidTr="00EB6345">
        <w:tc>
          <w:tcPr>
            <w:tcW w:w="604" w:type="pct"/>
          </w:tcPr>
          <w:p w14:paraId="2DED5A83" w14:textId="77777777" w:rsidR="00215226" w:rsidRPr="00DB4C5A" w:rsidRDefault="00215226" w:rsidP="00EB6345">
            <w:pPr>
              <w:pStyle w:val="Normal-TableText"/>
              <w:rPr>
                <w:rFonts w:eastAsia="Cambria"/>
                <w:szCs w:val="22"/>
              </w:rPr>
            </w:pPr>
            <w:r w:rsidRPr="00DB4C5A">
              <w:rPr>
                <w:szCs w:val="22"/>
              </w:rPr>
              <w:t>Option 2</w:t>
            </w:r>
          </w:p>
        </w:tc>
        <w:tc>
          <w:tcPr>
            <w:tcW w:w="4396" w:type="pct"/>
          </w:tcPr>
          <w:p w14:paraId="05B622CB" w14:textId="77777777" w:rsidR="00215226" w:rsidRPr="00DB4C5A" w:rsidRDefault="00215226" w:rsidP="001C3825">
            <w:pPr>
              <w:pStyle w:val="Bullet1"/>
            </w:pPr>
            <w:r w:rsidRPr="00DB4C5A">
              <w:t>If the notice issued by the Registrar of the ABR cannot be provided, then a legal or regulatory document binding either the individual or the Authoriser to the business entity; and</w:t>
            </w:r>
          </w:p>
          <w:p w14:paraId="376178FF" w14:textId="77777777" w:rsidR="00215226" w:rsidRPr="00DB4C5A" w:rsidRDefault="00215226" w:rsidP="001C3825">
            <w:pPr>
              <w:pStyle w:val="Bullet1"/>
            </w:pPr>
            <w:r w:rsidRPr="00DB4C5A">
              <w:t>Online verification with the ABR to link the Organisation’s ABN to its business name.</w:t>
            </w:r>
          </w:p>
        </w:tc>
      </w:tr>
    </w:tbl>
    <w:p w14:paraId="0B8F91F6" w14:textId="77777777" w:rsidR="00215226" w:rsidRPr="00DB230F" w:rsidRDefault="00215226" w:rsidP="001C3825"/>
    <w:p w14:paraId="1DDF311C" w14:textId="77777777" w:rsidR="00215226" w:rsidRPr="003E302C" w:rsidRDefault="00215226" w:rsidP="001C3825">
      <w:pPr>
        <w:pStyle w:val="Heading1Numbered"/>
      </w:pPr>
      <w:bookmarkStart w:id="306" w:name="_Toc430268949"/>
      <w:r w:rsidRPr="003E302C">
        <w:lastRenderedPageBreak/>
        <w:t>Certification Authority</w:t>
      </w:r>
      <w:bookmarkEnd w:id="306"/>
    </w:p>
    <w:p w14:paraId="166BAF21" w14:textId="77777777" w:rsidR="00215226" w:rsidRPr="003E302C" w:rsidRDefault="00215226" w:rsidP="001C3825">
      <w:pPr>
        <w:pStyle w:val="Heading2Numbered"/>
      </w:pPr>
      <w:bookmarkStart w:id="307" w:name="_Toc426636720"/>
      <w:bookmarkStart w:id="308" w:name="_Toc426640004"/>
      <w:bookmarkStart w:id="309" w:name="_Toc430268950"/>
      <w:r w:rsidRPr="003E302C">
        <w:t>Certification Authority</w:t>
      </w:r>
      <w:bookmarkEnd w:id="307"/>
      <w:bookmarkEnd w:id="308"/>
      <w:bookmarkEnd w:id="309"/>
    </w:p>
    <w:p w14:paraId="3C2A420E" w14:textId="77777777" w:rsidR="00215226" w:rsidRPr="00DB4C5A" w:rsidRDefault="00215226" w:rsidP="009E644C">
      <w:r w:rsidRPr="00DB4C5A">
        <w:t>The CA is the core component of a PKI which issues digital certificates.</w:t>
      </w:r>
      <w:r>
        <w:t xml:space="preserve"> </w:t>
      </w:r>
      <w:r w:rsidRPr="00DB4C5A">
        <w:t>The digital certificates bind a Subscriber’s identity (i.e. subject name) to the public key in the certificate. The CA is also responsible for digital certificate lifecycle operations, including the revocation of certificates.</w:t>
      </w:r>
      <w:r>
        <w:t xml:space="preserve"> </w:t>
      </w:r>
      <w:r w:rsidRPr="00DB4C5A">
        <w:t>This is generally achieved through the use of CRLs, OCSP, or a combination of both.</w:t>
      </w:r>
      <w:r>
        <w:t xml:space="preserve"> </w:t>
      </w:r>
      <w:r w:rsidRPr="00DB4C5A">
        <w:t>The CA can maintain its own certificate status services or delegate this to a separate entity, such as a VA.</w:t>
      </w:r>
    </w:p>
    <w:p w14:paraId="3C34EE59" w14:textId="77777777" w:rsidR="00215226" w:rsidRDefault="00215226" w:rsidP="009E644C">
      <w:r w:rsidRPr="00DB4C5A">
        <w:t>In order to implement a CA effectively, a series of policies are used to govern its operations, including the CPS and CP.</w:t>
      </w:r>
    </w:p>
    <w:p w14:paraId="55A8AF50" w14:textId="77777777" w:rsidR="00215226" w:rsidRPr="00DB4C5A" w:rsidRDefault="00215226" w:rsidP="009E644C">
      <w:pPr>
        <w:pStyle w:val="Bullet1"/>
      </w:pPr>
      <w:r w:rsidRPr="00DB4C5A">
        <w:t>The CPS is a public document which describes the practices that the CA service will employ in managing the certificates it issues.</w:t>
      </w:r>
      <w:r>
        <w:t xml:space="preserve"> </w:t>
      </w:r>
      <w:r w:rsidRPr="00DB4C5A">
        <w:t>These statements describe the PKI certificate framework, mechanism supporting the application, issuance, acceptance, usage, suspension/revocation and expiration of certificates signed by the CA, and the CA’s legal obligations, limitations and miscellaneous provisions.</w:t>
      </w:r>
      <w:r>
        <w:t xml:space="preserve"> </w:t>
      </w:r>
      <w:r w:rsidRPr="00DB4C5A">
        <w:t>This document is evaluated against [AA1983], [PA1988], [PA2012], [RFC3647] and for compliance with the Gatekeeper Core Obligations Policy.</w:t>
      </w:r>
    </w:p>
    <w:p w14:paraId="435A67E1" w14:textId="77777777" w:rsidR="00215226" w:rsidRDefault="00215226" w:rsidP="009E644C">
      <w:pPr>
        <w:pStyle w:val="Bullet1"/>
      </w:pPr>
      <w:r w:rsidRPr="00DB4C5A">
        <w:t>The CP is a document which defines a named set of rules regarding the applicability of a certificate to a particular community and/or class of applications with common security requirements.</w:t>
      </w:r>
      <w:r>
        <w:t xml:space="preserve"> </w:t>
      </w:r>
      <w:r w:rsidRPr="00DB4C5A">
        <w:t>A CP may be used by a Relying Party to help in deciding whether a certificate and the binding therein are sufficiently trustworthy and otherwise appropriate for a particular application. Similar to the CPS, this document is evaluated against [AA1983], [PA1988], [PA2012], [RFC3647] and for compliance with the Gatekeeper Core Obligations Policy.</w:t>
      </w:r>
    </w:p>
    <w:p w14:paraId="7E4FF814" w14:textId="77777777" w:rsidR="00215226" w:rsidRPr="00DB4C5A" w:rsidRDefault="00215226" w:rsidP="009E644C">
      <w:r w:rsidRPr="00DB4C5A">
        <w:t xml:space="preserve">Other documents </w:t>
      </w:r>
      <w:r w:rsidRPr="00D825A0">
        <w:rPr>
          <w:rStyle w:val="Strong"/>
        </w:rPr>
        <w:t>SHOULD</w:t>
      </w:r>
      <w:r w:rsidRPr="00DB4C5A">
        <w:t xml:space="preserve"> also be used, such as service contracts (and associated terms and conditions) or a Subscriber Agreement, which defines the undertakings that Subscriber’s will make in order to obtain and use certificates confirming their identity.</w:t>
      </w:r>
      <w:r>
        <w:t xml:space="preserve"> </w:t>
      </w:r>
      <w:r w:rsidRPr="00DB4C5A">
        <w:t>It is expected that this will be part of the terms and conditions used to encourage user participation in digital service delivery. It is also expected that the Subscriber Agreement will include references to Relying Parties and their responsibilities, or references to Relying Party Agreements, which may also require evaluation.</w:t>
      </w:r>
    </w:p>
    <w:p w14:paraId="5CED1332" w14:textId="77777777" w:rsidR="00215226" w:rsidRPr="003E302C" w:rsidRDefault="00215226" w:rsidP="009E644C">
      <w:pPr>
        <w:pStyle w:val="Heading2Numbered"/>
      </w:pPr>
      <w:bookmarkStart w:id="310" w:name="_Toc426636721"/>
      <w:bookmarkStart w:id="311" w:name="_Toc426640005"/>
      <w:bookmarkStart w:id="312" w:name="_Toc430268951"/>
      <w:r w:rsidRPr="003E302C">
        <w:t>Use of accredited identity proofing Service Providers</w:t>
      </w:r>
      <w:bookmarkEnd w:id="310"/>
      <w:bookmarkEnd w:id="311"/>
      <w:bookmarkEnd w:id="312"/>
    </w:p>
    <w:p w14:paraId="0E064FCA" w14:textId="77777777" w:rsidR="00215226" w:rsidRPr="00DB230F" w:rsidRDefault="00215226" w:rsidP="009E644C">
      <w:pPr>
        <w:pStyle w:val="BoxText"/>
      </w:pPr>
      <w:r w:rsidRPr="00DB230F">
        <w:t xml:space="preserve">CAs </w:t>
      </w:r>
      <w:r w:rsidRPr="00D825A0">
        <w:rPr>
          <w:rStyle w:val="Strong"/>
        </w:rPr>
        <w:t>MUST</w:t>
      </w:r>
      <w:r w:rsidRPr="00DB230F">
        <w:t xml:space="preserve"> use either a Gatekeeper accredited RA or a Verification Service Provider accredited under the Third Party Identity Services Assurance Framework</w:t>
      </w:r>
      <w:r w:rsidRPr="00DB230F">
        <w:rPr>
          <w:rStyle w:val="FootnoteReference"/>
        </w:rPr>
        <w:footnoteReference w:id="21"/>
      </w:r>
      <w:r w:rsidRPr="00DB230F">
        <w:t xml:space="preserve"> for identity proofing</w:t>
      </w:r>
      <w:r>
        <w:rPr>
          <w:rStyle w:val="FootnoteReference"/>
        </w:rPr>
        <w:footnoteReference w:id="22"/>
      </w:r>
      <w:r w:rsidRPr="00DB230F">
        <w:t>.</w:t>
      </w:r>
    </w:p>
    <w:p w14:paraId="232FBE11" w14:textId="77777777" w:rsidR="00215226" w:rsidRDefault="00215226" w:rsidP="009E644C">
      <w:r w:rsidRPr="00DB230F">
        <w:t xml:space="preserve">Gatekeeper Accreditation requires confidence that the functions performed by the CA and the RA interlock satisfactorily to form a consistent and reliable Chain of Trust. The RA acts as an </w:t>
      </w:r>
      <w:r>
        <w:t>intermediary</w:t>
      </w:r>
      <w:r w:rsidRPr="00DB230F">
        <w:t xml:space="preserve"> between Applicants and a CA and provides the essential function of identity proofing.</w:t>
      </w:r>
      <w:r>
        <w:t xml:space="preserve"> </w:t>
      </w:r>
      <w:r w:rsidRPr="00DB230F">
        <w:t>The RA must be trusted to undertake identity proofing on Applicants (and Subscribers), pass accurate certificate requests and (as appropriate) certificate revocation requests to a CA.</w:t>
      </w:r>
    </w:p>
    <w:p w14:paraId="799B692A" w14:textId="77777777" w:rsidR="00215226" w:rsidRDefault="00215226" w:rsidP="009E644C">
      <w:r w:rsidRPr="00DB230F">
        <w:lastRenderedPageBreak/>
        <w:t>Maintaining this trust requires CAs to use the identity proofing function provided by an accredited RA.</w:t>
      </w:r>
      <w:r>
        <w:t xml:space="preserve"> </w:t>
      </w:r>
      <w:r w:rsidRPr="00DB230F">
        <w:t xml:space="preserve">Alternatively, CAs may choose to use a Verification Service Provider accredited under the </w:t>
      </w:r>
      <w:r w:rsidRPr="00E64190">
        <w:rPr>
          <w:rStyle w:val="Emphasis"/>
        </w:rPr>
        <w:t>Third Party Identity Services Assurance Framework</w:t>
      </w:r>
      <w:r w:rsidRPr="00DB230F">
        <w:t xml:space="preserve"> for identity proofing. Such an arrangement will require the CA to choose a Verification Service Provider accredited to a commensurate LOA.</w:t>
      </w:r>
    </w:p>
    <w:p w14:paraId="5A1E6C0A" w14:textId="77777777" w:rsidR="00215226" w:rsidRPr="003E302C" w:rsidRDefault="00215226" w:rsidP="009E644C">
      <w:pPr>
        <w:pStyle w:val="Heading2Numbered"/>
      </w:pPr>
      <w:bookmarkStart w:id="313" w:name="_Toc426636722"/>
      <w:bookmarkStart w:id="314" w:name="_Toc426640006"/>
      <w:bookmarkStart w:id="315" w:name="_Toc430268952"/>
      <w:r w:rsidRPr="003E302C">
        <w:t>Certification Authority security assurance</w:t>
      </w:r>
      <w:bookmarkEnd w:id="313"/>
      <w:bookmarkEnd w:id="314"/>
      <w:bookmarkEnd w:id="315"/>
    </w:p>
    <w:p w14:paraId="5C23982B" w14:textId="77777777" w:rsidR="00215226" w:rsidRDefault="00215226" w:rsidP="009E644C">
      <w:r w:rsidRPr="00DB230F">
        <w:t>Service Providers need confidence that software products and hardware technologies perform as claimed and provide the security necessary to mitigate likely threats.</w:t>
      </w:r>
      <w:r>
        <w:t xml:space="preserve"> </w:t>
      </w:r>
      <w:r w:rsidRPr="00DB230F">
        <w:t>This confidence is best achieved through a formal and impartial security evaluation of the products by an independent entity.</w:t>
      </w:r>
    </w:p>
    <w:p w14:paraId="5C918FF9" w14:textId="77777777" w:rsidR="00215226" w:rsidRPr="00DB230F" w:rsidRDefault="00215226" w:rsidP="009E644C">
      <w:r w:rsidRPr="00DB230F">
        <w:t>The ASD recognises a number of evaluation programs including:</w:t>
      </w:r>
    </w:p>
    <w:p w14:paraId="574D21F1" w14:textId="77777777" w:rsidR="00215226" w:rsidRPr="00DB230F" w:rsidRDefault="00215226" w:rsidP="009E644C">
      <w:pPr>
        <w:pStyle w:val="Bullet1"/>
      </w:pPr>
      <w:r w:rsidRPr="00DB230F">
        <w:t>The Common Criteria scheme through the Australasian Information Security Evaluation Program (AISEP) using licensed commercial facilities to perform evaluation of products.</w:t>
      </w:r>
    </w:p>
    <w:p w14:paraId="451BF643" w14:textId="77777777" w:rsidR="00215226" w:rsidRPr="00DB230F" w:rsidRDefault="00215226" w:rsidP="009E644C">
      <w:pPr>
        <w:pStyle w:val="Bullet1"/>
      </w:pPr>
      <w:r w:rsidRPr="00DB230F">
        <w:t>Security evaluations conducted through the National Information Assurance Partnership (NIAP), a</w:t>
      </w:r>
      <w:r w:rsidR="00426C67">
        <w:t> </w:t>
      </w:r>
      <w:r w:rsidRPr="00DB230F">
        <w:t>Common Criteria Evaluation and Validation Scheme.</w:t>
      </w:r>
    </w:p>
    <w:p w14:paraId="5CC34EC4" w14:textId="77777777" w:rsidR="00215226" w:rsidRPr="00DB230F" w:rsidRDefault="00215226" w:rsidP="009E644C">
      <w:pPr>
        <w:pStyle w:val="Bullet1"/>
      </w:pPr>
      <w:r w:rsidRPr="00DB230F">
        <w:t>Cryptographic product evaluations called an ASD Cryptographic Evaluation (ACE) for products which contain cryptographic functions.</w:t>
      </w:r>
    </w:p>
    <w:p w14:paraId="4BB19AA8" w14:textId="77777777" w:rsidR="00215226" w:rsidRPr="00DB230F" w:rsidRDefault="00215226" w:rsidP="009E644C">
      <w:r w:rsidRPr="00DB230F">
        <w:t>These programs have been established to manage the different characteristics of families of security enforcing technologies.</w:t>
      </w:r>
      <w:r>
        <w:t xml:space="preserve"> </w:t>
      </w:r>
      <w:r w:rsidRPr="00DB230F">
        <w:t>Certification Authorities and digital certificate related technologies are evaluated as part of these programs.</w:t>
      </w:r>
    </w:p>
    <w:p w14:paraId="7786F69F" w14:textId="77777777" w:rsidR="00215226" w:rsidRPr="003E302C" w:rsidRDefault="00215226" w:rsidP="009E644C">
      <w:pPr>
        <w:pStyle w:val="Heading3Numbered"/>
      </w:pPr>
      <w:bookmarkStart w:id="316" w:name="_Toc426636723"/>
      <w:bookmarkStart w:id="317" w:name="_Toc426636849"/>
      <w:bookmarkStart w:id="318" w:name="_Toc426640007"/>
      <w:r w:rsidRPr="003E302C">
        <w:t>The Evaluated Products List</w:t>
      </w:r>
      <w:bookmarkEnd w:id="316"/>
      <w:bookmarkEnd w:id="317"/>
      <w:bookmarkEnd w:id="318"/>
    </w:p>
    <w:p w14:paraId="0FB01891" w14:textId="77777777" w:rsidR="00215226" w:rsidRPr="00DB230F" w:rsidRDefault="00215226" w:rsidP="009E644C">
      <w:r w:rsidRPr="00DB230F">
        <w:t>The ASD maintain a list of products that have been formally and independently evaluated on the Evaluated Products List (EPL).</w:t>
      </w:r>
      <w:r>
        <w:t xml:space="preserve"> </w:t>
      </w:r>
      <w:r w:rsidRPr="00DB230F">
        <w:t>The product listings on the EPL also include important evaluation documentation that provides specific requirements and guidance on the secure use of the product. The EPL is available from the ASD website.</w:t>
      </w:r>
    </w:p>
    <w:p w14:paraId="71AB2E3E" w14:textId="77777777" w:rsidR="00215226" w:rsidRDefault="00215226" w:rsidP="009E644C">
      <w:r w:rsidRPr="00DB230F">
        <w:t>The ASD is in the process of transitioning away from the EPL to Protection Profiles</w:t>
      </w:r>
      <w:r>
        <w:t xml:space="preserve"> (PP)</w:t>
      </w:r>
      <w:r w:rsidRPr="00DB230F">
        <w:t>.</w:t>
      </w:r>
    </w:p>
    <w:p w14:paraId="4F19E9DF" w14:textId="77777777" w:rsidR="00215226" w:rsidRDefault="00215226" w:rsidP="009E644C">
      <w:pPr>
        <w:pStyle w:val="Heading3Numbered"/>
      </w:pPr>
      <w:bookmarkStart w:id="319" w:name="_Toc426636724"/>
      <w:bookmarkStart w:id="320" w:name="_Toc426636850"/>
      <w:bookmarkStart w:id="321" w:name="_Toc426640008"/>
      <w:r w:rsidRPr="003E302C">
        <w:t>Protection Profiles</w:t>
      </w:r>
      <w:bookmarkEnd w:id="319"/>
      <w:bookmarkEnd w:id="320"/>
      <w:bookmarkEnd w:id="321"/>
    </w:p>
    <w:p w14:paraId="302DF8D6" w14:textId="77777777" w:rsidR="00215226" w:rsidRPr="00DB230F" w:rsidRDefault="00215226" w:rsidP="009E644C">
      <w:r w:rsidRPr="00DB230F">
        <w:t>To assist Service Providers in selecting appropriate security products, ASD has introduced approved PP</w:t>
      </w:r>
      <w:r>
        <w:t>s</w:t>
      </w:r>
      <w:r w:rsidRPr="00DB230F">
        <w:t>.</w:t>
      </w:r>
      <w:r>
        <w:t xml:space="preserve"> </w:t>
      </w:r>
      <w:r w:rsidRPr="00DB230F">
        <w:t>A PP is a document that stipulates the security functionality that must be included in a Common Criteria evaluation to meet a range of defined threats.</w:t>
      </w:r>
      <w:r>
        <w:t xml:space="preserve"> </w:t>
      </w:r>
      <w:r w:rsidRPr="00DB230F">
        <w:t xml:space="preserve">Protection Profiles also define the activities to be </w:t>
      </w:r>
      <w:r>
        <w:t>under</w:t>
      </w:r>
      <w:r w:rsidRPr="00DB230F">
        <w:t>taken to assess the security functionality of a product.</w:t>
      </w:r>
      <w:r>
        <w:t xml:space="preserve"> </w:t>
      </w:r>
      <w:r w:rsidRPr="00DB230F">
        <w:t>ASD approved PPs are published on the ASD website.</w:t>
      </w:r>
    </w:p>
    <w:p w14:paraId="6EB00800" w14:textId="77777777" w:rsidR="00215226" w:rsidRPr="00DB230F" w:rsidRDefault="00215226" w:rsidP="009E644C">
      <w:r w:rsidRPr="00DB230F">
        <w:t>Cryptographic security functionality is included in the scope of products evaluated against an ASD approved Protection Profile.</w:t>
      </w:r>
      <w:r>
        <w:t xml:space="preserve"> </w:t>
      </w:r>
      <w:r w:rsidRPr="00DB230F">
        <w:t>ASD is currently establishing cryptographic testing as part of the AISEP and NIAP Common Criteria evaluations.</w:t>
      </w:r>
      <w:r>
        <w:t xml:space="preserve"> </w:t>
      </w:r>
      <w:r w:rsidRPr="00DB230F">
        <w:t>When this is established, evaluations against an ASD approved PP may undergo a simplified ACE process.</w:t>
      </w:r>
      <w:r>
        <w:t xml:space="preserve"> </w:t>
      </w:r>
      <w:r w:rsidRPr="00DB230F">
        <w:t>This will assist in reducing the completion time taken to perform the evaluation.</w:t>
      </w:r>
    </w:p>
    <w:p w14:paraId="722FD52B" w14:textId="77777777" w:rsidR="00215226" w:rsidRPr="00DB230F" w:rsidRDefault="00215226" w:rsidP="009E644C">
      <w:r w:rsidRPr="00DB230F">
        <w:t xml:space="preserve">To facilitate the transition to ASD approved PPs, a cap of Evaluation Assurance Level (EAL) 2 applies for all traditional EAL based </w:t>
      </w:r>
      <w:r>
        <w:t>assessments</w:t>
      </w:r>
      <w:r w:rsidRPr="00DB230F">
        <w:t xml:space="preserve"> performed in the AISEP, including those technologies with no existing ASD approved Protection Profile.</w:t>
      </w:r>
      <w:r>
        <w:t xml:space="preserve"> </w:t>
      </w:r>
      <w:r w:rsidRPr="00DB230F">
        <w:t>Evaluations conducted in other nations’ Common Criteria schemes will still be recognised by ASD.</w:t>
      </w:r>
    </w:p>
    <w:p w14:paraId="3011C57D" w14:textId="77777777" w:rsidR="00215226" w:rsidRPr="00DB230F" w:rsidRDefault="00215226" w:rsidP="009E644C">
      <w:pPr>
        <w:pStyle w:val="BoxText"/>
      </w:pPr>
      <w:r w:rsidRPr="00DB230F">
        <w:lastRenderedPageBreak/>
        <w:t xml:space="preserve">Service Providers </w:t>
      </w:r>
      <w:r w:rsidRPr="00D825A0">
        <w:rPr>
          <w:rStyle w:val="Strong"/>
        </w:rPr>
        <w:t>MUST</w:t>
      </w:r>
      <w:r w:rsidRPr="00DB230F">
        <w:t xml:space="preserve"> use accredited software and hardware products that have undergone a security evaluation through an ASD recognised evaluation program.</w:t>
      </w:r>
    </w:p>
    <w:p w14:paraId="34D2116C" w14:textId="77777777" w:rsidR="00215226" w:rsidRPr="00D825A0" w:rsidRDefault="00215226" w:rsidP="009E644C">
      <w:pPr>
        <w:pStyle w:val="BoxText"/>
        <w:rPr>
          <w:rStyle w:val="Strong"/>
        </w:rPr>
      </w:pPr>
      <w:bookmarkStart w:id="322" w:name="_Toc397950915"/>
      <w:r w:rsidRPr="00DB230F">
        <w:t xml:space="preserve">Service Providers wishing to use an evaluated product in an unevaluated configuration </w:t>
      </w:r>
      <w:r w:rsidRPr="00D825A0">
        <w:rPr>
          <w:rStyle w:val="Strong"/>
        </w:rPr>
        <w:t>MUST</w:t>
      </w:r>
      <w:r w:rsidRPr="00DB230F">
        <w:t xml:space="preserve"> undertake a security risk assessment including:</w:t>
      </w:r>
      <w:bookmarkEnd w:id="322"/>
    </w:p>
    <w:p w14:paraId="79F31ADF" w14:textId="77777777" w:rsidR="00215226" w:rsidRDefault="00215226" w:rsidP="009E644C">
      <w:pPr>
        <w:pStyle w:val="BoxBullet1"/>
      </w:pPr>
      <w:r w:rsidRPr="00DB230F">
        <w:t>The necessity of the unevaluated configuration,</w:t>
      </w:r>
    </w:p>
    <w:p w14:paraId="7E5AD784" w14:textId="77777777" w:rsidR="00215226" w:rsidRDefault="00215226" w:rsidP="009E644C">
      <w:pPr>
        <w:pStyle w:val="BoxBullet1"/>
      </w:pPr>
      <w:r w:rsidRPr="00DB230F">
        <w:t>Testing of the unevaluated configuration in the Service Provider’s environment, and</w:t>
      </w:r>
    </w:p>
    <w:p w14:paraId="7E0AE28D" w14:textId="77777777" w:rsidR="00215226" w:rsidRDefault="00215226" w:rsidP="009E644C">
      <w:pPr>
        <w:pStyle w:val="BoxBullet1"/>
      </w:pPr>
      <w:r w:rsidRPr="00DB230F">
        <w:t>New vulnerabilities introduced due to the product being used outside of its evaluated configuration.</w:t>
      </w:r>
    </w:p>
    <w:p w14:paraId="02A24851" w14:textId="77777777" w:rsidR="00215226" w:rsidRPr="003E302C" w:rsidRDefault="00215226" w:rsidP="009E644C">
      <w:pPr>
        <w:pStyle w:val="Heading2Numbered"/>
      </w:pPr>
      <w:bookmarkStart w:id="323" w:name="_Toc426636725"/>
      <w:bookmarkStart w:id="324" w:name="_Toc426640009"/>
      <w:bookmarkStart w:id="325" w:name="_Toc430268953"/>
      <w:bookmarkStart w:id="326" w:name="_Ref430785178"/>
      <w:bookmarkStart w:id="327" w:name="_Ref433901260"/>
      <w:bookmarkStart w:id="328" w:name="_Ref433901264"/>
      <w:r w:rsidRPr="003E302C">
        <w:t>Certification Authority Levels of Assurance</w:t>
      </w:r>
      <w:bookmarkEnd w:id="323"/>
      <w:bookmarkEnd w:id="324"/>
      <w:bookmarkEnd w:id="325"/>
      <w:bookmarkEnd w:id="326"/>
      <w:bookmarkEnd w:id="327"/>
      <w:bookmarkEnd w:id="328"/>
    </w:p>
    <w:p w14:paraId="26BD001A" w14:textId="77777777" w:rsidR="00215226" w:rsidRDefault="00215226" w:rsidP="009E644C">
      <w:r w:rsidRPr="000713E6">
        <w:t xml:space="preserve">This section (and the subsequent table) details the assurance requirements to be met by CAs including the requirements to be when issuing certificates to PKI management entities and Subscribers. Each level defines the minimum criteria that </w:t>
      </w:r>
      <w:r w:rsidRPr="00D825A0">
        <w:rPr>
          <w:rStyle w:val="Strong"/>
        </w:rPr>
        <w:t>MUST</w:t>
      </w:r>
      <w:r w:rsidRPr="000713E6">
        <w:t xml:space="preserve"> be met in order to gain and maintain accreditation at a particular assurance level.</w:t>
      </w:r>
    </w:p>
    <w:p w14:paraId="3BB9B386" w14:textId="77777777" w:rsidR="00215226" w:rsidRPr="000713E6" w:rsidRDefault="00215226" w:rsidP="009E644C">
      <w:pPr>
        <w:pStyle w:val="Heading3"/>
      </w:pPr>
      <w:r w:rsidRPr="000713E6">
        <w:t>LOA 1</w:t>
      </w:r>
    </w:p>
    <w:p w14:paraId="5E28F07F" w14:textId="77777777" w:rsidR="00215226" w:rsidRPr="000713E6" w:rsidRDefault="00215226" w:rsidP="00FF121B">
      <w:pPr>
        <w:spacing w:before="180"/>
      </w:pPr>
      <w:r w:rsidRPr="000713E6">
        <w:t>This level is intended for Subscribers handling information of little or no value within minimally secured environments.</w:t>
      </w:r>
      <w:r>
        <w:t xml:space="preserve"> </w:t>
      </w:r>
      <w:r w:rsidRPr="000713E6">
        <w:t>Digital certificates at this level require no or low assurance of the binding between the identity of the entity named in the certificate and the Subscriber. The keys and certificates can only be generated in a software security module and be stored in a software form factor.</w:t>
      </w:r>
      <w:r>
        <w:t xml:space="preserve"> </w:t>
      </w:r>
      <w:r w:rsidRPr="000713E6">
        <w:t>Given the limited assurance provided, a Key Usage of non-repudiation is not permitted, nor are Extended Key Usages of smartcard logon or code signing.</w:t>
      </w:r>
    </w:p>
    <w:p w14:paraId="639F29A7" w14:textId="77777777" w:rsidR="00215226" w:rsidRPr="000713E6" w:rsidRDefault="00215226" w:rsidP="009E644C">
      <w:pPr>
        <w:pStyle w:val="Heading3"/>
      </w:pPr>
      <w:r w:rsidRPr="000713E6">
        <w:t>LOA 2</w:t>
      </w:r>
    </w:p>
    <w:p w14:paraId="6C0DCC9F" w14:textId="77777777" w:rsidR="00215226" w:rsidRDefault="00215226" w:rsidP="00FF121B">
      <w:pPr>
        <w:spacing w:before="180"/>
      </w:pPr>
      <w:r w:rsidRPr="000713E6">
        <w:t>This level is intended for Subscribers handling information of some value within moderately secured environments. Digital certificates at this level require some assurance of the binding between the identity of the entity named in the certificate and the Subscriber.</w:t>
      </w:r>
      <w:r>
        <w:t xml:space="preserve"> </w:t>
      </w:r>
      <w:r w:rsidRPr="000713E6">
        <w:t>The keys and certificates can be generated in either a software or hardware security module and can be stored in either a software or hardware form factor. There are no limits on the permissible Key Usages or Extended Key Usages.</w:t>
      </w:r>
    </w:p>
    <w:p w14:paraId="686FF19C" w14:textId="77777777" w:rsidR="00215226" w:rsidRPr="000713E6" w:rsidRDefault="00215226" w:rsidP="009E644C">
      <w:pPr>
        <w:pStyle w:val="Heading3"/>
      </w:pPr>
      <w:r w:rsidRPr="000713E6">
        <w:t>LOA 3</w:t>
      </w:r>
    </w:p>
    <w:p w14:paraId="2994E5A2" w14:textId="77777777" w:rsidR="00215226" w:rsidRDefault="00215226" w:rsidP="00FF121B">
      <w:pPr>
        <w:spacing w:before="180"/>
      </w:pPr>
      <w:r w:rsidRPr="000713E6">
        <w:t>This level is intended for Subscribers handling information of high value within highly secure environments.</w:t>
      </w:r>
      <w:r>
        <w:t xml:space="preserve"> </w:t>
      </w:r>
      <w:r w:rsidRPr="000713E6">
        <w:t>Digital certificates at this level require high assurance of the binding between the identity of the entity named in the certificate and the certificate holder.</w:t>
      </w:r>
      <w:r>
        <w:t xml:space="preserve"> </w:t>
      </w:r>
      <w:r w:rsidRPr="000713E6">
        <w:t>The keys and certificates can be generated in either a software or hardware security module and can be stored in either a software or hardware form factor. PIN unlocks are required each time the private key is activated.</w:t>
      </w:r>
    </w:p>
    <w:p w14:paraId="503A4A46" w14:textId="77777777" w:rsidR="00215226" w:rsidRPr="000713E6" w:rsidRDefault="00215226" w:rsidP="009E644C">
      <w:pPr>
        <w:pStyle w:val="Heading3"/>
      </w:pPr>
      <w:r w:rsidRPr="000713E6">
        <w:t>LOA 4</w:t>
      </w:r>
    </w:p>
    <w:p w14:paraId="674031C6" w14:textId="77777777" w:rsidR="00215226" w:rsidRDefault="00215226" w:rsidP="00FF121B">
      <w:pPr>
        <w:spacing w:before="180"/>
      </w:pPr>
      <w:r w:rsidRPr="000713E6">
        <w:t>This level is intended for Subscribers handling information of very high value within very highly secure environments.</w:t>
      </w:r>
      <w:r>
        <w:t xml:space="preserve"> </w:t>
      </w:r>
      <w:r w:rsidRPr="000713E6">
        <w:t>Digital certificates at this level require very high assurance of the binding between the identity of the entity named in the certificate and the certificate holder.</w:t>
      </w:r>
      <w:r>
        <w:t xml:space="preserve"> </w:t>
      </w:r>
      <w:r w:rsidRPr="000713E6">
        <w:t>The keys and certificates can only be generated in a hardware security module and can only be stored in a hardware form factor. PIN unlocks are required each time the private key is activated. No Lone Zones are required for all environments that house a CA.</w:t>
      </w:r>
    </w:p>
    <w:p w14:paraId="2D3BEDAC" w14:textId="220CB3A5" w:rsidR="003602BB" w:rsidRDefault="003602BB" w:rsidP="009E644C">
      <w:r w:rsidRPr="00DB230F">
        <w:t>The following table details the requirements to be met at each LOA</w:t>
      </w:r>
    </w:p>
    <w:p w14:paraId="6F19B221" w14:textId="77777777" w:rsidR="006E7E2C" w:rsidRDefault="006E7E2C" w:rsidP="009E644C">
      <w:pPr>
        <w:sectPr w:rsidR="006E7E2C" w:rsidSect="00D3101B">
          <w:footerReference w:type="default" r:id="rId36"/>
          <w:pgSz w:w="11906" w:h="16838" w:code="9"/>
          <w:pgMar w:top="1418" w:right="1418" w:bottom="1134" w:left="1418" w:header="567" w:footer="567" w:gutter="0"/>
          <w:cols w:space="708"/>
          <w:docGrid w:linePitch="360"/>
        </w:sectPr>
      </w:pP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556"/>
        <w:gridCol w:w="2433"/>
        <w:gridCol w:w="3041"/>
        <w:gridCol w:w="2607"/>
        <w:gridCol w:w="2652"/>
        <w:gridCol w:w="1987"/>
      </w:tblGrid>
      <w:tr w:rsidR="00215226" w:rsidRPr="003602BB" w14:paraId="3D823CC3" w14:textId="77777777" w:rsidTr="003602BB">
        <w:trPr>
          <w:cnfStyle w:val="100000000000" w:firstRow="1" w:lastRow="0" w:firstColumn="0" w:lastColumn="0" w:oddVBand="0" w:evenVBand="0" w:oddHBand="0" w:evenHBand="0" w:firstRowFirstColumn="0" w:firstRowLastColumn="0" w:lastRowFirstColumn="0" w:lastRowLastColumn="0"/>
          <w:trHeight w:val="113"/>
          <w:tblHeader/>
        </w:trPr>
        <w:tc>
          <w:tcPr>
            <w:tcW w:w="1397" w:type="pct"/>
            <w:gridSpan w:val="2"/>
          </w:tcPr>
          <w:p w14:paraId="47D3833D" w14:textId="77777777" w:rsidR="00215226" w:rsidRPr="003602BB" w:rsidRDefault="00215226" w:rsidP="003602BB">
            <w:pPr>
              <w:pStyle w:val="Normal-TableText"/>
            </w:pPr>
          </w:p>
        </w:tc>
        <w:tc>
          <w:tcPr>
            <w:tcW w:w="1065" w:type="pct"/>
          </w:tcPr>
          <w:p w14:paraId="185EA0B1" w14:textId="77777777" w:rsidR="00215226" w:rsidRPr="003602BB" w:rsidRDefault="00215226" w:rsidP="003602BB">
            <w:pPr>
              <w:pStyle w:val="Normal-TableText"/>
              <w:rPr>
                <w:rFonts w:eastAsia="Cambria"/>
              </w:rPr>
            </w:pPr>
            <w:r w:rsidRPr="00E64190">
              <w:t>LOA 1</w:t>
            </w:r>
          </w:p>
        </w:tc>
        <w:tc>
          <w:tcPr>
            <w:tcW w:w="913" w:type="pct"/>
          </w:tcPr>
          <w:p w14:paraId="01475E80" w14:textId="77777777" w:rsidR="00215226" w:rsidRPr="003602BB" w:rsidRDefault="00215226" w:rsidP="003602BB">
            <w:pPr>
              <w:pStyle w:val="Normal-TableText"/>
              <w:rPr>
                <w:rFonts w:eastAsia="Cambria"/>
              </w:rPr>
            </w:pPr>
            <w:r w:rsidRPr="00E64190">
              <w:t>LOA 2</w:t>
            </w:r>
          </w:p>
        </w:tc>
        <w:tc>
          <w:tcPr>
            <w:tcW w:w="929" w:type="pct"/>
          </w:tcPr>
          <w:p w14:paraId="2A0110D2" w14:textId="77777777" w:rsidR="00215226" w:rsidRPr="003602BB" w:rsidRDefault="00215226" w:rsidP="003602BB">
            <w:pPr>
              <w:pStyle w:val="Normal-TableText"/>
              <w:rPr>
                <w:rFonts w:eastAsia="Cambria"/>
              </w:rPr>
            </w:pPr>
            <w:r w:rsidRPr="00E64190">
              <w:t>LOA 3</w:t>
            </w:r>
          </w:p>
        </w:tc>
        <w:tc>
          <w:tcPr>
            <w:tcW w:w="696" w:type="pct"/>
          </w:tcPr>
          <w:p w14:paraId="05EF043D" w14:textId="77777777" w:rsidR="00215226" w:rsidRPr="003602BB" w:rsidRDefault="00215226" w:rsidP="003602BB">
            <w:pPr>
              <w:pStyle w:val="Normal-TableText"/>
              <w:rPr>
                <w:rFonts w:eastAsia="Cambria"/>
              </w:rPr>
            </w:pPr>
            <w:r w:rsidRPr="00E64190">
              <w:t>LOA 4</w:t>
            </w:r>
          </w:p>
        </w:tc>
      </w:tr>
      <w:tr w:rsidR="00215226" w:rsidRPr="003602BB" w14:paraId="6EFD2B85" w14:textId="77777777" w:rsidTr="003602BB">
        <w:trPr>
          <w:trHeight w:val="113"/>
        </w:trPr>
        <w:tc>
          <w:tcPr>
            <w:tcW w:w="5000" w:type="pct"/>
            <w:gridSpan w:val="6"/>
            <w:shd w:val="clear" w:color="auto" w:fill="DEEAF6" w:themeFill="accent1" w:themeFillTint="33"/>
          </w:tcPr>
          <w:p w14:paraId="4861E78F" w14:textId="77777777" w:rsidR="00215226" w:rsidRPr="003602BB" w:rsidRDefault="00215226" w:rsidP="003602BB">
            <w:pPr>
              <w:pStyle w:val="Normal-TableText"/>
              <w:rPr>
                <w:rStyle w:val="Strong"/>
              </w:rPr>
            </w:pPr>
            <w:r w:rsidRPr="003602BB">
              <w:rPr>
                <w:rStyle w:val="Strong"/>
              </w:rPr>
              <w:t>CA Protections</w:t>
            </w:r>
          </w:p>
        </w:tc>
      </w:tr>
      <w:tr w:rsidR="00215226" w:rsidRPr="003602BB" w14:paraId="701622C5" w14:textId="77777777" w:rsidTr="003602BB">
        <w:trPr>
          <w:trHeight w:val="113"/>
        </w:trPr>
        <w:tc>
          <w:tcPr>
            <w:tcW w:w="1397" w:type="pct"/>
            <w:gridSpan w:val="2"/>
          </w:tcPr>
          <w:p w14:paraId="017B6D9A" w14:textId="77777777" w:rsidR="00215226" w:rsidRPr="003602BB" w:rsidRDefault="00215226" w:rsidP="003602BB">
            <w:pPr>
              <w:pStyle w:val="Normal-TableText"/>
            </w:pPr>
            <w:r w:rsidRPr="003602BB">
              <w:t>Minimum Physical Security</w:t>
            </w:r>
            <w:r w:rsidRPr="003602BB">
              <w:rPr>
                <w:rStyle w:val="FootnoteReference"/>
              </w:rPr>
              <w:footnoteReference w:id="23"/>
            </w:r>
          </w:p>
          <w:p w14:paraId="77287027" w14:textId="77777777" w:rsidR="00215226" w:rsidRPr="003602BB" w:rsidRDefault="00215226" w:rsidP="003602BB">
            <w:pPr>
              <w:pStyle w:val="Normal-TableText"/>
            </w:pPr>
            <w:r w:rsidRPr="003602BB">
              <w:t>No Lone Zones</w:t>
            </w:r>
          </w:p>
        </w:tc>
        <w:tc>
          <w:tcPr>
            <w:tcW w:w="1065" w:type="pct"/>
          </w:tcPr>
          <w:p w14:paraId="656385BF" w14:textId="77777777" w:rsidR="00215226" w:rsidRPr="003602BB" w:rsidRDefault="00215226" w:rsidP="003602BB">
            <w:pPr>
              <w:pStyle w:val="Normal-TableText"/>
            </w:pPr>
            <w:r w:rsidRPr="003602BB">
              <w:t>ZONE 1</w:t>
            </w:r>
          </w:p>
          <w:p w14:paraId="360EE640" w14:textId="77777777" w:rsidR="00215226" w:rsidRPr="003602BB" w:rsidRDefault="00215226" w:rsidP="003602BB">
            <w:pPr>
              <w:pStyle w:val="Normal-TableText"/>
              <w:rPr>
                <w:rFonts w:eastAsia="Cambria"/>
              </w:rPr>
            </w:pPr>
            <w:r w:rsidRPr="003602BB">
              <w:t>No Stipulation</w:t>
            </w:r>
          </w:p>
        </w:tc>
        <w:tc>
          <w:tcPr>
            <w:tcW w:w="913" w:type="pct"/>
          </w:tcPr>
          <w:p w14:paraId="74A3F45F" w14:textId="77777777" w:rsidR="00215226" w:rsidRPr="003602BB" w:rsidRDefault="00215226" w:rsidP="003602BB">
            <w:pPr>
              <w:pStyle w:val="Normal-TableText"/>
            </w:pPr>
            <w:r w:rsidRPr="003602BB">
              <w:t>ZONE 2</w:t>
            </w:r>
          </w:p>
          <w:p w14:paraId="50E2D985" w14:textId="77777777" w:rsidR="00215226" w:rsidRPr="003602BB" w:rsidRDefault="00215226" w:rsidP="003602BB">
            <w:pPr>
              <w:pStyle w:val="Normal-TableText"/>
              <w:rPr>
                <w:rFonts w:eastAsia="Cambria"/>
              </w:rPr>
            </w:pPr>
            <w:r w:rsidRPr="003602BB">
              <w:t>As per LOA 1</w:t>
            </w:r>
          </w:p>
        </w:tc>
        <w:tc>
          <w:tcPr>
            <w:tcW w:w="929" w:type="pct"/>
          </w:tcPr>
          <w:p w14:paraId="29BFAAA5" w14:textId="77777777" w:rsidR="00215226" w:rsidRPr="003602BB" w:rsidRDefault="00215226" w:rsidP="003602BB">
            <w:pPr>
              <w:pStyle w:val="Normal-TableText"/>
            </w:pPr>
            <w:r w:rsidRPr="003602BB">
              <w:t>ZONE 3</w:t>
            </w:r>
          </w:p>
          <w:p w14:paraId="390241ED" w14:textId="77777777" w:rsidR="00215226" w:rsidRPr="003602BB" w:rsidRDefault="00215226" w:rsidP="003602BB">
            <w:pPr>
              <w:pStyle w:val="Normal-TableText"/>
              <w:rPr>
                <w:rFonts w:eastAsia="Cambria"/>
              </w:rPr>
            </w:pPr>
            <w:r w:rsidRPr="003602BB">
              <w:t>As per LOA 1</w:t>
            </w:r>
          </w:p>
        </w:tc>
        <w:tc>
          <w:tcPr>
            <w:tcW w:w="696" w:type="pct"/>
          </w:tcPr>
          <w:p w14:paraId="26A7ED9A" w14:textId="77777777" w:rsidR="00215226" w:rsidRPr="003602BB" w:rsidRDefault="00215226" w:rsidP="003602BB">
            <w:pPr>
              <w:pStyle w:val="Normal-TableText"/>
            </w:pPr>
            <w:r w:rsidRPr="003602BB">
              <w:t>As per LOA 3</w:t>
            </w:r>
          </w:p>
          <w:p w14:paraId="1352F1E2" w14:textId="77777777" w:rsidR="00215226" w:rsidRPr="003602BB" w:rsidRDefault="00215226" w:rsidP="003602BB">
            <w:pPr>
              <w:pStyle w:val="Normal-TableText"/>
              <w:rPr>
                <w:rFonts w:eastAsia="Cambria"/>
              </w:rPr>
            </w:pPr>
            <w:r w:rsidRPr="003602BB">
              <w:t>Required</w:t>
            </w:r>
          </w:p>
        </w:tc>
      </w:tr>
      <w:tr w:rsidR="00215226" w:rsidRPr="003602BB" w14:paraId="4010CFDE" w14:textId="77777777" w:rsidTr="003602BB">
        <w:trPr>
          <w:trHeight w:val="113"/>
        </w:trPr>
        <w:tc>
          <w:tcPr>
            <w:tcW w:w="1397" w:type="pct"/>
            <w:gridSpan w:val="2"/>
          </w:tcPr>
          <w:p w14:paraId="1C40DE33" w14:textId="77777777" w:rsidR="00215226" w:rsidRPr="003602BB" w:rsidRDefault="00215226" w:rsidP="003602BB">
            <w:pPr>
              <w:pStyle w:val="Normal-TableText"/>
            </w:pPr>
            <w:r w:rsidRPr="003602BB">
              <w:t>Security Assurance of CA products (including infrastructure and HSMs)</w:t>
            </w:r>
          </w:p>
        </w:tc>
        <w:tc>
          <w:tcPr>
            <w:tcW w:w="1065" w:type="pct"/>
          </w:tcPr>
          <w:p w14:paraId="7F98FD1A" w14:textId="77777777" w:rsidR="00215226" w:rsidRPr="003602BB" w:rsidRDefault="00215226" w:rsidP="003602BB">
            <w:pPr>
              <w:pStyle w:val="Normal-TableText"/>
            </w:pPr>
            <w:r w:rsidRPr="003602BB">
              <w:t>EAL 2 or PP</w:t>
            </w:r>
          </w:p>
        </w:tc>
        <w:tc>
          <w:tcPr>
            <w:tcW w:w="913" w:type="pct"/>
          </w:tcPr>
          <w:p w14:paraId="2B32BF97" w14:textId="77777777" w:rsidR="00215226" w:rsidRPr="003602BB" w:rsidRDefault="00215226" w:rsidP="003602BB">
            <w:pPr>
              <w:pStyle w:val="Normal-TableText"/>
              <w:rPr>
                <w:rFonts w:eastAsia="Cambria"/>
              </w:rPr>
            </w:pPr>
            <w:r w:rsidRPr="003602BB">
              <w:t>As per LOA 1</w:t>
            </w:r>
          </w:p>
        </w:tc>
        <w:tc>
          <w:tcPr>
            <w:tcW w:w="929" w:type="pct"/>
          </w:tcPr>
          <w:p w14:paraId="54ECC21F" w14:textId="77777777" w:rsidR="00215226" w:rsidRPr="003602BB" w:rsidRDefault="00215226" w:rsidP="003602BB">
            <w:pPr>
              <w:pStyle w:val="Normal-TableText"/>
              <w:rPr>
                <w:rFonts w:eastAsia="Cambria"/>
              </w:rPr>
            </w:pPr>
            <w:r w:rsidRPr="003602BB">
              <w:t>As per LOA 1</w:t>
            </w:r>
          </w:p>
        </w:tc>
        <w:tc>
          <w:tcPr>
            <w:tcW w:w="696" w:type="pct"/>
          </w:tcPr>
          <w:p w14:paraId="19DFF6EE" w14:textId="77777777" w:rsidR="00215226" w:rsidRPr="003602BB" w:rsidRDefault="00215226" w:rsidP="003602BB">
            <w:pPr>
              <w:pStyle w:val="Normal-TableText"/>
              <w:rPr>
                <w:rFonts w:eastAsia="Cambria"/>
              </w:rPr>
            </w:pPr>
            <w:r w:rsidRPr="003602BB">
              <w:t>As per LOA 1</w:t>
            </w:r>
          </w:p>
        </w:tc>
      </w:tr>
      <w:tr w:rsidR="00215226" w:rsidRPr="003602BB" w14:paraId="29F4DF8E" w14:textId="77777777" w:rsidTr="003602BB">
        <w:trPr>
          <w:trHeight w:val="113"/>
        </w:trPr>
        <w:tc>
          <w:tcPr>
            <w:tcW w:w="1397" w:type="pct"/>
            <w:gridSpan w:val="2"/>
          </w:tcPr>
          <w:p w14:paraId="60035575" w14:textId="77777777" w:rsidR="00215226" w:rsidRPr="003602BB" w:rsidRDefault="00215226" w:rsidP="003602BB">
            <w:pPr>
              <w:pStyle w:val="Normal-TableText"/>
            </w:pPr>
            <w:r w:rsidRPr="003602BB">
              <w:t>Minimum Personnel Security (Clearance)</w:t>
            </w:r>
            <w:r w:rsidRPr="003602BB">
              <w:rPr>
                <w:rStyle w:val="FootnoteReference"/>
              </w:rPr>
              <w:footnoteReference w:id="24"/>
            </w:r>
          </w:p>
        </w:tc>
        <w:tc>
          <w:tcPr>
            <w:tcW w:w="1065" w:type="pct"/>
          </w:tcPr>
          <w:p w14:paraId="7AF25339" w14:textId="77777777" w:rsidR="00215226" w:rsidRPr="003602BB" w:rsidRDefault="00215226" w:rsidP="003602BB">
            <w:pPr>
              <w:pStyle w:val="Normal-TableText"/>
              <w:rPr>
                <w:rFonts w:eastAsia="Cambria"/>
              </w:rPr>
            </w:pPr>
            <w:r w:rsidRPr="003602BB">
              <w:t>Baseline</w:t>
            </w:r>
          </w:p>
        </w:tc>
        <w:tc>
          <w:tcPr>
            <w:tcW w:w="913" w:type="pct"/>
          </w:tcPr>
          <w:p w14:paraId="3D6FBD39" w14:textId="77777777" w:rsidR="00215226" w:rsidRPr="003602BB" w:rsidRDefault="00215226" w:rsidP="003602BB">
            <w:pPr>
              <w:pStyle w:val="Normal-TableText"/>
              <w:rPr>
                <w:rFonts w:eastAsia="Cambria"/>
              </w:rPr>
            </w:pPr>
            <w:r w:rsidRPr="003602BB">
              <w:t>As per LOA 1</w:t>
            </w:r>
          </w:p>
        </w:tc>
        <w:tc>
          <w:tcPr>
            <w:tcW w:w="929" w:type="pct"/>
          </w:tcPr>
          <w:p w14:paraId="02BB15F1" w14:textId="77777777" w:rsidR="00215226" w:rsidRPr="003602BB" w:rsidRDefault="00215226" w:rsidP="003602BB">
            <w:pPr>
              <w:pStyle w:val="Normal-TableText"/>
              <w:rPr>
                <w:rFonts w:eastAsia="Cambria"/>
              </w:rPr>
            </w:pPr>
            <w:r w:rsidRPr="003602BB">
              <w:t>As per LOA 1</w:t>
            </w:r>
          </w:p>
        </w:tc>
        <w:tc>
          <w:tcPr>
            <w:tcW w:w="696" w:type="pct"/>
          </w:tcPr>
          <w:p w14:paraId="5E45770C" w14:textId="77777777" w:rsidR="00215226" w:rsidRPr="003602BB" w:rsidRDefault="00215226" w:rsidP="003602BB">
            <w:pPr>
              <w:pStyle w:val="Normal-TableText"/>
              <w:rPr>
                <w:rFonts w:eastAsia="Cambria"/>
              </w:rPr>
            </w:pPr>
            <w:r w:rsidRPr="003602BB">
              <w:t>As per LOA 1</w:t>
            </w:r>
          </w:p>
        </w:tc>
      </w:tr>
      <w:tr w:rsidR="00215226" w:rsidRPr="003602BB" w14:paraId="529B0D57" w14:textId="77777777" w:rsidTr="003602BB">
        <w:trPr>
          <w:trHeight w:val="113"/>
        </w:trPr>
        <w:tc>
          <w:tcPr>
            <w:tcW w:w="545" w:type="pct"/>
            <w:vMerge w:val="restart"/>
          </w:tcPr>
          <w:p w14:paraId="32310D0C" w14:textId="77777777" w:rsidR="00215226" w:rsidRPr="003602BB" w:rsidRDefault="00215226" w:rsidP="003602BB">
            <w:pPr>
              <w:pStyle w:val="Normal-TableText"/>
            </w:pPr>
            <w:r w:rsidRPr="003602BB">
              <w:t>Certificate Validity Periods</w:t>
            </w:r>
            <w:r w:rsidRPr="003602BB">
              <w:rPr>
                <w:rStyle w:val="FootnoteReference"/>
              </w:rPr>
              <w:footnoteReference w:id="25"/>
            </w:r>
          </w:p>
        </w:tc>
        <w:tc>
          <w:tcPr>
            <w:tcW w:w="852" w:type="pct"/>
          </w:tcPr>
          <w:p w14:paraId="1ECE639F" w14:textId="77777777" w:rsidR="00215226" w:rsidRPr="003602BB" w:rsidRDefault="00215226" w:rsidP="003602BB">
            <w:pPr>
              <w:pStyle w:val="Normal-TableText"/>
              <w:rPr>
                <w:rFonts w:eastAsia="Cambria"/>
              </w:rPr>
            </w:pPr>
            <w:r w:rsidRPr="003602BB">
              <w:t>Root CA</w:t>
            </w:r>
          </w:p>
        </w:tc>
        <w:tc>
          <w:tcPr>
            <w:tcW w:w="1065" w:type="pct"/>
          </w:tcPr>
          <w:p w14:paraId="6ED09191" w14:textId="77777777" w:rsidR="00215226" w:rsidRPr="003602BB" w:rsidRDefault="00215226" w:rsidP="003602BB">
            <w:pPr>
              <w:pStyle w:val="Normal-TableText"/>
            </w:pPr>
            <w:r w:rsidRPr="003602BB">
              <w:t>112-bit entropy =20 yr max</w:t>
            </w:r>
          </w:p>
          <w:p w14:paraId="526D5A77" w14:textId="77777777" w:rsidR="00215226" w:rsidRPr="003602BB" w:rsidRDefault="00215226" w:rsidP="003602BB">
            <w:pPr>
              <w:pStyle w:val="Normal-TableText"/>
              <w:rPr>
                <w:rFonts w:eastAsia="Cambria"/>
              </w:rPr>
            </w:pPr>
            <w:r w:rsidRPr="003602BB">
              <w:t>128-bit+ entropy = 30 yr max</w:t>
            </w:r>
          </w:p>
        </w:tc>
        <w:tc>
          <w:tcPr>
            <w:tcW w:w="913" w:type="pct"/>
          </w:tcPr>
          <w:p w14:paraId="48346B8F" w14:textId="77777777" w:rsidR="00215226" w:rsidRPr="003602BB" w:rsidRDefault="00215226" w:rsidP="003602BB">
            <w:pPr>
              <w:pStyle w:val="Normal-TableText"/>
              <w:rPr>
                <w:rFonts w:eastAsia="Cambria"/>
              </w:rPr>
            </w:pPr>
            <w:r w:rsidRPr="003602BB">
              <w:t>As per LOA 1</w:t>
            </w:r>
          </w:p>
        </w:tc>
        <w:tc>
          <w:tcPr>
            <w:tcW w:w="929" w:type="pct"/>
          </w:tcPr>
          <w:p w14:paraId="1E0F2F1C" w14:textId="77777777" w:rsidR="00215226" w:rsidRPr="003602BB" w:rsidRDefault="00215226" w:rsidP="003602BB">
            <w:pPr>
              <w:pStyle w:val="Normal-TableText"/>
              <w:rPr>
                <w:rFonts w:eastAsia="Cambria"/>
              </w:rPr>
            </w:pPr>
            <w:r w:rsidRPr="003602BB">
              <w:t>As per LOA 1</w:t>
            </w:r>
          </w:p>
        </w:tc>
        <w:tc>
          <w:tcPr>
            <w:tcW w:w="696" w:type="pct"/>
          </w:tcPr>
          <w:p w14:paraId="478EF6B3" w14:textId="77777777" w:rsidR="00215226" w:rsidRPr="003602BB" w:rsidRDefault="00215226" w:rsidP="003602BB">
            <w:pPr>
              <w:pStyle w:val="Normal-TableText"/>
              <w:rPr>
                <w:rFonts w:eastAsia="Cambria"/>
              </w:rPr>
            </w:pPr>
            <w:r w:rsidRPr="003602BB">
              <w:t>As per LOA 1</w:t>
            </w:r>
          </w:p>
        </w:tc>
      </w:tr>
      <w:tr w:rsidR="00215226" w:rsidRPr="003602BB" w14:paraId="7FDF895E" w14:textId="77777777" w:rsidTr="003602BB">
        <w:trPr>
          <w:trHeight w:val="113"/>
        </w:trPr>
        <w:tc>
          <w:tcPr>
            <w:tcW w:w="545" w:type="pct"/>
            <w:vMerge/>
          </w:tcPr>
          <w:p w14:paraId="215B940E" w14:textId="77777777" w:rsidR="00215226" w:rsidRPr="003602BB" w:rsidRDefault="00215226" w:rsidP="003602BB">
            <w:pPr>
              <w:pStyle w:val="Normal-TableText"/>
              <w:rPr>
                <w:rFonts w:eastAsia="Cambria"/>
              </w:rPr>
            </w:pPr>
          </w:p>
        </w:tc>
        <w:tc>
          <w:tcPr>
            <w:tcW w:w="852" w:type="pct"/>
          </w:tcPr>
          <w:p w14:paraId="514BA192" w14:textId="77777777" w:rsidR="00215226" w:rsidRPr="003602BB" w:rsidRDefault="00215226" w:rsidP="003602BB">
            <w:pPr>
              <w:pStyle w:val="Normal-TableText"/>
              <w:rPr>
                <w:rFonts w:eastAsia="Cambria"/>
              </w:rPr>
            </w:pPr>
            <w:r w:rsidRPr="003602BB">
              <w:t>Subordinate CA</w:t>
            </w:r>
          </w:p>
        </w:tc>
        <w:tc>
          <w:tcPr>
            <w:tcW w:w="1065" w:type="pct"/>
          </w:tcPr>
          <w:p w14:paraId="5D8238A0" w14:textId="77777777" w:rsidR="00215226" w:rsidRPr="003602BB" w:rsidRDefault="00215226" w:rsidP="003602BB">
            <w:pPr>
              <w:pStyle w:val="Normal-TableText"/>
            </w:pPr>
            <w:r w:rsidRPr="003602BB">
              <w:t>112-bit entropy =10 yr max</w:t>
            </w:r>
          </w:p>
          <w:p w14:paraId="67C3431D" w14:textId="77777777" w:rsidR="00215226" w:rsidRPr="003602BB" w:rsidRDefault="00215226" w:rsidP="003602BB">
            <w:pPr>
              <w:pStyle w:val="Normal-TableText"/>
              <w:rPr>
                <w:rFonts w:eastAsia="Cambria"/>
              </w:rPr>
            </w:pPr>
            <w:r w:rsidRPr="003602BB">
              <w:t>128-bit+ entropy = 15 yr max</w:t>
            </w:r>
          </w:p>
        </w:tc>
        <w:tc>
          <w:tcPr>
            <w:tcW w:w="913" w:type="pct"/>
          </w:tcPr>
          <w:p w14:paraId="48F2AC71" w14:textId="77777777" w:rsidR="00215226" w:rsidRPr="003602BB" w:rsidRDefault="00215226" w:rsidP="003602BB">
            <w:pPr>
              <w:pStyle w:val="Normal-TableText"/>
              <w:rPr>
                <w:rFonts w:eastAsia="Cambria"/>
              </w:rPr>
            </w:pPr>
            <w:r w:rsidRPr="003602BB">
              <w:t>As per LOA 1</w:t>
            </w:r>
          </w:p>
        </w:tc>
        <w:tc>
          <w:tcPr>
            <w:tcW w:w="929" w:type="pct"/>
          </w:tcPr>
          <w:p w14:paraId="20CE3D06" w14:textId="77777777" w:rsidR="00215226" w:rsidRPr="003602BB" w:rsidRDefault="00215226" w:rsidP="003602BB">
            <w:pPr>
              <w:pStyle w:val="Normal-TableText"/>
              <w:rPr>
                <w:rFonts w:eastAsia="Cambria"/>
              </w:rPr>
            </w:pPr>
            <w:r w:rsidRPr="003602BB">
              <w:t>As per LOA 1</w:t>
            </w:r>
          </w:p>
        </w:tc>
        <w:tc>
          <w:tcPr>
            <w:tcW w:w="696" w:type="pct"/>
          </w:tcPr>
          <w:p w14:paraId="2307DE15" w14:textId="77777777" w:rsidR="00215226" w:rsidRPr="003602BB" w:rsidRDefault="00215226" w:rsidP="003602BB">
            <w:pPr>
              <w:pStyle w:val="Normal-TableText"/>
              <w:rPr>
                <w:rFonts w:eastAsia="Cambria"/>
              </w:rPr>
            </w:pPr>
            <w:r w:rsidRPr="003602BB">
              <w:t>As per LOA 1</w:t>
            </w:r>
          </w:p>
        </w:tc>
      </w:tr>
      <w:tr w:rsidR="00215226" w:rsidRPr="003602BB" w14:paraId="670736DC" w14:textId="77777777" w:rsidTr="003602BB">
        <w:trPr>
          <w:trHeight w:val="113"/>
        </w:trPr>
        <w:tc>
          <w:tcPr>
            <w:tcW w:w="545" w:type="pct"/>
            <w:vMerge/>
          </w:tcPr>
          <w:p w14:paraId="3DA5CEC3" w14:textId="77777777" w:rsidR="00215226" w:rsidRPr="003602BB" w:rsidRDefault="00215226" w:rsidP="003602BB">
            <w:pPr>
              <w:pStyle w:val="Normal-TableText"/>
              <w:rPr>
                <w:rFonts w:eastAsia="Cambria"/>
              </w:rPr>
            </w:pPr>
          </w:p>
        </w:tc>
        <w:tc>
          <w:tcPr>
            <w:tcW w:w="852" w:type="pct"/>
          </w:tcPr>
          <w:p w14:paraId="1CF9F32C" w14:textId="77777777" w:rsidR="00215226" w:rsidRPr="003602BB" w:rsidRDefault="00215226" w:rsidP="003602BB">
            <w:pPr>
              <w:pStyle w:val="Normal-TableText"/>
              <w:rPr>
                <w:rFonts w:eastAsia="Cambria"/>
              </w:rPr>
            </w:pPr>
            <w:r w:rsidRPr="003602BB">
              <w:t>Subscriber</w:t>
            </w:r>
          </w:p>
        </w:tc>
        <w:tc>
          <w:tcPr>
            <w:tcW w:w="1065" w:type="pct"/>
          </w:tcPr>
          <w:p w14:paraId="3BF29AC7" w14:textId="77777777" w:rsidR="00215226" w:rsidRPr="003602BB" w:rsidRDefault="00215226" w:rsidP="003602BB">
            <w:pPr>
              <w:pStyle w:val="Normal-TableText"/>
            </w:pPr>
            <w:r w:rsidRPr="003602BB">
              <w:t>112-bit entropy =2 yr max</w:t>
            </w:r>
          </w:p>
          <w:p w14:paraId="65289C2F" w14:textId="77777777" w:rsidR="00215226" w:rsidRPr="003602BB" w:rsidRDefault="00215226" w:rsidP="003602BB">
            <w:pPr>
              <w:pStyle w:val="Normal-TableText"/>
              <w:rPr>
                <w:rFonts w:eastAsia="Cambria"/>
              </w:rPr>
            </w:pPr>
            <w:r w:rsidRPr="003602BB">
              <w:t>128-bit+ entropy = 3 yr max</w:t>
            </w:r>
          </w:p>
        </w:tc>
        <w:tc>
          <w:tcPr>
            <w:tcW w:w="913" w:type="pct"/>
          </w:tcPr>
          <w:p w14:paraId="61FC9362" w14:textId="77777777" w:rsidR="00215226" w:rsidRPr="003602BB" w:rsidRDefault="00215226" w:rsidP="003602BB">
            <w:pPr>
              <w:pStyle w:val="Normal-TableText"/>
              <w:rPr>
                <w:rFonts w:eastAsia="Cambria"/>
              </w:rPr>
            </w:pPr>
            <w:r w:rsidRPr="003602BB">
              <w:t>As per LOA 1</w:t>
            </w:r>
          </w:p>
        </w:tc>
        <w:tc>
          <w:tcPr>
            <w:tcW w:w="929" w:type="pct"/>
          </w:tcPr>
          <w:p w14:paraId="31AF0E6A" w14:textId="77777777" w:rsidR="00215226" w:rsidRPr="003602BB" w:rsidRDefault="00215226" w:rsidP="003602BB">
            <w:pPr>
              <w:pStyle w:val="Normal-TableText"/>
              <w:rPr>
                <w:rFonts w:eastAsia="Cambria"/>
              </w:rPr>
            </w:pPr>
            <w:r w:rsidRPr="003602BB">
              <w:t>As per LOA 1</w:t>
            </w:r>
          </w:p>
        </w:tc>
        <w:tc>
          <w:tcPr>
            <w:tcW w:w="696" w:type="pct"/>
          </w:tcPr>
          <w:p w14:paraId="23C8BCFF" w14:textId="77777777" w:rsidR="00215226" w:rsidRPr="003602BB" w:rsidRDefault="00215226" w:rsidP="003602BB">
            <w:pPr>
              <w:pStyle w:val="Normal-TableText"/>
              <w:rPr>
                <w:rFonts w:eastAsia="Cambria"/>
              </w:rPr>
            </w:pPr>
            <w:r w:rsidRPr="003602BB">
              <w:t>As per LOA 1</w:t>
            </w:r>
          </w:p>
        </w:tc>
      </w:tr>
      <w:tr w:rsidR="00215226" w:rsidRPr="003602BB" w14:paraId="4CD4958D" w14:textId="77777777" w:rsidTr="003602BB">
        <w:trPr>
          <w:trHeight w:val="113"/>
        </w:trPr>
        <w:tc>
          <w:tcPr>
            <w:tcW w:w="5000" w:type="pct"/>
            <w:gridSpan w:val="6"/>
            <w:shd w:val="clear" w:color="auto" w:fill="DEEAF6" w:themeFill="accent1" w:themeFillTint="33"/>
          </w:tcPr>
          <w:p w14:paraId="1AD086EB" w14:textId="77777777" w:rsidR="00215226" w:rsidRPr="003602BB" w:rsidRDefault="00215226" w:rsidP="003602BB">
            <w:pPr>
              <w:pStyle w:val="Normal-TableText"/>
              <w:rPr>
                <w:rStyle w:val="Strong"/>
              </w:rPr>
            </w:pPr>
            <w:r w:rsidRPr="003602BB">
              <w:rPr>
                <w:rStyle w:val="Strong"/>
              </w:rPr>
              <w:t>Credential Management</w:t>
            </w:r>
          </w:p>
        </w:tc>
      </w:tr>
      <w:tr w:rsidR="00215226" w:rsidRPr="003602BB" w14:paraId="5ECC7BC1" w14:textId="77777777" w:rsidTr="003602BB">
        <w:trPr>
          <w:trHeight w:val="113"/>
        </w:trPr>
        <w:tc>
          <w:tcPr>
            <w:tcW w:w="1397" w:type="pct"/>
            <w:gridSpan w:val="2"/>
          </w:tcPr>
          <w:p w14:paraId="127A1433" w14:textId="77777777" w:rsidR="00215226" w:rsidRPr="003602BB" w:rsidRDefault="00215226" w:rsidP="003602BB">
            <w:pPr>
              <w:pStyle w:val="Normal-TableText"/>
            </w:pPr>
            <w:r w:rsidRPr="003602BB">
              <w:t>Form Factor</w:t>
            </w:r>
          </w:p>
          <w:p w14:paraId="70659110" w14:textId="77777777" w:rsidR="00215226" w:rsidRPr="003602BB" w:rsidRDefault="00215226" w:rsidP="003602BB">
            <w:pPr>
              <w:pStyle w:val="Normal-TableText"/>
              <w:rPr>
                <w:rFonts w:eastAsia="Cambria"/>
              </w:rPr>
            </w:pPr>
            <w:r w:rsidRPr="003602BB">
              <w:t>Credential activation</w:t>
            </w:r>
          </w:p>
        </w:tc>
        <w:tc>
          <w:tcPr>
            <w:tcW w:w="1065" w:type="pct"/>
          </w:tcPr>
          <w:p w14:paraId="037AF6EC" w14:textId="77777777" w:rsidR="00215226" w:rsidRPr="003602BB" w:rsidRDefault="00215226" w:rsidP="003602BB">
            <w:pPr>
              <w:pStyle w:val="Normal-TableText"/>
            </w:pPr>
            <w:r w:rsidRPr="003602BB">
              <w:t>Software only</w:t>
            </w:r>
          </w:p>
          <w:p w14:paraId="1F5F62A0" w14:textId="77777777" w:rsidR="00215226" w:rsidRPr="003602BB" w:rsidRDefault="00215226" w:rsidP="003602BB">
            <w:pPr>
              <w:pStyle w:val="Normal-TableText"/>
              <w:rPr>
                <w:rFonts w:eastAsia="Cambria"/>
              </w:rPr>
            </w:pPr>
            <w:r w:rsidRPr="003602BB">
              <w:t>No Stipulation</w:t>
            </w:r>
          </w:p>
        </w:tc>
        <w:tc>
          <w:tcPr>
            <w:tcW w:w="913" w:type="pct"/>
          </w:tcPr>
          <w:p w14:paraId="29575204" w14:textId="77777777" w:rsidR="00215226" w:rsidRPr="003602BB" w:rsidRDefault="00215226" w:rsidP="003602BB">
            <w:pPr>
              <w:pStyle w:val="Normal-TableText"/>
            </w:pPr>
            <w:r w:rsidRPr="003602BB">
              <w:t>Soft or hard</w:t>
            </w:r>
          </w:p>
          <w:p w14:paraId="15F23EA5" w14:textId="77777777" w:rsidR="00215226" w:rsidRPr="003602BB" w:rsidRDefault="00215226" w:rsidP="003602BB">
            <w:pPr>
              <w:pStyle w:val="Normal-TableText"/>
              <w:rPr>
                <w:rFonts w:eastAsia="Cambria"/>
              </w:rPr>
            </w:pPr>
            <w:r w:rsidRPr="003602BB">
              <w:t>As per LOA 1</w:t>
            </w:r>
          </w:p>
        </w:tc>
        <w:tc>
          <w:tcPr>
            <w:tcW w:w="929" w:type="pct"/>
          </w:tcPr>
          <w:p w14:paraId="0959F598" w14:textId="77777777" w:rsidR="00215226" w:rsidRPr="003602BB" w:rsidRDefault="00215226" w:rsidP="003602BB">
            <w:pPr>
              <w:pStyle w:val="Normal-TableText"/>
            </w:pPr>
            <w:r w:rsidRPr="003602BB">
              <w:t>As per LOA 2</w:t>
            </w:r>
          </w:p>
          <w:p w14:paraId="5B2F7DCB" w14:textId="77777777" w:rsidR="00215226" w:rsidRPr="003602BB" w:rsidRDefault="00215226" w:rsidP="003602BB">
            <w:pPr>
              <w:pStyle w:val="Normal-TableText"/>
              <w:rPr>
                <w:rFonts w:eastAsia="Cambria"/>
              </w:rPr>
            </w:pPr>
            <w:r w:rsidRPr="003602BB">
              <w:t>PIN unlock for each use</w:t>
            </w:r>
          </w:p>
        </w:tc>
        <w:tc>
          <w:tcPr>
            <w:tcW w:w="696" w:type="pct"/>
          </w:tcPr>
          <w:p w14:paraId="47F9A9B7" w14:textId="77777777" w:rsidR="00215226" w:rsidRPr="003602BB" w:rsidRDefault="00215226" w:rsidP="003602BB">
            <w:pPr>
              <w:pStyle w:val="Normal-TableText"/>
            </w:pPr>
            <w:r w:rsidRPr="003602BB">
              <w:t>Hard only</w:t>
            </w:r>
          </w:p>
          <w:p w14:paraId="4FF0AA92" w14:textId="77777777" w:rsidR="00215226" w:rsidRPr="003602BB" w:rsidRDefault="00215226" w:rsidP="003602BB">
            <w:pPr>
              <w:pStyle w:val="Normal-TableText"/>
              <w:rPr>
                <w:rFonts w:eastAsia="Cambria"/>
              </w:rPr>
            </w:pPr>
            <w:r w:rsidRPr="003602BB">
              <w:t>As per LOA 3</w:t>
            </w:r>
          </w:p>
        </w:tc>
      </w:tr>
      <w:tr w:rsidR="00215226" w:rsidRPr="003602BB" w14:paraId="09EFC7E8" w14:textId="77777777" w:rsidTr="003602BB">
        <w:trPr>
          <w:trHeight w:val="113"/>
        </w:trPr>
        <w:tc>
          <w:tcPr>
            <w:tcW w:w="1397" w:type="pct"/>
            <w:gridSpan w:val="2"/>
          </w:tcPr>
          <w:p w14:paraId="65B47759" w14:textId="77777777" w:rsidR="00215226" w:rsidRPr="003602BB" w:rsidRDefault="00215226" w:rsidP="003602BB">
            <w:pPr>
              <w:pStyle w:val="Normal-TableText"/>
              <w:rPr>
                <w:rFonts w:eastAsia="Cambria"/>
              </w:rPr>
            </w:pPr>
            <w:r w:rsidRPr="003602BB">
              <w:lastRenderedPageBreak/>
              <w:t>Security assurance of credentials</w:t>
            </w:r>
          </w:p>
        </w:tc>
        <w:tc>
          <w:tcPr>
            <w:tcW w:w="1065" w:type="pct"/>
          </w:tcPr>
          <w:p w14:paraId="5753822C" w14:textId="77777777" w:rsidR="00215226" w:rsidRPr="003602BB" w:rsidRDefault="00215226" w:rsidP="003602BB">
            <w:pPr>
              <w:pStyle w:val="Normal-TableText"/>
            </w:pPr>
            <w:r w:rsidRPr="003602BB">
              <w:t>EAL 2 or PP</w:t>
            </w:r>
          </w:p>
        </w:tc>
        <w:tc>
          <w:tcPr>
            <w:tcW w:w="913" w:type="pct"/>
          </w:tcPr>
          <w:p w14:paraId="39B5C0F4" w14:textId="77777777" w:rsidR="00215226" w:rsidRPr="003602BB" w:rsidRDefault="00215226" w:rsidP="003602BB">
            <w:pPr>
              <w:pStyle w:val="Normal-TableText"/>
              <w:rPr>
                <w:rFonts w:eastAsia="Cambria"/>
              </w:rPr>
            </w:pPr>
            <w:r w:rsidRPr="003602BB">
              <w:t>AS per LOA 1</w:t>
            </w:r>
          </w:p>
        </w:tc>
        <w:tc>
          <w:tcPr>
            <w:tcW w:w="929" w:type="pct"/>
          </w:tcPr>
          <w:p w14:paraId="0CB82ADC" w14:textId="77777777" w:rsidR="00215226" w:rsidRPr="003602BB" w:rsidRDefault="00215226" w:rsidP="003602BB">
            <w:pPr>
              <w:pStyle w:val="Normal-TableText"/>
              <w:rPr>
                <w:rFonts w:eastAsia="Cambria"/>
              </w:rPr>
            </w:pPr>
            <w:r w:rsidRPr="003602BB">
              <w:t>AS per LOA 1</w:t>
            </w:r>
          </w:p>
        </w:tc>
        <w:tc>
          <w:tcPr>
            <w:tcW w:w="696" w:type="pct"/>
          </w:tcPr>
          <w:p w14:paraId="1050E1B6" w14:textId="77777777" w:rsidR="00215226" w:rsidRPr="003602BB" w:rsidRDefault="00215226" w:rsidP="003602BB">
            <w:pPr>
              <w:pStyle w:val="Normal-TableText"/>
              <w:rPr>
                <w:rFonts w:eastAsia="Cambria"/>
              </w:rPr>
            </w:pPr>
            <w:r w:rsidRPr="003602BB">
              <w:t>AS per LOA 1</w:t>
            </w:r>
          </w:p>
        </w:tc>
      </w:tr>
      <w:tr w:rsidR="00215226" w:rsidRPr="003602BB" w14:paraId="0318191E" w14:textId="77777777" w:rsidTr="003602BB">
        <w:trPr>
          <w:trHeight w:val="113"/>
        </w:trPr>
        <w:tc>
          <w:tcPr>
            <w:tcW w:w="545" w:type="pct"/>
            <w:vMerge w:val="restart"/>
          </w:tcPr>
          <w:p w14:paraId="4ED4B904" w14:textId="77777777" w:rsidR="00215226" w:rsidRPr="003602BB" w:rsidRDefault="00215226" w:rsidP="003602BB">
            <w:pPr>
              <w:pStyle w:val="Normal-TableText"/>
              <w:rPr>
                <w:rFonts w:eastAsia="Cambria"/>
              </w:rPr>
            </w:pPr>
            <w:r w:rsidRPr="003602BB">
              <w:t>Key Usage</w:t>
            </w:r>
          </w:p>
        </w:tc>
        <w:tc>
          <w:tcPr>
            <w:tcW w:w="852" w:type="pct"/>
          </w:tcPr>
          <w:p w14:paraId="51CAAEF6" w14:textId="77777777" w:rsidR="00215226" w:rsidRPr="003602BB" w:rsidRDefault="00215226" w:rsidP="003602BB">
            <w:pPr>
              <w:pStyle w:val="Normal-TableText"/>
              <w:rPr>
                <w:rFonts w:eastAsia="Cambria"/>
              </w:rPr>
            </w:pPr>
            <w:r w:rsidRPr="003602BB">
              <w:t>Digital Signature</w:t>
            </w:r>
          </w:p>
        </w:tc>
        <w:tc>
          <w:tcPr>
            <w:tcW w:w="1065" w:type="pct"/>
          </w:tcPr>
          <w:p w14:paraId="67A6EB68" w14:textId="77777777" w:rsidR="00215226" w:rsidRPr="003602BB" w:rsidRDefault="00215226" w:rsidP="003602BB">
            <w:pPr>
              <w:pStyle w:val="Normal-TableText"/>
              <w:rPr>
                <w:rFonts w:eastAsia="Cambria"/>
              </w:rPr>
            </w:pPr>
            <w:r w:rsidRPr="003602BB">
              <w:t>Yes</w:t>
            </w:r>
          </w:p>
        </w:tc>
        <w:tc>
          <w:tcPr>
            <w:tcW w:w="913" w:type="pct"/>
          </w:tcPr>
          <w:p w14:paraId="09A1DF09" w14:textId="77777777" w:rsidR="00215226" w:rsidRPr="003602BB" w:rsidRDefault="00215226" w:rsidP="003602BB">
            <w:pPr>
              <w:pStyle w:val="Normal-TableText"/>
              <w:rPr>
                <w:rFonts w:eastAsia="Cambria"/>
              </w:rPr>
            </w:pPr>
            <w:r w:rsidRPr="003602BB">
              <w:t>Yes</w:t>
            </w:r>
          </w:p>
        </w:tc>
        <w:tc>
          <w:tcPr>
            <w:tcW w:w="929" w:type="pct"/>
          </w:tcPr>
          <w:p w14:paraId="21F5FF1D" w14:textId="77777777" w:rsidR="00215226" w:rsidRPr="003602BB" w:rsidRDefault="00215226" w:rsidP="003602BB">
            <w:pPr>
              <w:pStyle w:val="Normal-TableText"/>
              <w:rPr>
                <w:rFonts w:eastAsia="Cambria"/>
              </w:rPr>
            </w:pPr>
            <w:r w:rsidRPr="003602BB">
              <w:t>Yes</w:t>
            </w:r>
          </w:p>
        </w:tc>
        <w:tc>
          <w:tcPr>
            <w:tcW w:w="696" w:type="pct"/>
          </w:tcPr>
          <w:p w14:paraId="7548C0C4" w14:textId="77777777" w:rsidR="00215226" w:rsidRPr="003602BB" w:rsidRDefault="00215226" w:rsidP="003602BB">
            <w:pPr>
              <w:pStyle w:val="Normal-TableText"/>
            </w:pPr>
            <w:r w:rsidRPr="003602BB">
              <w:t>Yes</w:t>
            </w:r>
          </w:p>
        </w:tc>
      </w:tr>
      <w:tr w:rsidR="00215226" w:rsidRPr="003602BB" w14:paraId="5D14C703" w14:textId="77777777" w:rsidTr="003602BB">
        <w:trPr>
          <w:trHeight w:val="113"/>
        </w:trPr>
        <w:tc>
          <w:tcPr>
            <w:tcW w:w="545" w:type="pct"/>
            <w:vMerge/>
          </w:tcPr>
          <w:p w14:paraId="4E883564" w14:textId="77777777" w:rsidR="00215226" w:rsidRPr="003602BB" w:rsidRDefault="00215226" w:rsidP="003602BB">
            <w:pPr>
              <w:pStyle w:val="Normal-TableText"/>
            </w:pPr>
          </w:p>
        </w:tc>
        <w:tc>
          <w:tcPr>
            <w:tcW w:w="852" w:type="pct"/>
          </w:tcPr>
          <w:p w14:paraId="5A751E96" w14:textId="77777777" w:rsidR="00215226" w:rsidRPr="003602BB" w:rsidRDefault="00215226" w:rsidP="003602BB">
            <w:pPr>
              <w:pStyle w:val="Normal-TableText"/>
            </w:pPr>
            <w:r w:rsidRPr="003602BB">
              <w:t>Non-Repudiation</w:t>
            </w:r>
          </w:p>
          <w:p w14:paraId="5A23487E" w14:textId="77777777" w:rsidR="00215226" w:rsidRPr="003602BB" w:rsidRDefault="00215226" w:rsidP="003602BB">
            <w:pPr>
              <w:pStyle w:val="Normal-TableText"/>
            </w:pPr>
            <w:r w:rsidRPr="003602BB">
              <w:t>(content commitment)</w:t>
            </w:r>
          </w:p>
        </w:tc>
        <w:tc>
          <w:tcPr>
            <w:tcW w:w="1065" w:type="pct"/>
          </w:tcPr>
          <w:p w14:paraId="16A0E81C" w14:textId="77777777" w:rsidR="00215226" w:rsidRPr="003602BB" w:rsidRDefault="00215226" w:rsidP="003602BB">
            <w:pPr>
              <w:pStyle w:val="Normal-TableText"/>
            </w:pPr>
            <w:r w:rsidRPr="003602BB">
              <w:t>No</w:t>
            </w:r>
          </w:p>
        </w:tc>
        <w:tc>
          <w:tcPr>
            <w:tcW w:w="913" w:type="pct"/>
          </w:tcPr>
          <w:p w14:paraId="35F547F3" w14:textId="77777777" w:rsidR="00215226" w:rsidRPr="003602BB" w:rsidRDefault="00215226" w:rsidP="003602BB">
            <w:pPr>
              <w:pStyle w:val="Normal-TableText"/>
            </w:pPr>
            <w:r w:rsidRPr="003602BB">
              <w:t>Yes</w:t>
            </w:r>
          </w:p>
        </w:tc>
        <w:tc>
          <w:tcPr>
            <w:tcW w:w="929" w:type="pct"/>
          </w:tcPr>
          <w:p w14:paraId="1DD5FD96" w14:textId="77777777" w:rsidR="00215226" w:rsidRPr="003602BB" w:rsidRDefault="00215226" w:rsidP="003602BB">
            <w:pPr>
              <w:pStyle w:val="Normal-TableText"/>
            </w:pPr>
            <w:r w:rsidRPr="003602BB">
              <w:t>Yes</w:t>
            </w:r>
          </w:p>
        </w:tc>
        <w:tc>
          <w:tcPr>
            <w:tcW w:w="696" w:type="pct"/>
          </w:tcPr>
          <w:p w14:paraId="356E21D5" w14:textId="77777777" w:rsidR="00215226" w:rsidRPr="003602BB" w:rsidRDefault="00215226" w:rsidP="003602BB">
            <w:pPr>
              <w:pStyle w:val="Normal-TableText"/>
            </w:pPr>
            <w:r w:rsidRPr="003602BB">
              <w:t>Yes</w:t>
            </w:r>
          </w:p>
        </w:tc>
      </w:tr>
      <w:tr w:rsidR="00215226" w:rsidRPr="003602BB" w14:paraId="351A8E1A" w14:textId="77777777" w:rsidTr="003602BB">
        <w:trPr>
          <w:trHeight w:val="113"/>
        </w:trPr>
        <w:tc>
          <w:tcPr>
            <w:tcW w:w="545" w:type="pct"/>
            <w:vMerge/>
          </w:tcPr>
          <w:p w14:paraId="0123A7BE" w14:textId="77777777" w:rsidR="00215226" w:rsidRPr="003602BB" w:rsidRDefault="00215226" w:rsidP="003602BB">
            <w:pPr>
              <w:pStyle w:val="Normal-TableText"/>
            </w:pPr>
          </w:p>
        </w:tc>
        <w:tc>
          <w:tcPr>
            <w:tcW w:w="852" w:type="pct"/>
          </w:tcPr>
          <w:p w14:paraId="4FE6DBD8" w14:textId="77777777" w:rsidR="00215226" w:rsidRPr="003602BB" w:rsidDel="003517A7" w:rsidRDefault="00215226" w:rsidP="003602BB">
            <w:pPr>
              <w:pStyle w:val="Normal-TableText"/>
            </w:pPr>
            <w:r w:rsidRPr="003602BB">
              <w:t>Key Encipherment</w:t>
            </w:r>
          </w:p>
        </w:tc>
        <w:tc>
          <w:tcPr>
            <w:tcW w:w="1065" w:type="pct"/>
          </w:tcPr>
          <w:p w14:paraId="668CD3AC" w14:textId="77777777" w:rsidR="00215226" w:rsidRPr="003602BB" w:rsidRDefault="00215226" w:rsidP="003602BB">
            <w:pPr>
              <w:pStyle w:val="Normal-TableText"/>
            </w:pPr>
            <w:r w:rsidRPr="003602BB">
              <w:t>Yes</w:t>
            </w:r>
          </w:p>
        </w:tc>
        <w:tc>
          <w:tcPr>
            <w:tcW w:w="913" w:type="pct"/>
          </w:tcPr>
          <w:p w14:paraId="43A1497F" w14:textId="77777777" w:rsidR="00215226" w:rsidRPr="003602BB" w:rsidRDefault="00215226" w:rsidP="003602BB">
            <w:pPr>
              <w:pStyle w:val="Normal-TableText"/>
              <w:rPr>
                <w:rFonts w:eastAsia="Cambria"/>
              </w:rPr>
            </w:pPr>
            <w:r w:rsidRPr="003602BB">
              <w:t>Yes</w:t>
            </w:r>
          </w:p>
        </w:tc>
        <w:tc>
          <w:tcPr>
            <w:tcW w:w="929" w:type="pct"/>
          </w:tcPr>
          <w:p w14:paraId="1D8D6913" w14:textId="77777777" w:rsidR="00215226" w:rsidRPr="003602BB" w:rsidRDefault="00215226" w:rsidP="003602BB">
            <w:pPr>
              <w:pStyle w:val="Normal-TableText"/>
              <w:rPr>
                <w:rFonts w:eastAsia="Cambria"/>
              </w:rPr>
            </w:pPr>
            <w:r w:rsidRPr="003602BB">
              <w:t>Yes</w:t>
            </w:r>
          </w:p>
        </w:tc>
        <w:tc>
          <w:tcPr>
            <w:tcW w:w="696" w:type="pct"/>
          </w:tcPr>
          <w:p w14:paraId="5504D2DF" w14:textId="77777777" w:rsidR="00215226" w:rsidRPr="003602BB" w:rsidRDefault="00215226" w:rsidP="003602BB">
            <w:pPr>
              <w:pStyle w:val="Normal-TableText"/>
            </w:pPr>
            <w:r w:rsidRPr="003602BB">
              <w:t>Yes</w:t>
            </w:r>
          </w:p>
        </w:tc>
      </w:tr>
      <w:tr w:rsidR="00215226" w:rsidRPr="003602BB" w14:paraId="3DDCD3F3" w14:textId="77777777" w:rsidTr="003602BB">
        <w:trPr>
          <w:trHeight w:val="113"/>
        </w:trPr>
        <w:tc>
          <w:tcPr>
            <w:tcW w:w="545" w:type="pct"/>
            <w:vMerge/>
          </w:tcPr>
          <w:p w14:paraId="56CA5429" w14:textId="77777777" w:rsidR="00215226" w:rsidRPr="003602BB" w:rsidRDefault="00215226" w:rsidP="003602BB">
            <w:pPr>
              <w:pStyle w:val="Normal-TableText"/>
            </w:pPr>
          </w:p>
        </w:tc>
        <w:tc>
          <w:tcPr>
            <w:tcW w:w="852" w:type="pct"/>
          </w:tcPr>
          <w:p w14:paraId="2B0B8522" w14:textId="77777777" w:rsidR="00215226" w:rsidRPr="003602BB" w:rsidRDefault="00215226" w:rsidP="003602BB">
            <w:pPr>
              <w:pStyle w:val="Normal-TableText"/>
              <w:rPr>
                <w:rFonts w:eastAsia="Cambria"/>
              </w:rPr>
            </w:pPr>
            <w:r w:rsidRPr="003602BB">
              <w:t>Data Encipherment</w:t>
            </w:r>
          </w:p>
        </w:tc>
        <w:tc>
          <w:tcPr>
            <w:tcW w:w="1065" w:type="pct"/>
          </w:tcPr>
          <w:p w14:paraId="73FF33D4" w14:textId="77777777" w:rsidR="00215226" w:rsidRPr="003602BB" w:rsidRDefault="00215226" w:rsidP="003602BB">
            <w:pPr>
              <w:pStyle w:val="Normal-TableText"/>
            </w:pPr>
            <w:r w:rsidRPr="003602BB">
              <w:t>Yes</w:t>
            </w:r>
          </w:p>
        </w:tc>
        <w:tc>
          <w:tcPr>
            <w:tcW w:w="913" w:type="pct"/>
          </w:tcPr>
          <w:p w14:paraId="20743AFD" w14:textId="77777777" w:rsidR="00215226" w:rsidRPr="003602BB" w:rsidRDefault="00215226" w:rsidP="003602BB">
            <w:pPr>
              <w:pStyle w:val="Normal-TableText"/>
              <w:rPr>
                <w:rFonts w:eastAsia="Cambria"/>
              </w:rPr>
            </w:pPr>
            <w:r w:rsidRPr="003602BB">
              <w:t>Yes</w:t>
            </w:r>
          </w:p>
        </w:tc>
        <w:tc>
          <w:tcPr>
            <w:tcW w:w="929" w:type="pct"/>
          </w:tcPr>
          <w:p w14:paraId="2607AFD6" w14:textId="77777777" w:rsidR="00215226" w:rsidRPr="003602BB" w:rsidRDefault="00215226" w:rsidP="003602BB">
            <w:pPr>
              <w:pStyle w:val="Normal-TableText"/>
              <w:rPr>
                <w:rFonts w:eastAsia="Cambria"/>
              </w:rPr>
            </w:pPr>
            <w:r w:rsidRPr="003602BB">
              <w:t>Yes</w:t>
            </w:r>
          </w:p>
        </w:tc>
        <w:tc>
          <w:tcPr>
            <w:tcW w:w="696" w:type="pct"/>
          </w:tcPr>
          <w:p w14:paraId="0FF179DD" w14:textId="77777777" w:rsidR="00215226" w:rsidRPr="003602BB" w:rsidRDefault="00215226" w:rsidP="003602BB">
            <w:pPr>
              <w:pStyle w:val="Normal-TableText"/>
            </w:pPr>
            <w:r w:rsidRPr="003602BB">
              <w:t>Yes</w:t>
            </w:r>
          </w:p>
        </w:tc>
      </w:tr>
      <w:tr w:rsidR="00215226" w:rsidRPr="003602BB" w14:paraId="45A98ADE" w14:textId="77777777" w:rsidTr="003602BB">
        <w:trPr>
          <w:trHeight w:val="113"/>
        </w:trPr>
        <w:tc>
          <w:tcPr>
            <w:tcW w:w="545" w:type="pct"/>
            <w:vMerge/>
          </w:tcPr>
          <w:p w14:paraId="5BBBE1C0" w14:textId="77777777" w:rsidR="00215226" w:rsidRPr="003602BB" w:rsidRDefault="00215226" w:rsidP="003602BB">
            <w:pPr>
              <w:pStyle w:val="Normal-TableText"/>
            </w:pPr>
          </w:p>
        </w:tc>
        <w:tc>
          <w:tcPr>
            <w:tcW w:w="852" w:type="pct"/>
          </w:tcPr>
          <w:p w14:paraId="51D05FBC" w14:textId="77777777" w:rsidR="00215226" w:rsidRPr="003602BB" w:rsidRDefault="00215226" w:rsidP="003602BB">
            <w:pPr>
              <w:pStyle w:val="Normal-TableText"/>
            </w:pPr>
            <w:r w:rsidRPr="003602BB">
              <w:t>Key Agreement</w:t>
            </w:r>
          </w:p>
        </w:tc>
        <w:tc>
          <w:tcPr>
            <w:tcW w:w="1065" w:type="pct"/>
          </w:tcPr>
          <w:p w14:paraId="41F59919" w14:textId="77777777" w:rsidR="00215226" w:rsidRPr="003602BB" w:rsidRDefault="00215226" w:rsidP="003602BB">
            <w:pPr>
              <w:pStyle w:val="Normal-TableText"/>
            </w:pPr>
            <w:r w:rsidRPr="003602BB">
              <w:t>Yes</w:t>
            </w:r>
          </w:p>
        </w:tc>
        <w:tc>
          <w:tcPr>
            <w:tcW w:w="913" w:type="pct"/>
          </w:tcPr>
          <w:p w14:paraId="05FF19D8" w14:textId="77777777" w:rsidR="00215226" w:rsidRPr="003602BB" w:rsidRDefault="00215226" w:rsidP="003602BB">
            <w:pPr>
              <w:pStyle w:val="Normal-TableText"/>
              <w:rPr>
                <w:rFonts w:eastAsia="Cambria"/>
              </w:rPr>
            </w:pPr>
            <w:r w:rsidRPr="003602BB">
              <w:t>Yes</w:t>
            </w:r>
          </w:p>
        </w:tc>
        <w:tc>
          <w:tcPr>
            <w:tcW w:w="929" w:type="pct"/>
          </w:tcPr>
          <w:p w14:paraId="268F2B11" w14:textId="77777777" w:rsidR="00215226" w:rsidRPr="003602BB" w:rsidRDefault="00215226" w:rsidP="003602BB">
            <w:pPr>
              <w:pStyle w:val="Normal-TableText"/>
              <w:rPr>
                <w:rFonts w:eastAsia="Cambria"/>
              </w:rPr>
            </w:pPr>
            <w:r w:rsidRPr="003602BB">
              <w:t>Yes</w:t>
            </w:r>
          </w:p>
        </w:tc>
        <w:tc>
          <w:tcPr>
            <w:tcW w:w="696" w:type="pct"/>
          </w:tcPr>
          <w:p w14:paraId="5D73FC79" w14:textId="77777777" w:rsidR="00215226" w:rsidRPr="003602BB" w:rsidRDefault="00215226" w:rsidP="003602BB">
            <w:pPr>
              <w:pStyle w:val="Normal-TableText"/>
            </w:pPr>
            <w:r w:rsidRPr="003602BB">
              <w:t>Yes</w:t>
            </w:r>
          </w:p>
        </w:tc>
      </w:tr>
      <w:tr w:rsidR="00215226" w:rsidRPr="003602BB" w14:paraId="7942F6FC" w14:textId="77777777" w:rsidTr="003602BB">
        <w:trPr>
          <w:trHeight w:val="113"/>
        </w:trPr>
        <w:tc>
          <w:tcPr>
            <w:tcW w:w="545" w:type="pct"/>
            <w:vMerge/>
          </w:tcPr>
          <w:p w14:paraId="1441497B" w14:textId="77777777" w:rsidR="00215226" w:rsidRPr="003602BB" w:rsidRDefault="00215226" w:rsidP="003602BB">
            <w:pPr>
              <w:pStyle w:val="Normal-TableText"/>
            </w:pPr>
          </w:p>
        </w:tc>
        <w:tc>
          <w:tcPr>
            <w:tcW w:w="852" w:type="pct"/>
          </w:tcPr>
          <w:p w14:paraId="27ACBD91" w14:textId="77777777" w:rsidR="00215226" w:rsidRPr="003602BB" w:rsidRDefault="00215226" w:rsidP="003602BB">
            <w:pPr>
              <w:pStyle w:val="Normal-TableText"/>
            </w:pPr>
            <w:r w:rsidRPr="003602BB">
              <w:t>Encipher Only</w:t>
            </w:r>
          </w:p>
        </w:tc>
        <w:tc>
          <w:tcPr>
            <w:tcW w:w="1065" w:type="pct"/>
          </w:tcPr>
          <w:p w14:paraId="28F11AE6" w14:textId="77777777" w:rsidR="00215226" w:rsidRPr="003602BB" w:rsidRDefault="00215226" w:rsidP="003602BB">
            <w:pPr>
              <w:pStyle w:val="Normal-TableText"/>
            </w:pPr>
            <w:r w:rsidRPr="003602BB">
              <w:t>Yes</w:t>
            </w:r>
          </w:p>
        </w:tc>
        <w:tc>
          <w:tcPr>
            <w:tcW w:w="913" w:type="pct"/>
          </w:tcPr>
          <w:p w14:paraId="44A1BE60" w14:textId="77777777" w:rsidR="00215226" w:rsidRPr="003602BB" w:rsidRDefault="00215226" w:rsidP="003602BB">
            <w:pPr>
              <w:pStyle w:val="Normal-TableText"/>
              <w:rPr>
                <w:rFonts w:eastAsia="Cambria"/>
              </w:rPr>
            </w:pPr>
            <w:r w:rsidRPr="003602BB">
              <w:t>Yes</w:t>
            </w:r>
          </w:p>
        </w:tc>
        <w:tc>
          <w:tcPr>
            <w:tcW w:w="929" w:type="pct"/>
          </w:tcPr>
          <w:p w14:paraId="0C113408" w14:textId="77777777" w:rsidR="00215226" w:rsidRPr="003602BB" w:rsidRDefault="00215226" w:rsidP="003602BB">
            <w:pPr>
              <w:pStyle w:val="Normal-TableText"/>
              <w:rPr>
                <w:rFonts w:eastAsia="Cambria"/>
              </w:rPr>
            </w:pPr>
            <w:r w:rsidRPr="003602BB">
              <w:t>Yes</w:t>
            </w:r>
          </w:p>
        </w:tc>
        <w:tc>
          <w:tcPr>
            <w:tcW w:w="696" w:type="pct"/>
          </w:tcPr>
          <w:p w14:paraId="0B05D181" w14:textId="77777777" w:rsidR="00215226" w:rsidRPr="003602BB" w:rsidRDefault="00215226" w:rsidP="003602BB">
            <w:pPr>
              <w:pStyle w:val="Normal-TableText"/>
            </w:pPr>
            <w:r w:rsidRPr="003602BB">
              <w:t>Yes</w:t>
            </w:r>
          </w:p>
        </w:tc>
      </w:tr>
      <w:tr w:rsidR="00215226" w:rsidRPr="003602BB" w14:paraId="03FD02DB" w14:textId="77777777" w:rsidTr="003602BB">
        <w:trPr>
          <w:trHeight w:val="113"/>
        </w:trPr>
        <w:tc>
          <w:tcPr>
            <w:tcW w:w="545" w:type="pct"/>
            <w:vMerge/>
          </w:tcPr>
          <w:p w14:paraId="190A196F" w14:textId="77777777" w:rsidR="00215226" w:rsidRPr="003602BB" w:rsidRDefault="00215226" w:rsidP="003602BB">
            <w:pPr>
              <w:pStyle w:val="Normal-TableText"/>
            </w:pPr>
          </w:p>
        </w:tc>
        <w:tc>
          <w:tcPr>
            <w:tcW w:w="852" w:type="pct"/>
          </w:tcPr>
          <w:p w14:paraId="337E82C7" w14:textId="77777777" w:rsidR="00215226" w:rsidRPr="003602BB" w:rsidRDefault="00215226" w:rsidP="003602BB">
            <w:pPr>
              <w:pStyle w:val="Normal-TableText"/>
            </w:pPr>
            <w:r w:rsidRPr="003602BB">
              <w:t>Decipher Only</w:t>
            </w:r>
          </w:p>
        </w:tc>
        <w:tc>
          <w:tcPr>
            <w:tcW w:w="1065" w:type="pct"/>
          </w:tcPr>
          <w:p w14:paraId="176BE2C3" w14:textId="77777777" w:rsidR="00215226" w:rsidRPr="003602BB" w:rsidRDefault="00215226" w:rsidP="003602BB">
            <w:pPr>
              <w:pStyle w:val="Normal-TableText"/>
            </w:pPr>
            <w:r w:rsidRPr="003602BB">
              <w:t>Yes</w:t>
            </w:r>
          </w:p>
        </w:tc>
        <w:tc>
          <w:tcPr>
            <w:tcW w:w="913" w:type="pct"/>
          </w:tcPr>
          <w:p w14:paraId="20E71DD8" w14:textId="77777777" w:rsidR="00215226" w:rsidRPr="003602BB" w:rsidRDefault="00215226" w:rsidP="003602BB">
            <w:pPr>
              <w:pStyle w:val="Normal-TableText"/>
              <w:rPr>
                <w:rFonts w:eastAsia="Cambria"/>
              </w:rPr>
            </w:pPr>
            <w:r w:rsidRPr="003602BB">
              <w:t>Yes</w:t>
            </w:r>
          </w:p>
        </w:tc>
        <w:tc>
          <w:tcPr>
            <w:tcW w:w="929" w:type="pct"/>
          </w:tcPr>
          <w:p w14:paraId="5D70BA7D" w14:textId="77777777" w:rsidR="00215226" w:rsidRPr="003602BB" w:rsidRDefault="00215226" w:rsidP="003602BB">
            <w:pPr>
              <w:pStyle w:val="Normal-TableText"/>
              <w:rPr>
                <w:rFonts w:eastAsia="Cambria"/>
              </w:rPr>
            </w:pPr>
            <w:r w:rsidRPr="003602BB">
              <w:t>Yes</w:t>
            </w:r>
          </w:p>
        </w:tc>
        <w:tc>
          <w:tcPr>
            <w:tcW w:w="696" w:type="pct"/>
          </w:tcPr>
          <w:p w14:paraId="48AF3124" w14:textId="77777777" w:rsidR="00215226" w:rsidRPr="003602BB" w:rsidRDefault="00215226" w:rsidP="003602BB">
            <w:pPr>
              <w:pStyle w:val="Normal-TableText"/>
            </w:pPr>
            <w:r w:rsidRPr="003602BB">
              <w:t>Yes</w:t>
            </w:r>
          </w:p>
        </w:tc>
      </w:tr>
      <w:tr w:rsidR="00215226" w:rsidRPr="003602BB" w14:paraId="6276F0FC" w14:textId="77777777" w:rsidTr="003602BB">
        <w:trPr>
          <w:trHeight w:val="113"/>
        </w:trPr>
        <w:tc>
          <w:tcPr>
            <w:tcW w:w="545" w:type="pct"/>
            <w:vMerge w:val="restart"/>
          </w:tcPr>
          <w:p w14:paraId="1C6337B2" w14:textId="77777777" w:rsidR="00215226" w:rsidRPr="003602BB" w:rsidRDefault="00215226" w:rsidP="009E1994">
            <w:pPr>
              <w:pStyle w:val="Normal-TableText"/>
              <w:rPr>
                <w:rFonts w:eastAsia="Cambria"/>
              </w:rPr>
            </w:pPr>
            <w:r w:rsidRPr="003602BB">
              <w:t>Extended</w:t>
            </w:r>
            <w:r w:rsidR="003602BB">
              <w:t xml:space="preserve"> </w:t>
            </w:r>
            <w:r w:rsidRPr="003602BB">
              <w:t>Key</w:t>
            </w:r>
            <w:r w:rsidR="009E1994">
              <w:t> </w:t>
            </w:r>
            <w:r w:rsidRPr="003602BB">
              <w:t>Usage</w:t>
            </w:r>
          </w:p>
        </w:tc>
        <w:tc>
          <w:tcPr>
            <w:tcW w:w="852" w:type="pct"/>
          </w:tcPr>
          <w:p w14:paraId="255C5A9E" w14:textId="77777777" w:rsidR="00215226" w:rsidRPr="003602BB" w:rsidRDefault="00215226" w:rsidP="003602BB">
            <w:pPr>
              <w:pStyle w:val="Normal-TableText"/>
            </w:pPr>
            <w:r w:rsidRPr="003602BB">
              <w:t>Server Authentication</w:t>
            </w:r>
          </w:p>
        </w:tc>
        <w:tc>
          <w:tcPr>
            <w:tcW w:w="1065" w:type="pct"/>
          </w:tcPr>
          <w:p w14:paraId="630D26A7" w14:textId="77777777" w:rsidR="00215226" w:rsidRPr="003602BB" w:rsidRDefault="00215226" w:rsidP="003602BB">
            <w:pPr>
              <w:pStyle w:val="Normal-TableText"/>
            </w:pPr>
            <w:r w:rsidRPr="003602BB">
              <w:t>Yes</w:t>
            </w:r>
          </w:p>
        </w:tc>
        <w:tc>
          <w:tcPr>
            <w:tcW w:w="913" w:type="pct"/>
          </w:tcPr>
          <w:p w14:paraId="0A90CAE9" w14:textId="77777777" w:rsidR="00215226" w:rsidRPr="003602BB" w:rsidRDefault="00215226" w:rsidP="003602BB">
            <w:pPr>
              <w:pStyle w:val="Normal-TableText"/>
              <w:rPr>
                <w:rFonts w:eastAsia="Cambria"/>
              </w:rPr>
            </w:pPr>
            <w:r w:rsidRPr="003602BB">
              <w:t>Yes</w:t>
            </w:r>
          </w:p>
        </w:tc>
        <w:tc>
          <w:tcPr>
            <w:tcW w:w="929" w:type="pct"/>
          </w:tcPr>
          <w:p w14:paraId="6FC4F1E2" w14:textId="77777777" w:rsidR="00215226" w:rsidRPr="003602BB" w:rsidRDefault="00215226" w:rsidP="003602BB">
            <w:pPr>
              <w:pStyle w:val="Normal-TableText"/>
              <w:rPr>
                <w:rFonts w:eastAsia="Cambria"/>
              </w:rPr>
            </w:pPr>
            <w:r w:rsidRPr="003602BB">
              <w:t>Yes</w:t>
            </w:r>
          </w:p>
        </w:tc>
        <w:tc>
          <w:tcPr>
            <w:tcW w:w="696" w:type="pct"/>
          </w:tcPr>
          <w:p w14:paraId="71804F81" w14:textId="77777777" w:rsidR="00215226" w:rsidRPr="003602BB" w:rsidRDefault="00215226" w:rsidP="003602BB">
            <w:pPr>
              <w:pStyle w:val="Normal-TableText"/>
            </w:pPr>
            <w:r w:rsidRPr="003602BB">
              <w:t>Yes</w:t>
            </w:r>
          </w:p>
        </w:tc>
      </w:tr>
      <w:tr w:rsidR="00215226" w:rsidRPr="003602BB" w14:paraId="16E9C9A4" w14:textId="77777777" w:rsidTr="003602BB">
        <w:trPr>
          <w:trHeight w:val="113"/>
        </w:trPr>
        <w:tc>
          <w:tcPr>
            <w:tcW w:w="545" w:type="pct"/>
            <w:vMerge/>
          </w:tcPr>
          <w:p w14:paraId="0807EDC2" w14:textId="77777777" w:rsidR="00215226" w:rsidRPr="003602BB" w:rsidRDefault="00215226" w:rsidP="003602BB">
            <w:pPr>
              <w:pStyle w:val="Normal-TableText"/>
            </w:pPr>
          </w:p>
        </w:tc>
        <w:tc>
          <w:tcPr>
            <w:tcW w:w="852" w:type="pct"/>
          </w:tcPr>
          <w:p w14:paraId="3338E8C5" w14:textId="77777777" w:rsidR="00215226" w:rsidRPr="003602BB" w:rsidRDefault="00215226" w:rsidP="003602BB">
            <w:pPr>
              <w:pStyle w:val="Normal-TableText"/>
            </w:pPr>
            <w:r w:rsidRPr="003602BB">
              <w:t>Client Authentication</w:t>
            </w:r>
          </w:p>
        </w:tc>
        <w:tc>
          <w:tcPr>
            <w:tcW w:w="1065" w:type="pct"/>
          </w:tcPr>
          <w:p w14:paraId="2946975F" w14:textId="77777777" w:rsidR="00215226" w:rsidRPr="003602BB" w:rsidRDefault="00215226" w:rsidP="003602BB">
            <w:pPr>
              <w:pStyle w:val="Normal-TableText"/>
            </w:pPr>
            <w:r w:rsidRPr="003602BB">
              <w:t>Yes</w:t>
            </w:r>
          </w:p>
        </w:tc>
        <w:tc>
          <w:tcPr>
            <w:tcW w:w="913" w:type="pct"/>
          </w:tcPr>
          <w:p w14:paraId="1429EE22" w14:textId="77777777" w:rsidR="00215226" w:rsidRPr="003602BB" w:rsidRDefault="00215226" w:rsidP="003602BB">
            <w:pPr>
              <w:pStyle w:val="Normal-TableText"/>
              <w:rPr>
                <w:rFonts w:eastAsia="Cambria"/>
              </w:rPr>
            </w:pPr>
            <w:r w:rsidRPr="003602BB">
              <w:t>Yes</w:t>
            </w:r>
          </w:p>
        </w:tc>
        <w:tc>
          <w:tcPr>
            <w:tcW w:w="929" w:type="pct"/>
          </w:tcPr>
          <w:p w14:paraId="27A140EE" w14:textId="77777777" w:rsidR="00215226" w:rsidRPr="003602BB" w:rsidRDefault="00215226" w:rsidP="003602BB">
            <w:pPr>
              <w:pStyle w:val="Normal-TableText"/>
              <w:rPr>
                <w:rFonts w:eastAsia="Cambria"/>
              </w:rPr>
            </w:pPr>
            <w:r w:rsidRPr="003602BB">
              <w:t>Yes</w:t>
            </w:r>
          </w:p>
        </w:tc>
        <w:tc>
          <w:tcPr>
            <w:tcW w:w="696" w:type="pct"/>
          </w:tcPr>
          <w:p w14:paraId="7044B53D" w14:textId="77777777" w:rsidR="00215226" w:rsidRPr="003602BB" w:rsidRDefault="00215226" w:rsidP="003602BB">
            <w:pPr>
              <w:pStyle w:val="Normal-TableText"/>
            </w:pPr>
            <w:r w:rsidRPr="003602BB">
              <w:t>Yes</w:t>
            </w:r>
          </w:p>
        </w:tc>
      </w:tr>
      <w:tr w:rsidR="00215226" w:rsidRPr="003602BB" w14:paraId="7AD76382" w14:textId="77777777" w:rsidTr="003602BB">
        <w:trPr>
          <w:trHeight w:val="113"/>
        </w:trPr>
        <w:tc>
          <w:tcPr>
            <w:tcW w:w="545" w:type="pct"/>
            <w:vMerge/>
          </w:tcPr>
          <w:p w14:paraId="21E96262" w14:textId="77777777" w:rsidR="00215226" w:rsidRPr="003602BB" w:rsidRDefault="00215226" w:rsidP="003602BB">
            <w:pPr>
              <w:pStyle w:val="Normal-TableText"/>
            </w:pPr>
          </w:p>
        </w:tc>
        <w:tc>
          <w:tcPr>
            <w:tcW w:w="852" w:type="pct"/>
          </w:tcPr>
          <w:p w14:paraId="11702039" w14:textId="77777777" w:rsidR="00215226" w:rsidRPr="003602BB" w:rsidRDefault="00215226" w:rsidP="003602BB">
            <w:pPr>
              <w:pStyle w:val="Normal-TableText"/>
            </w:pPr>
            <w:r w:rsidRPr="003602BB">
              <w:t>Code Signing</w:t>
            </w:r>
          </w:p>
        </w:tc>
        <w:tc>
          <w:tcPr>
            <w:tcW w:w="1065" w:type="pct"/>
          </w:tcPr>
          <w:p w14:paraId="1590DD49" w14:textId="77777777" w:rsidR="00215226" w:rsidRPr="003602BB" w:rsidRDefault="00215226" w:rsidP="003602BB">
            <w:pPr>
              <w:pStyle w:val="Normal-TableText"/>
            </w:pPr>
            <w:r w:rsidRPr="003602BB">
              <w:t>No</w:t>
            </w:r>
          </w:p>
        </w:tc>
        <w:tc>
          <w:tcPr>
            <w:tcW w:w="913" w:type="pct"/>
          </w:tcPr>
          <w:p w14:paraId="7186044C" w14:textId="77777777" w:rsidR="00215226" w:rsidRPr="003602BB" w:rsidRDefault="00215226" w:rsidP="003602BB">
            <w:pPr>
              <w:pStyle w:val="Normal-TableText"/>
              <w:rPr>
                <w:rFonts w:eastAsia="Cambria"/>
              </w:rPr>
            </w:pPr>
            <w:r w:rsidRPr="003602BB">
              <w:t>Yes</w:t>
            </w:r>
          </w:p>
        </w:tc>
        <w:tc>
          <w:tcPr>
            <w:tcW w:w="929" w:type="pct"/>
          </w:tcPr>
          <w:p w14:paraId="3D5FBC17" w14:textId="77777777" w:rsidR="00215226" w:rsidRPr="003602BB" w:rsidRDefault="00215226" w:rsidP="003602BB">
            <w:pPr>
              <w:pStyle w:val="Normal-TableText"/>
              <w:rPr>
                <w:rFonts w:eastAsia="Cambria"/>
              </w:rPr>
            </w:pPr>
            <w:r w:rsidRPr="003602BB">
              <w:t>Yes</w:t>
            </w:r>
          </w:p>
        </w:tc>
        <w:tc>
          <w:tcPr>
            <w:tcW w:w="696" w:type="pct"/>
          </w:tcPr>
          <w:p w14:paraId="1CBF882A" w14:textId="77777777" w:rsidR="00215226" w:rsidRPr="003602BB" w:rsidRDefault="00215226" w:rsidP="003602BB">
            <w:pPr>
              <w:pStyle w:val="Normal-TableText"/>
            </w:pPr>
            <w:r w:rsidRPr="003602BB">
              <w:t>Yes</w:t>
            </w:r>
          </w:p>
        </w:tc>
      </w:tr>
      <w:tr w:rsidR="00215226" w:rsidRPr="003602BB" w14:paraId="7B5A3FEE" w14:textId="77777777" w:rsidTr="003602BB">
        <w:trPr>
          <w:trHeight w:val="113"/>
        </w:trPr>
        <w:tc>
          <w:tcPr>
            <w:tcW w:w="545" w:type="pct"/>
            <w:vMerge/>
          </w:tcPr>
          <w:p w14:paraId="34117188" w14:textId="77777777" w:rsidR="00215226" w:rsidRPr="003602BB" w:rsidRDefault="00215226" w:rsidP="003602BB">
            <w:pPr>
              <w:pStyle w:val="Normal-TableText"/>
            </w:pPr>
          </w:p>
        </w:tc>
        <w:tc>
          <w:tcPr>
            <w:tcW w:w="852" w:type="pct"/>
          </w:tcPr>
          <w:p w14:paraId="1C3D3943" w14:textId="77777777" w:rsidR="00215226" w:rsidRPr="003602BB" w:rsidRDefault="00215226" w:rsidP="003602BB">
            <w:pPr>
              <w:pStyle w:val="Normal-TableText"/>
            </w:pPr>
            <w:r w:rsidRPr="003602BB">
              <w:t>Email Protection</w:t>
            </w:r>
          </w:p>
        </w:tc>
        <w:tc>
          <w:tcPr>
            <w:tcW w:w="1065" w:type="pct"/>
          </w:tcPr>
          <w:p w14:paraId="73CA846C" w14:textId="77777777" w:rsidR="00215226" w:rsidRPr="003602BB" w:rsidRDefault="00215226" w:rsidP="003602BB">
            <w:pPr>
              <w:pStyle w:val="Normal-TableText"/>
            </w:pPr>
            <w:r w:rsidRPr="003602BB">
              <w:t>Yes</w:t>
            </w:r>
          </w:p>
        </w:tc>
        <w:tc>
          <w:tcPr>
            <w:tcW w:w="913" w:type="pct"/>
          </w:tcPr>
          <w:p w14:paraId="3B470F35" w14:textId="77777777" w:rsidR="00215226" w:rsidRPr="003602BB" w:rsidRDefault="00215226" w:rsidP="003602BB">
            <w:pPr>
              <w:pStyle w:val="Normal-TableText"/>
              <w:rPr>
                <w:rFonts w:eastAsia="Cambria"/>
              </w:rPr>
            </w:pPr>
            <w:r w:rsidRPr="003602BB">
              <w:t>Yes</w:t>
            </w:r>
          </w:p>
        </w:tc>
        <w:tc>
          <w:tcPr>
            <w:tcW w:w="929" w:type="pct"/>
          </w:tcPr>
          <w:p w14:paraId="301F345B" w14:textId="77777777" w:rsidR="00215226" w:rsidRPr="003602BB" w:rsidRDefault="00215226" w:rsidP="003602BB">
            <w:pPr>
              <w:pStyle w:val="Normal-TableText"/>
              <w:rPr>
                <w:rFonts w:eastAsia="Cambria"/>
              </w:rPr>
            </w:pPr>
            <w:r w:rsidRPr="003602BB">
              <w:t>Yes</w:t>
            </w:r>
          </w:p>
        </w:tc>
        <w:tc>
          <w:tcPr>
            <w:tcW w:w="696" w:type="pct"/>
          </w:tcPr>
          <w:p w14:paraId="38284134" w14:textId="77777777" w:rsidR="00215226" w:rsidRPr="003602BB" w:rsidRDefault="00215226" w:rsidP="003602BB">
            <w:pPr>
              <w:pStyle w:val="Normal-TableText"/>
            </w:pPr>
            <w:r w:rsidRPr="003602BB">
              <w:t>Yes</w:t>
            </w:r>
          </w:p>
        </w:tc>
      </w:tr>
      <w:tr w:rsidR="00215226" w:rsidRPr="003602BB" w14:paraId="2A749668" w14:textId="77777777" w:rsidTr="003602BB">
        <w:trPr>
          <w:trHeight w:val="113"/>
        </w:trPr>
        <w:tc>
          <w:tcPr>
            <w:tcW w:w="545" w:type="pct"/>
            <w:vMerge/>
          </w:tcPr>
          <w:p w14:paraId="505377B5" w14:textId="77777777" w:rsidR="00215226" w:rsidRPr="003602BB" w:rsidRDefault="00215226" w:rsidP="003602BB">
            <w:pPr>
              <w:pStyle w:val="Normal-TableText"/>
            </w:pPr>
          </w:p>
        </w:tc>
        <w:tc>
          <w:tcPr>
            <w:tcW w:w="852" w:type="pct"/>
          </w:tcPr>
          <w:p w14:paraId="2D244A79" w14:textId="77777777" w:rsidR="00215226" w:rsidRPr="003602BB" w:rsidRDefault="00215226" w:rsidP="003602BB">
            <w:pPr>
              <w:pStyle w:val="Normal-TableText"/>
            </w:pPr>
            <w:r w:rsidRPr="003602BB">
              <w:t>Smartcard Logon</w:t>
            </w:r>
          </w:p>
        </w:tc>
        <w:tc>
          <w:tcPr>
            <w:tcW w:w="1065" w:type="pct"/>
          </w:tcPr>
          <w:p w14:paraId="6449D720" w14:textId="77777777" w:rsidR="00215226" w:rsidRPr="003602BB" w:rsidRDefault="00215226" w:rsidP="003602BB">
            <w:pPr>
              <w:pStyle w:val="Normal-TableText"/>
            </w:pPr>
            <w:r w:rsidRPr="003602BB">
              <w:t>No</w:t>
            </w:r>
          </w:p>
        </w:tc>
        <w:tc>
          <w:tcPr>
            <w:tcW w:w="913" w:type="pct"/>
          </w:tcPr>
          <w:p w14:paraId="7FCED84A" w14:textId="77777777" w:rsidR="00215226" w:rsidRPr="003602BB" w:rsidRDefault="00215226" w:rsidP="003602BB">
            <w:pPr>
              <w:pStyle w:val="Normal-TableText"/>
              <w:rPr>
                <w:rFonts w:eastAsia="Cambria"/>
              </w:rPr>
            </w:pPr>
            <w:r w:rsidRPr="003602BB">
              <w:t>Yes</w:t>
            </w:r>
          </w:p>
        </w:tc>
        <w:tc>
          <w:tcPr>
            <w:tcW w:w="929" w:type="pct"/>
          </w:tcPr>
          <w:p w14:paraId="3D4C7DC7" w14:textId="77777777" w:rsidR="00215226" w:rsidRPr="003602BB" w:rsidRDefault="00215226" w:rsidP="003602BB">
            <w:pPr>
              <w:pStyle w:val="Normal-TableText"/>
              <w:rPr>
                <w:rFonts w:eastAsia="Cambria"/>
              </w:rPr>
            </w:pPr>
            <w:r w:rsidRPr="003602BB">
              <w:t>Yes</w:t>
            </w:r>
          </w:p>
        </w:tc>
        <w:tc>
          <w:tcPr>
            <w:tcW w:w="696" w:type="pct"/>
          </w:tcPr>
          <w:p w14:paraId="3A820E8A" w14:textId="77777777" w:rsidR="00215226" w:rsidRPr="003602BB" w:rsidRDefault="00215226" w:rsidP="003602BB">
            <w:pPr>
              <w:pStyle w:val="Normal-TableText"/>
            </w:pPr>
            <w:r w:rsidRPr="003602BB">
              <w:t>Yes</w:t>
            </w:r>
          </w:p>
        </w:tc>
      </w:tr>
      <w:tr w:rsidR="00215226" w:rsidRPr="003602BB" w14:paraId="6F045FDA" w14:textId="77777777" w:rsidTr="003602BB">
        <w:trPr>
          <w:trHeight w:val="113"/>
        </w:trPr>
        <w:tc>
          <w:tcPr>
            <w:tcW w:w="1397" w:type="pct"/>
            <w:gridSpan w:val="2"/>
          </w:tcPr>
          <w:p w14:paraId="55BAD831" w14:textId="77777777" w:rsidR="00215226" w:rsidRPr="003602BB" w:rsidDel="003517A7" w:rsidRDefault="00215226" w:rsidP="003602BB">
            <w:pPr>
              <w:pStyle w:val="Normal-TableText"/>
            </w:pPr>
            <w:r w:rsidRPr="003602BB">
              <w:t>Credential Revocation</w:t>
            </w:r>
          </w:p>
        </w:tc>
        <w:tc>
          <w:tcPr>
            <w:tcW w:w="1065" w:type="pct"/>
          </w:tcPr>
          <w:p w14:paraId="7C04A36B" w14:textId="77777777" w:rsidR="00215226" w:rsidRPr="003602BB" w:rsidRDefault="00215226" w:rsidP="003602BB">
            <w:pPr>
              <w:pStyle w:val="Normal-TableText"/>
            </w:pPr>
            <w:r w:rsidRPr="003602BB">
              <w:t>Within 96 hrs</w:t>
            </w:r>
          </w:p>
        </w:tc>
        <w:tc>
          <w:tcPr>
            <w:tcW w:w="913" w:type="pct"/>
          </w:tcPr>
          <w:p w14:paraId="58FE34FC" w14:textId="77777777" w:rsidR="00215226" w:rsidRPr="003602BB" w:rsidRDefault="00215226" w:rsidP="003602BB">
            <w:pPr>
              <w:pStyle w:val="Normal-TableText"/>
              <w:rPr>
                <w:rFonts w:eastAsia="Cambria"/>
              </w:rPr>
            </w:pPr>
            <w:r w:rsidRPr="003602BB">
              <w:t>Within 72 hrs</w:t>
            </w:r>
          </w:p>
        </w:tc>
        <w:tc>
          <w:tcPr>
            <w:tcW w:w="929" w:type="pct"/>
          </w:tcPr>
          <w:p w14:paraId="2B437DCA" w14:textId="77777777" w:rsidR="00215226" w:rsidRPr="003602BB" w:rsidRDefault="00215226" w:rsidP="003602BB">
            <w:pPr>
              <w:pStyle w:val="Normal-TableText"/>
              <w:rPr>
                <w:rFonts w:eastAsia="Cambria"/>
              </w:rPr>
            </w:pPr>
            <w:r w:rsidRPr="003602BB">
              <w:t>Within 48 hrs</w:t>
            </w:r>
          </w:p>
        </w:tc>
        <w:tc>
          <w:tcPr>
            <w:tcW w:w="696" w:type="pct"/>
          </w:tcPr>
          <w:p w14:paraId="573D8AD8" w14:textId="77777777" w:rsidR="00215226" w:rsidRPr="003602BB" w:rsidRDefault="00215226" w:rsidP="003602BB">
            <w:pPr>
              <w:pStyle w:val="Normal-TableText"/>
            </w:pPr>
            <w:r w:rsidRPr="003602BB">
              <w:t>Within 24 hrs</w:t>
            </w:r>
          </w:p>
        </w:tc>
      </w:tr>
      <w:tr w:rsidR="00215226" w:rsidRPr="003602BB" w14:paraId="0CA2EFA2" w14:textId="77777777" w:rsidTr="003602BB">
        <w:trPr>
          <w:trHeight w:val="113"/>
        </w:trPr>
        <w:tc>
          <w:tcPr>
            <w:tcW w:w="1397" w:type="pct"/>
            <w:gridSpan w:val="2"/>
          </w:tcPr>
          <w:p w14:paraId="15DE10CE" w14:textId="77777777" w:rsidR="00215226" w:rsidRPr="003602BB" w:rsidRDefault="00215226" w:rsidP="003602BB">
            <w:pPr>
              <w:pStyle w:val="Normal-TableText"/>
              <w:rPr>
                <w:rFonts w:eastAsia="Cambria"/>
              </w:rPr>
            </w:pPr>
            <w:r w:rsidRPr="003602BB">
              <w:lastRenderedPageBreak/>
              <w:t>CRL Validity Period</w:t>
            </w:r>
          </w:p>
          <w:p w14:paraId="033763D0" w14:textId="77777777" w:rsidR="00215226" w:rsidRPr="003602BB" w:rsidRDefault="00215226" w:rsidP="003602BB">
            <w:pPr>
              <w:pStyle w:val="Normal-TableText"/>
              <w:rPr>
                <w:rFonts w:eastAsia="Cambria"/>
              </w:rPr>
            </w:pPr>
            <w:r w:rsidRPr="003602BB">
              <w:t>(for Subordinate CAs)</w:t>
            </w:r>
          </w:p>
        </w:tc>
        <w:tc>
          <w:tcPr>
            <w:tcW w:w="1065" w:type="pct"/>
          </w:tcPr>
          <w:p w14:paraId="7EFCE625" w14:textId="77777777" w:rsidR="00215226" w:rsidRPr="003602BB" w:rsidRDefault="00215226" w:rsidP="003602BB">
            <w:pPr>
              <w:pStyle w:val="Normal-TableText"/>
            </w:pPr>
            <w:r w:rsidRPr="003602BB">
              <w:t>60 day max</w:t>
            </w:r>
          </w:p>
        </w:tc>
        <w:tc>
          <w:tcPr>
            <w:tcW w:w="913" w:type="pct"/>
          </w:tcPr>
          <w:p w14:paraId="47161380" w14:textId="77777777" w:rsidR="00215226" w:rsidRPr="003602BB" w:rsidRDefault="00215226" w:rsidP="003602BB">
            <w:pPr>
              <w:pStyle w:val="Normal-TableText"/>
              <w:rPr>
                <w:rFonts w:eastAsia="Cambria"/>
              </w:rPr>
            </w:pPr>
            <w:r w:rsidRPr="003602BB">
              <w:t>30 day max</w:t>
            </w:r>
          </w:p>
        </w:tc>
        <w:tc>
          <w:tcPr>
            <w:tcW w:w="929" w:type="pct"/>
          </w:tcPr>
          <w:p w14:paraId="34F70239" w14:textId="77777777" w:rsidR="00215226" w:rsidRPr="003602BB" w:rsidRDefault="00215226" w:rsidP="003602BB">
            <w:pPr>
              <w:pStyle w:val="Normal-TableText"/>
              <w:rPr>
                <w:rFonts w:eastAsia="Cambria"/>
              </w:rPr>
            </w:pPr>
            <w:r w:rsidRPr="003602BB">
              <w:t>20 day max</w:t>
            </w:r>
          </w:p>
        </w:tc>
        <w:tc>
          <w:tcPr>
            <w:tcW w:w="696" w:type="pct"/>
          </w:tcPr>
          <w:p w14:paraId="031D0DB1" w14:textId="77777777" w:rsidR="00215226" w:rsidRPr="003602BB" w:rsidRDefault="00215226" w:rsidP="003602BB">
            <w:pPr>
              <w:pStyle w:val="Normal-TableText"/>
            </w:pPr>
            <w:r w:rsidRPr="003602BB">
              <w:t>10 day max</w:t>
            </w:r>
          </w:p>
        </w:tc>
      </w:tr>
    </w:tbl>
    <w:p w14:paraId="61CFD366" w14:textId="77777777" w:rsidR="006E7E2C" w:rsidRDefault="006E7E2C" w:rsidP="006E7E2C">
      <w:bookmarkStart w:id="329" w:name="_Toc426636726"/>
      <w:bookmarkStart w:id="330" w:name="_Toc426640010"/>
    </w:p>
    <w:p w14:paraId="7CEDCDB4" w14:textId="77777777" w:rsidR="006E7E2C" w:rsidRDefault="006E7E2C" w:rsidP="006E7E2C">
      <w:pPr>
        <w:sectPr w:rsidR="006E7E2C" w:rsidSect="006E7E2C">
          <w:footerReference w:type="default" r:id="rId37"/>
          <w:pgSz w:w="16838" w:h="11906" w:orient="landscape" w:code="9"/>
          <w:pgMar w:top="1418" w:right="1418" w:bottom="1418" w:left="1134" w:header="567" w:footer="567" w:gutter="0"/>
          <w:cols w:space="708"/>
          <w:docGrid w:linePitch="360"/>
        </w:sectPr>
      </w:pPr>
    </w:p>
    <w:p w14:paraId="49F96541" w14:textId="77777777" w:rsidR="00215226" w:rsidRDefault="00215226" w:rsidP="009E1994">
      <w:pPr>
        <w:pStyle w:val="Heading2Numbered"/>
      </w:pPr>
      <w:bookmarkStart w:id="331" w:name="_Toc430268954"/>
      <w:r w:rsidRPr="003E302C">
        <w:lastRenderedPageBreak/>
        <w:t>Object Identifiers</w:t>
      </w:r>
      <w:bookmarkEnd w:id="329"/>
      <w:bookmarkEnd w:id="330"/>
      <w:bookmarkEnd w:id="331"/>
    </w:p>
    <w:p w14:paraId="7FAE59FB" w14:textId="77777777" w:rsidR="00215226" w:rsidRPr="003E302C" w:rsidRDefault="00215226" w:rsidP="009E1994">
      <w:pPr>
        <w:pStyle w:val="Heading3Numbered"/>
      </w:pPr>
      <w:bookmarkStart w:id="332" w:name="_Toc426636727"/>
      <w:bookmarkStart w:id="333" w:name="_Toc426636853"/>
      <w:bookmarkStart w:id="334" w:name="_Toc426640011"/>
      <w:r w:rsidRPr="003E302C">
        <w:t>Gatekeeper Object Identifiers</w:t>
      </w:r>
      <w:bookmarkEnd w:id="332"/>
      <w:bookmarkEnd w:id="333"/>
      <w:bookmarkEnd w:id="334"/>
    </w:p>
    <w:p w14:paraId="5EBEFD8C" w14:textId="77777777" w:rsidR="00215226" w:rsidRPr="000713E6" w:rsidRDefault="00215226" w:rsidP="009E1994">
      <w:r w:rsidRPr="000713E6">
        <w:t xml:space="preserve">Subscriber digital certificates issued by CAs </w:t>
      </w:r>
      <w:r w:rsidRPr="00D825A0">
        <w:rPr>
          <w:rStyle w:val="Strong"/>
        </w:rPr>
        <w:t>SHOULD</w:t>
      </w:r>
      <w:r w:rsidRPr="000713E6">
        <w:t xml:space="preserve"> indicate, by means of a certificate extension (mandatory, non-critical) the level of assurance provided by the certificate.</w:t>
      </w:r>
      <w:r>
        <w:t xml:space="preserve"> </w:t>
      </w:r>
      <w:r w:rsidRPr="000713E6">
        <w:t>This information will be included in the certificate as follows:</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269"/>
        <w:gridCol w:w="6791"/>
      </w:tblGrid>
      <w:tr w:rsidR="009E1994" w:rsidRPr="000713E6" w14:paraId="3448FDBF" w14:textId="77777777" w:rsidTr="00433FF1">
        <w:trPr>
          <w:cnfStyle w:val="100000000000" w:firstRow="1" w:lastRow="0" w:firstColumn="0" w:lastColumn="0" w:oddVBand="0" w:evenVBand="0" w:oddHBand="0" w:evenHBand="0" w:firstRowFirstColumn="0" w:firstRowLastColumn="0" w:lastRowFirstColumn="0" w:lastRowLastColumn="0"/>
          <w:trHeight w:val="113"/>
          <w:tblHeader/>
        </w:trPr>
        <w:tc>
          <w:tcPr>
            <w:tcW w:w="1252" w:type="pct"/>
          </w:tcPr>
          <w:p w14:paraId="6011DE5E" w14:textId="77777777" w:rsidR="009E1994" w:rsidRPr="000713E6" w:rsidRDefault="009E1994" w:rsidP="009E1994">
            <w:pPr>
              <w:pStyle w:val="Normal-TableText"/>
            </w:pPr>
            <w:r>
              <w:t>Object</w:t>
            </w:r>
          </w:p>
        </w:tc>
        <w:tc>
          <w:tcPr>
            <w:tcW w:w="3748" w:type="pct"/>
          </w:tcPr>
          <w:p w14:paraId="288C9551" w14:textId="77777777" w:rsidR="009E1994" w:rsidRPr="000713E6" w:rsidRDefault="009E1994" w:rsidP="009E1994">
            <w:pPr>
              <w:pStyle w:val="Normal-TableText"/>
            </w:pPr>
            <w:r>
              <w:t>Identifier</w:t>
            </w:r>
          </w:p>
        </w:tc>
      </w:tr>
      <w:tr w:rsidR="00215226" w:rsidRPr="000713E6" w14:paraId="005453BB" w14:textId="77777777" w:rsidTr="00433FF1">
        <w:trPr>
          <w:trHeight w:val="113"/>
        </w:trPr>
        <w:tc>
          <w:tcPr>
            <w:tcW w:w="1252" w:type="pct"/>
          </w:tcPr>
          <w:p w14:paraId="6F3B6080" w14:textId="77777777" w:rsidR="00215226" w:rsidRPr="000713E6" w:rsidRDefault="00215226" w:rsidP="009E1994">
            <w:pPr>
              <w:pStyle w:val="Normal-TableText"/>
              <w:rPr>
                <w:szCs w:val="22"/>
              </w:rPr>
            </w:pPr>
            <w:r w:rsidRPr="000713E6">
              <w:rPr>
                <w:szCs w:val="22"/>
              </w:rPr>
              <w:t>gatekeeperLOA</w:t>
            </w:r>
          </w:p>
        </w:tc>
        <w:tc>
          <w:tcPr>
            <w:tcW w:w="3748" w:type="pct"/>
          </w:tcPr>
          <w:p w14:paraId="53F1FFB7" w14:textId="77777777" w:rsidR="00215226" w:rsidRPr="000713E6" w:rsidRDefault="00215226" w:rsidP="009E1994">
            <w:pPr>
              <w:pStyle w:val="Normal-TableText"/>
              <w:rPr>
                <w:szCs w:val="22"/>
              </w:rPr>
            </w:pPr>
            <w:r w:rsidRPr="000713E6">
              <w:rPr>
                <w:szCs w:val="22"/>
              </w:rPr>
              <w:t>{iso(1) member-body(2) australia(36) government(1) gatekeeper(333).loa(5).(n)} where n = the LOA of the certificate</w:t>
            </w:r>
          </w:p>
          <w:p w14:paraId="05EBFB02" w14:textId="77777777" w:rsidR="00215226" w:rsidRDefault="00215226" w:rsidP="009E1994">
            <w:pPr>
              <w:pStyle w:val="Normal-TableText"/>
              <w:rPr>
                <w:szCs w:val="22"/>
              </w:rPr>
            </w:pPr>
            <w:r w:rsidRPr="000713E6">
              <w:rPr>
                <w:szCs w:val="22"/>
              </w:rPr>
              <w:t>1 = No or little assurance in the binding</w:t>
            </w:r>
          </w:p>
          <w:p w14:paraId="490921F1" w14:textId="77777777" w:rsidR="00215226" w:rsidRPr="000713E6" w:rsidRDefault="00215226" w:rsidP="009E1994">
            <w:pPr>
              <w:pStyle w:val="Normal-TableText"/>
              <w:rPr>
                <w:szCs w:val="22"/>
              </w:rPr>
            </w:pPr>
            <w:r w:rsidRPr="000713E6">
              <w:rPr>
                <w:szCs w:val="22"/>
              </w:rPr>
              <w:t>2 = Some confidence in the binding</w:t>
            </w:r>
          </w:p>
          <w:p w14:paraId="7E67E673" w14:textId="77777777" w:rsidR="00215226" w:rsidRPr="000713E6" w:rsidRDefault="00215226" w:rsidP="009E1994">
            <w:pPr>
              <w:pStyle w:val="Normal-TableText"/>
              <w:rPr>
                <w:szCs w:val="22"/>
              </w:rPr>
            </w:pPr>
            <w:r w:rsidRPr="000713E6">
              <w:rPr>
                <w:szCs w:val="22"/>
              </w:rPr>
              <w:t>3 = High confidence in the binding</w:t>
            </w:r>
          </w:p>
          <w:p w14:paraId="7300CA0D" w14:textId="77777777" w:rsidR="00215226" w:rsidRPr="000713E6" w:rsidRDefault="00215226" w:rsidP="009E1994">
            <w:pPr>
              <w:pStyle w:val="Normal-TableText"/>
              <w:rPr>
                <w:szCs w:val="22"/>
              </w:rPr>
            </w:pPr>
            <w:r w:rsidRPr="000713E6">
              <w:rPr>
                <w:szCs w:val="22"/>
              </w:rPr>
              <w:t>4 = Very high confidence in the binding</w:t>
            </w:r>
          </w:p>
        </w:tc>
      </w:tr>
    </w:tbl>
    <w:p w14:paraId="3E1CDBEA" w14:textId="77777777" w:rsidR="00215226" w:rsidRPr="003E302C" w:rsidRDefault="00215226" w:rsidP="009E1994">
      <w:pPr>
        <w:pStyle w:val="Heading3Numbered"/>
      </w:pPr>
      <w:bookmarkStart w:id="335" w:name="_Toc426636728"/>
      <w:bookmarkStart w:id="336" w:name="_Toc426636854"/>
      <w:bookmarkStart w:id="337" w:name="_Toc426640012"/>
      <w:r w:rsidRPr="003E302C">
        <w:t>Algorithm Object Identifiers</w:t>
      </w:r>
      <w:bookmarkEnd w:id="335"/>
      <w:bookmarkEnd w:id="336"/>
      <w:bookmarkEnd w:id="337"/>
    </w:p>
    <w:p w14:paraId="742D7593" w14:textId="77777777" w:rsidR="00215226" w:rsidRPr="000713E6" w:rsidRDefault="00215226" w:rsidP="009E1994">
      <w:pPr>
        <w:pStyle w:val="BoxText"/>
      </w:pPr>
      <w:r w:rsidRPr="000713E6">
        <w:t xml:space="preserve">Service Providers </w:t>
      </w:r>
      <w:r w:rsidRPr="00D825A0">
        <w:rPr>
          <w:rStyle w:val="Strong"/>
        </w:rPr>
        <w:t>MUST</w:t>
      </w:r>
      <w:r w:rsidRPr="000713E6">
        <w:t xml:space="preserve"> only certify public keys associated with cryptographic algorithms identified below and </w:t>
      </w:r>
      <w:r w:rsidRPr="00D825A0">
        <w:rPr>
          <w:rStyle w:val="Strong"/>
        </w:rPr>
        <w:t>MUST</w:t>
      </w:r>
      <w:r w:rsidRPr="000713E6">
        <w:t xml:space="preserve"> only use the signature algorithms identified below to sign certificates, CRLs and other PKI products.</w:t>
      </w:r>
    </w:p>
    <w:p w14:paraId="0F048144" w14:textId="77777777" w:rsidR="00215226" w:rsidRPr="003E302C" w:rsidRDefault="00215226" w:rsidP="009E1994">
      <w:pPr>
        <w:pStyle w:val="Heading3Numbered"/>
      </w:pPr>
      <w:bookmarkStart w:id="338" w:name="_Toc426636729"/>
      <w:bookmarkStart w:id="339" w:name="_Toc426636855"/>
      <w:bookmarkStart w:id="340" w:name="_Toc426640013"/>
      <w:r w:rsidRPr="003E302C">
        <w:t>Signature Algorithm Object Identifiers</w:t>
      </w:r>
      <w:bookmarkEnd w:id="338"/>
      <w:bookmarkEnd w:id="339"/>
      <w:bookmarkEnd w:id="340"/>
    </w:p>
    <w:p w14:paraId="3ADFC0BB" w14:textId="77777777" w:rsidR="00215226" w:rsidRPr="000713E6" w:rsidRDefault="00215226" w:rsidP="009E1994">
      <w:r w:rsidRPr="000713E6">
        <w:t>Certificates issued by Service Providers shall identify the signature algorithm using the following object identifiers:</w:t>
      </w:r>
    </w:p>
    <w:tbl>
      <w:tblPr>
        <w:tblStyle w:val="DTOTable1"/>
        <w:tblW w:w="5000" w:type="pct"/>
        <w:tblCellMar>
          <w:right w:w="0" w:type="dxa"/>
        </w:tblCellMar>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629"/>
        <w:gridCol w:w="6431"/>
      </w:tblGrid>
      <w:tr w:rsidR="009E1994" w:rsidRPr="009E1994" w14:paraId="18981049" w14:textId="77777777" w:rsidTr="00426C67">
        <w:trPr>
          <w:cnfStyle w:val="100000000000" w:firstRow="1" w:lastRow="0" w:firstColumn="0" w:lastColumn="0" w:oddVBand="0" w:evenVBand="0" w:oddHBand="0" w:evenHBand="0" w:firstRowFirstColumn="0" w:firstRowLastColumn="0" w:lastRowFirstColumn="0" w:lastRowLastColumn="0"/>
          <w:trHeight w:val="113"/>
          <w:tblHeader/>
        </w:trPr>
        <w:tc>
          <w:tcPr>
            <w:tcW w:w="1451" w:type="pct"/>
          </w:tcPr>
          <w:p w14:paraId="34F19429" w14:textId="77777777" w:rsidR="009E1994" w:rsidRPr="009E1994" w:rsidRDefault="009E1994" w:rsidP="009E1994">
            <w:pPr>
              <w:pStyle w:val="Normal-TableText"/>
            </w:pPr>
            <w:r w:rsidRPr="009E1994">
              <w:t>Object</w:t>
            </w:r>
          </w:p>
        </w:tc>
        <w:tc>
          <w:tcPr>
            <w:tcW w:w="3549" w:type="pct"/>
          </w:tcPr>
          <w:p w14:paraId="32CDB4A6" w14:textId="77777777" w:rsidR="009E1994" w:rsidRPr="009E1994" w:rsidRDefault="009E1994" w:rsidP="009E1994">
            <w:pPr>
              <w:pStyle w:val="Normal-TableText"/>
            </w:pPr>
            <w:r w:rsidRPr="009E1994">
              <w:t>Identifier</w:t>
            </w:r>
          </w:p>
        </w:tc>
      </w:tr>
      <w:tr w:rsidR="00215226" w:rsidRPr="009E1994" w14:paraId="5B0BC4CF" w14:textId="77777777" w:rsidTr="00426C67">
        <w:trPr>
          <w:trHeight w:val="113"/>
        </w:trPr>
        <w:tc>
          <w:tcPr>
            <w:tcW w:w="1451" w:type="pct"/>
          </w:tcPr>
          <w:p w14:paraId="1CB57B0A" w14:textId="77777777" w:rsidR="00215226" w:rsidRPr="009E1994" w:rsidRDefault="00215226" w:rsidP="009E1994">
            <w:pPr>
              <w:pStyle w:val="Normal-TableText"/>
            </w:pPr>
            <w:r w:rsidRPr="009E1994">
              <w:t>sha224WithRSAEncryption</w:t>
            </w:r>
          </w:p>
        </w:tc>
        <w:tc>
          <w:tcPr>
            <w:tcW w:w="3549" w:type="pct"/>
          </w:tcPr>
          <w:p w14:paraId="793E0326" w14:textId="77777777" w:rsidR="00215226" w:rsidRPr="009E1994" w:rsidRDefault="00215226" w:rsidP="004628D5">
            <w:pPr>
              <w:pStyle w:val="Normal-TableText"/>
            </w:pPr>
            <w:r w:rsidRPr="009E1994">
              <w:t>{iso(1) member-body(2) us(840) rsadsi(113549) pkcs(1) pkcs–1(1)</w:t>
            </w:r>
            <w:r w:rsidR="004628D5">
              <w:t xml:space="preserve"> </w:t>
            </w:r>
            <w:r w:rsidRPr="009E1994">
              <w:t>14}</w:t>
            </w:r>
          </w:p>
        </w:tc>
      </w:tr>
      <w:tr w:rsidR="00215226" w:rsidRPr="009E1994" w14:paraId="4CAC9753" w14:textId="77777777" w:rsidTr="00426C67">
        <w:trPr>
          <w:trHeight w:val="113"/>
        </w:trPr>
        <w:tc>
          <w:tcPr>
            <w:tcW w:w="1451" w:type="pct"/>
          </w:tcPr>
          <w:p w14:paraId="6D8A2AB7" w14:textId="77777777" w:rsidR="00215226" w:rsidRPr="009E1994" w:rsidRDefault="00215226" w:rsidP="009E1994">
            <w:pPr>
              <w:pStyle w:val="Normal-TableText"/>
            </w:pPr>
            <w:r w:rsidRPr="009E1994">
              <w:t>sha256WithRSAEncryption</w:t>
            </w:r>
          </w:p>
        </w:tc>
        <w:tc>
          <w:tcPr>
            <w:tcW w:w="3549" w:type="pct"/>
          </w:tcPr>
          <w:p w14:paraId="68958F6F" w14:textId="77777777" w:rsidR="00215226" w:rsidRPr="009E1994" w:rsidRDefault="00215226" w:rsidP="004628D5">
            <w:pPr>
              <w:pStyle w:val="Normal-TableText"/>
            </w:pPr>
            <w:r w:rsidRPr="009E1994">
              <w:t>{iso(1) member-body(2) us(840) rsadsi(113549) pkcs(1) pkcs–1(1)</w:t>
            </w:r>
            <w:r w:rsidR="004628D5">
              <w:t xml:space="preserve"> </w:t>
            </w:r>
            <w:r w:rsidRPr="009E1994">
              <w:t>11}</w:t>
            </w:r>
          </w:p>
        </w:tc>
      </w:tr>
      <w:tr w:rsidR="00215226" w:rsidRPr="009E1994" w14:paraId="0BCA241B" w14:textId="77777777" w:rsidTr="00426C67">
        <w:trPr>
          <w:trHeight w:val="113"/>
        </w:trPr>
        <w:tc>
          <w:tcPr>
            <w:tcW w:w="1451" w:type="pct"/>
          </w:tcPr>
          <w:p w14:paraId="14362A9D" w14:textId="77777777" w:rsidR="00215226" w:rsidRPr="009E1994" w:rsidRDefault="00215226" w:rsidP="009E1994">
            <w:pPr>
              <w:pStyle w:val="Normal-TableText"/>
            </w:pPr>
            <w:r w:rsidRPr="009E1994">
              <w:t>sha384WithRSAEncryption</w:t>
            </w:r>
          </w:p>
        </w:tc>
        <w:tc>
          <w:tcPr>
            <w:tcW w:w="3549" w:type="pct"/>
          </w:tcPr>
          <w:p w14:paraId="7D0D8C3E" w14:textId="77777777" w:rsidR="00215226" w:rsidRPr="009E1994" w:rsidRDefault="00215226" w:rsidP="004628D5">
            <w:pPr>
              <w:pStyle w:val="Normal-TableText"/>
            </w:pPr>
            <w:r w:rsidRPr="009E1994">
              <w:t>{iso(1) member-body(2) us(840) rsadsi(113549) pkcs(1) pkcs–1(1)</w:t>
            </w:r>
            <w:r w:rsidR="004628D5">
              <w:t xml:space="preserve"> </w:t>
            </w:r>
            <w:r w:rsidRPr="009E1994">
              <w:t>12}</w:t>
            </w:r>
          </w:p>
        </w:tc>
      </w:tr>
      <w:tr w:rsidR="00215226" w:rsidRPr="009E1994" w14:paraId="2F405623" w14:textId="77777777" w:rsidTr="00426C67">
        <w:trPr>
          <w:trHeight w:val="113"/>
        </w:trPr>
        <w:tc>
          <w:tcPr>
            <w:tcW w:w="1451" w:type="pct"/>
          </w:tcPr>
          <w:p w14:paraId="64D7E3C4" w14:textId="77777777" w:rsidR="00215226" w:rsidRPr="009E1994" w:rsidRDefault="00215226" w:rsidP="009E1994">
            <w:pPr>
              <w:pStyle w:val="Normal-TableText"/>
            </w:pPr>
            <w:r w:rsidRPr="009E1994">
              <w:t>sha512WithRSAEncryption</w:t>
            </w:r>
          </w:p>
        </w:tc>
        <w:tc>
          <w:tcPr>
            <w:tcW w:w="3549" w:type="pct"/>
          </w:tcPr>
          <w:p w14:paraId="4949CCBD" w14:textId="77777777" w:rsidR="00215226" w:rsidRPr="009E1994" w:rsidRDefault="00215226" w:rsidP="004628D5">
            <w:pPr>
              <w:pStyle w:val="Normal-TableText"/>
            </w:pPr>
            <w:r w:rsidRPr="009E1994">
              <w:t>{iso(1) member-body(2) us(840) rsadsi(113549) pkcs(1) pkcs–1(1)</w:t>
            </w:r>
            <w:r w:rsidR="004628D5">
              <w:t xml:space="preserve"> </w:t>
            </w:r>
            <w:r w:rsidRPr="009E1994">
              <w:t>13}</w:t>
            </w:r>
          </w:p>
        </w:tc>
      </w:tr>
      <w:tr w:rsidR="00215226" w:rsidRPr="009E1994" w14:paraId="14D3AB02" w14:textId="77777777" w:rsidTr="00426C67">
        <w:trPr>
          <w:trHeight w:val="113"/>
        </w:trPr>
        <w:tc>
          <w:tcPr>
            <w:tcW w:w="1451" w:type="pct"/>
          </w:tcPr>
          <w:p w14:paraId="523550A2" w14:textId="77777777" w:rsidR="00215226" w:rsidRPr="009E1994" w:rsidRDefault="00215226" w:rsidP="009E1994">
            <w:pPr>
              <w:pStyle w:val="Normal-TableText"/>
            </w:pPr>
            <w:r w:rsidRPr="009E1994">
              <w:t>ecdsa-with-SHA1</w:t>
            </w:r>
          </w:p>
        </w:tc>
        <w:tc>
          <w:tcPr>
            <w:tcW w:w="3549" w:type="pct"/>
          </w:tcPr>
          <w:p w14:paraId="62634179" w14:textId="77777777" w:rsidR="00215226" w:rsidRPr="009E1994" w:rsidRDefault="00215226" w:rsidP="004628D5">
            <w:pPr>
              <w:pStyle w:val="Normal-TableText"/>
            </w:pPr>
            <w:r w:rsidRPr="009E1994">
              <w:t>{iso(1) member-body(2) us(840) ansi-x9–62 (10045) signatures (4)</w:t>
            </w:r>
            <w:r w:rsidR="004628D5">
              <w:t xml:space="preserve"> </w:t>
            </w:r>
            <w:r w:rsidRPr="009E1994">
              <w:t>1}</w:t>
            </w:r>
          </w:p>
        </w:tc>
      </w:tr>
      <w:tr w:rsidR="00215226" w:rsidRPr="009E1994" w14:paraId="2F42B8DC" w14:textId="77777777" w:rsidTr="00426C67">
        <w:trPr>
          <w:trHeight w:val="113"/>
        </w:trPr>
        <w:tc>
          <w:tcPr>
            <w:tcW w:w="1451" w:type="pct"/>
          </w:tcPr>
          <w:p w14:paraId="17541C5C" w14:textId="77777777" w:rsidR="00215226" w:rsidRPr="009E1994" w:rsidRDefault="00215226" w:rsidP="009E1994">
            <w:pPr>
              <w:pStyle w:val="Normal-TableText"/>
            </w:pPr>
            <w:r w:rsidRPr="009E1994">
              <w:t>ecdsa-with-SHA256</w:t>
            </w:r>
          </w:p>
        </w:tc>
        <w:tc>
          <w:tcPr>
            <w:tcW w:w="3549" w:type="pct"/>
          </w:tcPr>
          <w:p w14:paraId="10D0A47B" w14:textId="77777777" w:rsidR="00215226" w:rsidRPr="009E1994" w:rsidRDefault="00215226" w:rsidP="004628D5">
            <w:pPr>
              <w:pStyle w:val="Normal-TableText"/>
            </w:pPr>
            <w:r w:rsidRPr="009E1994">
              <w:t>{iso(1) member-body(2) us(840) ansi-X9–62(10045) signatures(4)</w:t>
            </w:r>
            <w:r w:rsidR="004628D5">
              <w:br/>
            </w:r>
            <w:r w:rsidRPr="009E1994">
              <w:t>ecdsa-with-SHA2 (3) 2}</w:t>
            </w:r>
          </w:p>
        </w:tc>
      </w:tr>
    </w:tbl>
    <w:p w14:paraId="2DBA8FE9" w14:textId="77777777" w:rsidR="004628D5" w:rsidRDefault="004628D5" w:rsidP="004628D5">
      <w:bookmarkStart w:id="341" w:name="_Toc426636730"/>
      <w:bookmarkStart w:id="342" w:name="_Toc426636856"/>
      <w:bookmarkStart w:id="343" w:name="_Toc426640014"/>
    </w:p>
    <w:p w14:paraId="692FBC20" w14:textId="77777777" w:rsidR="004628D5" w:rsidRDefault="004628D5" w:rsidP="004628D5">
      <w:pPr>
        <w:rPr>
          <w:rFonts w:asciiTheme="majorHAnsi" w:eastAsiaTheme="majorEastAsia" w:hAnsiTheme="majorHAnsi" w:cstheme="majorBidi"/>
          <w:sz w:val="28"/>
        </w:rPr>
      </w:pPr>
      <w:r>
        <w:br w:type="page"/>
      </w:r>
    </w:p>
    <w:p w14:paraId="675119B3" w14:textId="77777777" w:rsidR="00215226" w:rsidRPr="003E302C" w:rsidRDefault="00215226" w:rsidP="009E1994">
      <w:pPr>
        <w:pStyle w:val="Heading3Numbered"/>
      </w:pPr>
      <w:r w:rsidRPr="003E302C">
        <w:lastRenderedPageBreak/>
        <w:t>Subject Public Key Algorithm Object Identifiers</w:t>
      </w:r>
      <w:bookmarkEnd w:id="341"/>
      <w:bookmarkEnd w:id="342"/>
      <w:bookmarkEnd w:id="343"/>
    </w:p>
    <w:p w14:paraId="2D53CE75" w14:textId="77777777" w:rsidR="00215226" w:rsidRPr="000713E6" w:rsidRDefault="00215226" w:rsidP="009E1994">
      <w:r w:rsidRPr="000713E6">
        <w:t>Certificates issued by Service Providers shall identify the cryptographic algorithm associated with the subject public key using the following object identifiers:</w:t>
      </w:r>
    </w:p>
    <w:tbl>
      <w:tblPr>
        <w:tblStyle w:val="DTOTable1"/>
        <w:tblW w:w="9071" w:type="dxa"/>
        <w:tblLayout w:type="fixed"/>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268"/>
        <w:gridCol w:w="6803"/>
      </w:tblGrid>
      <w:tr w:rsidR="009E1994" w:rsidRPr="000713E6" w14:paraId="04541702" w14:textId="77777777" w:rsidTr="0030777B">
        <w:trPr>
          <w:cnfStyle w:val="100000000000" w:firstRow="1" w:lastRow="0" w:firstColumn="0" w:lastColumn="0" w:oddVBand="0" w:evenVBand="0" w:oddHBand="0" w:evenHBand="0" w:firstRowFirstColumn="0" w:firstRowLastColumn="0" w:lastRowFirstColumn="0" w:lastRowLastColumn="0"/>
          <w:trHeight w:val="113"/>
          <w:tblHeader/>
        </w:trPr>
        <w:tc>
          <w:tcPr>
            <w:tcW w:w="2268" w:type="dxa"/>
          </w:tcPr>
          <w:p w14:paraId="03241D99" w14:textId="77777777" w:rsidR="009E1994" w:rsidRPr="009E1994" w:rsidRDefault="009E1994" w:rsidP="009E1994">
            <w:pPr>
              <w:pStyle w:val="Normal-TableText"/>
            </w:pPr>
            <w:r w:rsidRPr="009E1994">
              <w:t>Object</w:t>
            </w:r>
          </w:p>
        </w:tc>
        <w:tc>
          <w:tcPr>
            <w:tcW w:w="6803" w:type="dxa"/>
          </w:tcPr>
          <w:p w14:paraId="1B9027D0" w14:textId="77777777" w:rsidR="009E1994" w:rsidRPr="009E1994" w:rsidRDefault="009E1994" w:rsidP="009E1994">
            <w:pPr>
              <w:pStyle w:val="Normal-TableText"/>
            </w:pPr>
            <w:r w:rsidRPr="009E1994">
              <w:t>Identifier</w:t>
            </w:r>
          </w:p>
        </w:tc>
      </w:tr>
      <w:tr w:rsidR="00215226" w:rsidRPr="000713E6" w14:paraId="1E703FF3" w14:textId="77777777" w:rsidTr="0030777B">
        <w:trPr>
          <w:trHeight w:val="113"/>
        </w:trPr>
        <w:tc>
          <w:tcPr>
            <w:tcW w:w="2268" w:type="dxa"/>
          </w:tcPr>
          <w:p w14:paraId="290353F0" w14:textId="77777777" w:rsidR="00215226" w:rsidRPr="000713E6" w:rsidRDefault="00215226" w:rsidP="009E1994">
            <w:pPr>
              <w:pStyle w:val="Normal-TableText"/>
            </w:pPr>
            <w:r w:rsidRPr="00C6440C">
              <w:t>R</w:t>
            </w:r>
            <w:r w:rsidRPr="000713E6">
              <w:t>s</w:t>
            </w:r>
            <w:r w:rsidRPr="00C6440C">
              <w:t>a</w:t>
            </w:r>
            <w:r w:rsidRPr="000713E6">
              <w:t>En</w:t>
            </w:r>
            <w:r w:rsidRPr="00C6440C">
              <w:t>cry</w:t>
            </w:r>
            <w:r w:rsidRPr="000713E6">
              <w:t>ption</w:t>
            </w:r>
          </w:p>
        </w:tc>
        <w:tc>
          <w:tcPr>
            <w:tcW w:w="6803" w:type="dxa"/>
          </w:tcPr>
          <w:p w14:paraId="7FB7D81A" w14:textId="77777777" w:rsidR="00215226" w:rsidRPr="000713E6" w:rsidRDefault="00215226" w:rsidP="009E1994">
            <w:pPr>
              <w:pStyle w:val="Normal-TableText"/>
            </w:pPr>
            <w:r w:rsidRPr="000713E6">
              <w:t>{iso</w:t>
            </w:r>
            <w:r w:rsidRPr="00C6440C">
              <w:t>(</w:t>
            </w:r>
            <w:r w:rsidRPr="000713E6">
              <w:t>1)</w:t>
            </w:r>
            <w:r w:rsidRPr="00C6440C">
              <w:t xml:space="preserve"> </w:t>
            </w:r>
            <w:r w:rsidRPr="000713E6">
              <w:t>m</w:t>
            </w:r>
            <w:r w:rsidRPr="00C6440C">
              <w:t>e</w:t>
            </w:r>
            <w:r w:rsidRPr="000713E6">
              <w:t>mb</w:t>
            </w:r>
            <w:r w:rsidRPr="00C6440C">
              <w:t>er-</w:t>
            </w:r>
            <w:r w:rsidRPr="000713E6">
              <w:t>bo</w:t>
            </w:r>
            <w:r w:rsidRPr="00C6440C">
              <w:t>dy(</w:t>
            </w:r>
            <w:r w:rsidRPr="000713E6">
              <w:t>2)</w:t>
            </w:r>
            <w:r w:rsidRPr="00C6440C">
              <w:t xml:space="preserve"> </w:t>
            </w:r>
            <w:r w:rsidRPr="000713E6">
              <w:t>us</w:t>
            </w:r>
            <w:r w:rsidRPr="00C6440C">
              <w:t>(</w:t>
            </w:r>
            <w:r w:rsidRPr="000713E6">
              <w:t>840)</w:t>
            </w:r>
            <w:r w:rsidRPr="00C6440C">
              <w:t xml:space="preserve"> r</w:t>
            </w:r>
            <w:r w:rsidRPr="000713E6">
              <w:t>s</w:t>
            </w:r>
            <w:r w:rsidRPr="00C6440C">
              <w:t>a</w:t>
            </w:r>
            <w:r w:rsidRPr="000713E6">
              <w:t>dsi</w:t>
            </w:r>
            <w:r w:rsidRPr="00C6440C">
              <w:t>(</w:t>
            </w:r>
            <w:r w:rsidRPr="000713E6">
              <w:t>113549)</w:t>
            </w:r>
            <w:r w:rsidRPr="00C6440C">
              <w:t xml:space="preserve"> PK</w:t>
            </w:r>
            <w:r w:rsidRPr="000713E6">
              <w:t>I</w:t>
            </w:r>
            <w:r w:rsidRPr="00C6440C">
              <w:t xml:space="preserve"> cer</w:t>
            </w:r>
            <w:r w:rsidRPr="000713E6">
              <w:t>ti</w:t>
            </w:r>
            <w:r w:rsidRPr="00C6440C">
              <w:t>f</w:t>
            </w:r>
            <w:r w:rsidRPr="000713E6">
              <w:t>i</w:t>
            </w:r>
            <w:r w:rsidRPr="00C6440C">
              <w:t>ca</w:t>
            </w:r>
            <w:r w:rsidRPr="000713E6">
              <w:t>t</w:t>
            </w:r>
            <w:r w:rsidRPr="00C6440C">
              <w:t>e</w:t>
            </w:r>
            <w:r w:rsidRPr="000713E6">
              <w:t>s</w:t>
            </w:r>
            <w:r w:rsidRPr="00C6440C">
              <w:t>(1</w:t>
            </w:r>
            <w:r w:rsidRPr="000713E6">
              <w:t>)</w:t>
            </w:r>
            <w:r w:rsidRPr="00C6440C">
              <w:t xml:space="preserve"> PK</w:t>
            </w:r>
            <w:r w:rsidRPr="000713E6">
              <w:t>I</w:t>
            </w:r>
          </w:p>
          <w:p w14:paraId="4AEA6D4F" w14:textId="77777777" w:rsidR="00215226" w:rsidRPr="000713E6" w:rsidRDefault="00215226" w:rsidP="009E1994">
            <w:pPr>
              <w:pStyle w:val="Normal-TableText"/>
            </w:pPr>
            <w:r w:rsidRPr="00C6440C">
              <w:t>cer</w:t>
            </w:r>
            <w:r w:rsidRPr="000713E6">
              <w:t>ti</w:t>
            </w:r>
            <w:r w:rsidRPr="00C6440C">
              <w:t>f</w:t>
            </w:r>
            <w:r w:rsidRPr="000713E6">
              <w:t>i</w:t>
            </w:r>
            <w:r w:rsidRPr="00C6440C">
              <w:t>ca</w:t>
            </w:r>
            <w:r w:rsidRPr="000713E6">
              <w:t>t</w:t>
            </w:r>
            <w:r w:rsidRPr="00C6440C">
              <w:t>e</w:t>
            </w:r>
            <w:r w:rsidRPr="000713E6">
              <w:t>s</w:t>
            </w:r>
            <w:r w:rsidRPr="00C6440C">
              <w:t>–1(1</w:t>
            </w:r>
            <w:r w:rsidRPr="000713E6">
              <w:t>)</w:t>
            </w:r>
            <w:r w:rsidRPr="00C6440C">
              <w:t xml:space="preserve"> </w:t>
            </w:r>
            <w:r w:rsidRPr="000713E6">
              <w:t>1 }</w:t>
            </w:r>
          </w:p>
        </w:tc>
      </w:tr>
      <w:tr w:rsidR="00215226" w:rsidRPr="000713E6" w14:paraId="16686158" w14:textId="77777777" w:rsidTr="0030777B">
        <w:trPr>
          <w:trHeight w:val="113"/>
        </w:trPr>
        <w:tc>
          <w:tcPr>
            <w:tcW w:w="2268" w:type="dxa"/>
          </w:tcPr>
          <w:p w14:paraId="5352155C" w14:textId="77777777" w:rsidR="00215226" w:rsidRPr="000713E6" w:rsidRDefault="00215226" w:rsidP="009E1994">
            <w:pPr>
              <w:pStyle w:val="Normal-TableText"/>
            </w:pPr>
            <w:r w:rsidRPr="00C6440C">
              <w:t>Id-ecP</w:t>
            </w:r>
            <w:r w:rsidRPr="000713E6">
              <w:t>ubli</w:t>
            </w:r>
            <w:r w:rsidRPr="00C6440C">
              <w:t>cKe</w:t>
            </w:r>
            <w:r w:rsidRPr="000713E6">
              <w:t>y</w:t>
            </w:r>
          </w:p>
        </w:tc>
        <w:tc>
          <w:tcPr>
            <w:tcW w:w="6803" w:type="dxa"/>
          </w:tcPr>
          <w:p w14:paraId="0F0A3A39" w14:textId="77777777" w:rsidR="00215226" w:rsidRPr="000713E6" w:rsidRDefault="00215226" w:rsidP="009E1994">
            <w:pPr>
              <w:pStyle w:val="Normal-TableText"/>
            </w:pPr>
            <w:r w:rsidRPr="000713E6">
              <w:t>{iso</w:t>
            </w:r>
            <w:r w:rsidRPr="00C6440C">
              <w:t>(</w:t>
            </w:r>
            <w:r w:rsidRPr="000713E6">
              <w:t>1)</w:t>
            </w:r>
            <w:r w:rsidRPr="00C6440C">
              <w:t xml:space="preserve"> </w:t>
            </w:r>
            <w:r w:rsidRPr="000713E6">
              <w:t>m</w:t>
            </w:r>
            <w:r w:rsidRPr="00C6440C">
              <w:t>e</w:t>
            </w:r>
            <w:r w:rsidRPr="000713E6">
              <w:t>mb</w:t>
            </w:r>
            <w:r w:rsidRPr="00C6440C">
              <w:t>er-</w:t>
            </w:r>
            <w:r w:rsidRPr="000713E6">
              <w:t>bo</w:t>
            </w:r>
            <w:r w:rsidRPr="00C6440C">
              <w:t>dy(</w:t>
            </w:r>
            <w:r w:rsidRPr="000713E6">
              <w:t>2)</w:t>
            </w:r>
            <w:r w:rsidRPr="00C6440C">
              <w:t xml:space="preserve"> </w:t>
            </w:r>
            <w:r w:rsidRPr="000713E6">
              <w:t>us</w:t>
            </w:r>
            <w:r w:rsidRPr="00C6440C">
              <w:t>(</w:t>
            </w:r>
            <w:r w:rsidRPr="000713E6">
              <w:t>840)</w:t>
            </w:r>
            <w:r w:rsidRPr="00C6440C">
              <w:t xml:space="preserve"> a</w:t>
            </w:r>
            <w:r w:rsidRPr="000713E6">
              <w:t>nsi</w:t>
            </w:r>
            <w:r w:rsidRPr="00C6440C">
              <w:t>-x</w:t>
            </w:r>
            <w:r w:rsidRPr="000713E6">
              <w:t>9</w:t>
            </w:r>
            <w:r w:rsidRPr="00C6440C">
              <w:t>–6</w:t>
            </w:r>
            <w:r w:rsidRPr="000713E6">
              <w:t>2</w:t>
            </w:r>
            <w:r w:rsidRPr="00C6440C">
              <w:t>(</w:t>
            </w:r>
            <w:r w:rsidRPr="000713E6">
              <w:t>100</w:t>
            </w:r>
            <w:r w:rsidRPr="00C6440C">
              <w:t>4</w:t>
            </w:r>
            <w:r w:rsidRPr="000713E6">
              <w:t>5)</w:t>
            </w:r>
            <w:r w:rsidRPr="00C6440C">
              <w:t xml:space="preserve"> </w:t>
            </w:r>
            <w:r w:rsidRPr="000713E6">
              <w:t>public</w:t>
            </w:r>
            <w:r w:rsidRPr="00C6440C">
              <w:t xml:space="preserve"> </w:t>
            </w:r>
            <w:r w:rsidRPr="000713E6">
              <w:t>k</w:t>
            </w:r>
            <w:r w:rsidRPr="00C6440C">
              <w:t>ey-ty</w:t>
            </w:r>
            <w:r w:rsidRPr="000713E6">
              <w:t>pe</w:t>
            </w:r>
            <w:r w:rsidRPr="00C6440C">
              <w:t xml:space="preserve"> (2</w:t>
            </w:r>
            <w:r w:rsidRPr="000713E6">
              <w:t>)</w:t>
            </w:r>
            <w:r w:rsidRPr="00C6440C">
              <w:t xml:space="preserve"> </w:t>
            </w:r>
            <w:r w:rsidRPr="000713E6">
              <w:t>1}</w:t>
            </w:r>
          </w:p>
        </w:tc>
      </w:tr>
      <w:tr w:rsidR="00215226" w:rsidRPr="000713E6" w14:paraId="02DC42F5" w14:textId="77777777" w:rsidTr="0030777B">
        <w:trPr>
          <w:trHeight w:val="113"/>
        </w:trPr>
        <w:tc>
          <w:tcPr>
            <w:tcW w:w="2268" w:type="dxa"/>
          </w:tcPr>
          <w:p w14:paraId="3D6B2F22" w14:textId="77777777" w:rsidR="00215226" w:rsidRPr="000713E6" w:rsidRDefault="00215226" w:rsidP="009E1994">
            <w:pPr>
              <w:pStyle w:val="Normal-TableText"/>
            </w:pPr>
            <w:r w:rsidRPr="000713E6">
              <w:t>id</w:t>
            </w:r>
            <w:r w:rsidRPr="00C6440C">
              <w:t>-ec</w:t>
            </w:r>
            <w:r w:rsidRPr="000713E6">
              <w:t>DH</w:t>
            </w:r>
          </w:p>
        </w:tc>
        <w:tc>
          <w:tcPr>
            <w:tcW w:w="6803" w:type="dxa"/>
          </w:tcPr>
          <w:p w14:paraId="53FBEDBD" w14:textId="77777777" w:rsidR="00215226" w:rsidRPr="000713E6" w:rsidRDefault="00215226" w:rsidP="009E1994">
            <w:pPr>
              <w:pStyle w:val="Normal-TableText"/>
            </w:pPr>
            <w:r w:rsidRPr="000713E6">
              <w:t>{iso</w:t>
            </w:r>
            <w:r w:rsidRPr="00C6440C">
              <w:t>(</w:t>
            </w:r>
            <w:r w:rsidRPr="000713E6">
              <w:t>1)</w:t>
            </w:r>
            <w:r w:rsidRPr="00C6440C">
              <w:t xml:space="preserve"> </w:t>
            </w:r>
            <w:r w:rsidRPr="000713E6">
              <w:t>id</w:t>
            </w:r>
            <w:r w:rsidRPr="00C6440C">
              <w:t>e</w:t>
            </w:r>
            <w:r w:rsidRPr="000713E6">
              <w:t>nti</w:t>
            </w:r>
            <w:r w:rsidRPr="00C6440C">
              <w:t>f</w:t>
            </w:r>
            <w:r w:rsidRPr="000713E6">
              <w:t>i</w:t>
            </w:r>
            <w:r w:rsidRPr="00C6440C">
              <w:t>e</w:t>
            </w:r>
            <w:r w:rsidRPr="000713E6">
              <w:t>d</w:t>
            </w:r>
            <w:r w:rsidRPr="00C6440C">
              <w:t>-</w:t>
            </w:r>
            <w:r w:rsidRPr="000713E6">
              <w:t>o</w:t>
            </w:r>
            <w:r w:rsidRPr="00C6440C">
              <w:t>r</w:t>
            </w:r>
            <w:r w:rsidRPr="000713E6">
              <w:t>g</w:t>
            </w:r>
            <w:r w:rsidRPr="00C6440C">
              <w:t>a</w:t>
            </w:r>
            <w:r w:rsidRPr="000713E6">
              <w:t>ni</w:t>
            </w:r>
            <w:r w:rsidRPr="00C6440C">
              <w:t>za</w:t>
            </w:r>
            <w:r w:rsidRPr="000713E6">
              <w:t>tion</w:t>
            </w:r>
            <w:r w:rsidRPr="00C6440C">
              <w:t>(</w:t>
            </w:r>
            <w:r w:rsidRPr="000713E6">
              <w:t>3)</w:t>
            </w:r>
            <w:r w:rsidRPr="00C6440C">
              <w:t xml:space="preserve"> cer</w:t>
            </w:r>
            <w:r w:rsidRPr="000713E6">
              <w:t>ti</w:t>
            </w:r>
            <w:r w:rsidRPr="00C6440C">
              <w:t>c</w:t>
            </w:r>
            <w:r w:rsidRPr="000713E6">
              <w:t>om</w:t>
            </w:r>
            <w:r w:rsidRPr="00C6440C">
              <w:t>(</w:t>
            </w:r>
            <w:r w:rsidRPr="000713E6">
              <w:t>132)</w:t>
            </w:r>
            <w:r w:rsidRPr="00C6440C">
              <w:t xml:space="preserve"> </w:t>
            </w:r>
            <w:r w:rsidRPr="000713E6">
              <w:t>s</w:t>
            </w:r>
            <w:r w:rsidRPr="00C6440C">
              <w:t>c</w:t>
            </w:r>
            <w:r w:rsidRPr="000713E6">
              <w:t>h</w:t>
            </w:r>
            <w:r w:rsidRPr="00C6440C">
              <w:t>e</w:t>
            </w:r>
            <w:r w:rsidRPr="000713E6">
              <w:t>m</w:t>
            </w:r>
            <w:r w:rsidRPr="00C6440C">
              <w:t>e</w:t>
            </w:r>
            <w:r w:rsidRPr="000713E6">
              <w:t>s</w:t>
            </w:r>
            <w:r w:rsidRPr="00C6440C">
              <w:t>(</w:t>
            </w:r>
            <w:r w:rsidRPr="000713E6">
              <w:t>1)</w:t>
            </w:r>
            <w:r w:rsidRPr="00C6440C">
              <w:t xml:space="preserve"> ec</w:t>
            </w:r>
            <w:r w:rsidRPr="000713E6">
              <w:t>dh</w:t>
            </w:r>
            <w:r w:rsidRPr="00C6440C">
              <w:t>(</w:t>
            </w:r>
            <w:r w:rsidRPr="000713E6">
              <w:t>1</w:t>
            </w:r>
            <w:r w:rsidRPr="00C6440C">
              <w:t>2)</w:t>
            </w:r>
            <w:r w:rsidRPr="000713E6">
              <w:t>}</w:t>
            </w:r>
          </w:p>
        </w:tc>
      </w:tr>
      <w:tr w:rsidR="00215226" w:rsidRPr="000713E6" w14:paraId="53240735" w14:textId="77777777" w:rsidTr="0030777B">
        <w:trPr>
          <w:trHeight w:val="113"/>
        </w:trPr>
        <w:tc>
          <w:tcPr>
            <w:tcW w:w="2268" w:type="dxa"/>
          </w:tcPr>
          <w:p w14:paraId="57015591" w14:textId="77777777" w:rsidR="00215226" w:rsidRPr="000713E6" w:rsidRDefault="00215226" w:rsidP="009E1994">
            <w:pPr>
              <w:pStyle w:val="Normal-TableText"/>
            </w:pPr>
            <w:r w:rsidRPr="000713E6">
              <w:t>Dhpubli</w:t>
            </w:r>
            <w:r w:rsidRPr="00C6440C">
              <w:t>c</w:t>
            </w:r>
            <w:r w:rsidRPr="000713E6">
              <w:t>numb</w:t>
            </w:r>
            <w:r w:rsidRPr="00C6440C">
              <w:t>e</w:t>
            </w:r>
            <w:r w:rsidRPr="000713E6">
              <w:t>r</w:t>
            </w:r>
          </w:p>
        </w:tc>
        <w:tc>
          <w:tcPr>
            <w:tcW w:w="6803" w:type="dxa"/>
          </w:tcPr>
          <w:p w14:paraId="693C8E17" w14:textId="77777777" w:rsidR="00215226" w:rsidRPr="000713E6" w:rsidRDefault="00215226" w:rsidP="009E1994">
            <w:pPr>
              <w:pStyle w:val="Normal-TableText"/>
            </w:pPr>
            <w:r w:rsidRPr="000713E6">
              <w:t>{iso</w:t>
            </w:r>
            <w:r w:rsidRPr="00C6440C">
              <w:t>(</w:t>
            </w:r>
            <w:r w:rsidRPr="000713E6">
              <w:t>1)</w:t>
            </w:r>
            <w:r w:rsidRPr="00C6440C">
              <w:t xml:space="preserve"> </w:t>
            </w:r>
            <w:r w:rsidRPr="000713E6">
              <w:t>m</w:t>
            </w:r>
            <w:r w:rsidRPr="00C6440C">
              <w:t>e</w:t>
            </w:r>
            <w:r w:rsidRPr="000713E6">
              <w:t>mb</w:t>
            </w:r>
            <w:r w:rsidRPr="00C6440C">
              <w:t>er-</w:t>
            </w:r>
            <w:r w:rsidRPr="000713E6">
              <w:t>bo</w:t>
            </w:r>
            <w:r w:rsidRPr="00C6440C">
              <w:t>dy(</w:t>
            </w:r>
            <w:r w:rsidRPr="000713E6">
              <w:t>2)</w:t>
            </w:r>
            <w:r w:rsidRPr="00C6440C">
              <w:t xml:space="preserve"> </w:t>
            </w:r>
            <w:r w:rsidRPr="000713E6">
              <w:t>us</w:t>
            </w:r>
            <w:r w:rsidRPr="00C6440C">
              <w:t>(</w:t>
            </w:r>
            <w:r w:rsidRPr="000713E6">
              <w:t>840)</w:t>
            </w:r>
            <w:r w:rsidRPr="00C6440C">
              <w:t xml:space="preserve"> a</w:t>
            </w:r>
            <w:r w:rsidRPr="000713E6">
              <w:t>nsi</w:t>
            </w:r>
            <w:r w:rsidRPr="00C6440C">
              <w:t>-x</w:t>
            </w:r>
            <w:r w:rsidRPr="000713E6">
              <w:t>942</w:t>
            </w:r>
            <w:r w:rsidRPr="00C6440C">
              <w:t>(</w:t>
            </w:r>
            <w:r w:rsidRPr="000713E6">
              <w:t>10046)</w:t>
            </w:r>
            <w:r w:rsidRPr="00C6440C">
              <w:t xml:space="preserve"> </w:t>
            </w:r>
            <w:r w:rsidRPr="000713E6">
              <w:t>numb</w:t>
            </w:r>
            <w:r w:rsidRPr="00C6440C">
              <w:t>er-ty</w:t>
            </w:r>
            <w:r w:rsidRPr="000713E6">
              <w:t>p</w:t>
            </w:r>
            <w:r w:rsidRPr="00C6440C">
              <w:t>e(</w:t>
            </w:r>
            <w:r w:rsidRPr="000713E6">
              <w:t>2)</w:t>
            </w:r>
            <w:r w:rsidRPr="00C6440C">
              <w:t xml:space="preserve"> </w:t>
            </w:r>
            <w:r w:rsidRPr="000713E6">
              <w:t>1}</w:t>
            </w:r>
          </w:p>
        </w:tc>
      </w:tr>
    </w:tbl>
    <w:p w14:paraId="283569F3" w14:textId="77777777" w:rsidR="00215226" w:rsidRPr="003E302C" w:rsidRDefault="00215226" w:rsidP="00E64190">
      <w:pPr>
        <w:pStyle w:val="Heading3Numbered"/>
      </w:pPr>
      <w:bookmarkStart w:id="344" w:name="_Toc426636731"/>
      <w:bookmarkStart w:id="345" w:name="_Toc426636857"/>
      <w:bookmarkStart w:id="346" w:name="_Toc426640015"/>
      <w:r w:rsidRPr="003E302C">
        <w:t>Elliptic Curve Public Key Curve Object Identifiers</w:t>
      </w:r>
      <w:bookmarkEnd w:id="344"/>
      <w:bookmarkEnd w:id="345"/>
      <w:bookmarkEnd w:id="346"/>
    </w:p>
    <w:p w14:paraId="242E661F" w14:textId="77777777" w:rsidR="00215226" w:rsidRPr="000713E6" w:rsidRDefault="00215226" w:rsidP="0030777B">
      <w:r w:rsidRPr="000713E6">
        <w:t>Where certificates contain an elliptic curve public key, the parameters shall be specified as one of the following named curves:</w:t>
      </w:r>
    </w:p>
    <w:tbl>
      <w:tblPr>
        <w:tblStyle w:val="DTOTable1"/>
        <w:tblW w:w="9071" w:type="dxa"/>
        <w:tblLayout w:type="fixed"/>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268"/>
        <w:gridCol w:w="6803"/>
      </w:tblGrid>
      <w:tr w:rsidR="0030777B" w:rsidRPr="00E64190" w14:paraId="55023113" w14:textId="77777777" w:rsidTr="0030777B">
        <w:trPr>
          <w:cnfStyle w:val="100000000000" w:firstRow="1" w:lastRow="0" w:firstColumn="0" w:lastColumn="0" w:oddVBand="0" w:evenVBand="0" w:oddHBand="0" w:evenHBand="0" w:firstRowFirstColumn="0" w:firstRowLastColumn="0" w:lastRowFirstColumn="0" w:lastRowLastColumn="0"/>
          <w:trHeight w:hRule="exact" w:val="365"/>
          <w:tblHeader/>
        </w:trPr>
        <w:tc>
          <w:tcPr>
            <w:tcW w:w="2268" w:type="dxa"/>
          </w:tcPr>
          <w:p w14:paraId="23107ABF" w14:textId="77777777" w:rsidR="0030777B" w:rsidRPr="00E64190" w:rsidRDefault="0030777B" w:rsidP="00E64190">
            <w:pPr>
              <w:pStyle w:val="Normal-TableText"/>
            </w:pPr>
            <w:r w:rsidRPr="00E64190">
              <w:t>Object</w:t>
            </w:r>
          </w:p>
        </w:tc>
        <w:tc>
          <w:tcPr>
            <w:tcW w:w="6803" w:type="dxa"/>
          </w:tcPr>
          <w:p w14:paraId="4A41AFCD" w14:textId="77777777" w:rsidR="0030777B" w:rsidRPr="00E64190" w:rsidRDefault="0030777B" w:rsidP="00E64190">
            <w:pPr>
              <w:pStyle w:val="Normal-TableText"/>
            </w:pPr>
            <w:r w:rsidRPr="00E64190">
              <w:t>Identifier</w:t>
            </w:r>
          </w:p>
        </w:tc>
      </w:tr>
      <w:tr w:rsidR="00215226" w:rsidRPr="00E64190" w14:paraId="331BA600" w14:textId="77777777" w:rsidTr="0030777B">
        <w:trPr>
          <w:trHeight w:hRule="exact" w:val="365"/>
        </w:trPr>
        <w:tc>
          <w:tcPr>
            <w:tcW w:w="2268" w:type="dxa"/>
          </w:tcPr>
          <w:p w14:paraId="50218B6E" w14:textId="77777777" w:rsidR="00215226" w:rsidRPr="00E64190" w:rsidRDefault="00215226" w:rsidP="00E64190">
            <w:pPr>
              <w:pStyle w:val="Normal-TableText"/>
            </w:pPr>
            <w:r w:rsidRPr="00E64190">
              <w:t>ansip256r1</w:t>
            </w:r>
          </w:p>
        </w:tc>
        <w:tc>
          <w:tcPr>
            <w:tcW w:w="6803" w:type="dxa"/>
          </w:tcPr>
          <w:p w14:paraId="31EED986" w14:textId="77777777" w:rsidR="00215226" w:rsidRPr="00E64190" w:rsidRDefault="00215226" w:rsidP="00E64190">
            <w:pPr>
              <w:pStyle w:val="Normal-TableText"/>
            </w:pPr>
            <w:r w:rsidRPr="00E64190">
              <w:t>{iso(1) member-body(2) us(840) 10045 curves(3) prime(1) 7}</w:t>
            </w:r>
          </w:p>
        </w:tc>
      </w:tr>
      <w:tr w:rsidR="00215226" w:rsidRPr="00E64190" w14:paraId="55A3854F" w14:textId="77777777" w:rsidTr="0030777B">
        <w:trPr>
          <w:trHeight w:hRule="exact" w:val="367"/>
        </w:trPr>
        <w:tc>
          <w:tcPr>
            <w:tcW w:w="2268" w:type="dxa"/>
          </w:tcPr>
          <w:p w14:paraId="46BC09F1" w14:textId="77777777" w:rsidR="00215226" w:rsidRPr="00E64190" w:rsidRDefault="00215226" w:rsidP="00E64190">
            <w:pPr>
              <w:pStyle w:val="Normal-TableText"/>
            </w:pPr>
            <w:r w:rsidRPr="00E64190">
              <w:t>ansip384r1</w:t>
            </w:r>
          </w:p>
        </w:tc>
        <w:tc>
          <w:tcPr>
            <w:tcW w:w="6803" w:type="dxa"/>
          </w:tcPr>
          <w:p w14:paraId="36D64861" w14:textId="77777777" w:rsidR="00215226" w:rsidRPr="00E64190" w:rsidRDefault="00215226" w:rsidP="00E64190">
            <w:pPr>
              <w:pStyle w:val="Normal-TableText"/>
            </w:pPr>
            <w:r w:rsidRPr="00E64190">
              <w:t>{iso(1) identified-organization(3) certicom(132) curve(0) 34}</w:t>
            </w:r>
          </w:p>
        </w:tc>
      </w:tr>
      <w:tr w:rsidR="00215226" w:rsidRPr="00E64190" w14:paraId="5A8E7360" w14:textId="77777777" w:rsidTr="0030777B">
        <w:trPr>
          <w:trHeight w:hRule="exact" w:val="365"/>
        </w:trPr>
        <w:tc>
          <w:tcPr>
            <w:tcW w:w="2268" w:type="dxa"/>
          </w:tcPr>
          <w:p w14:paraId="7D3DF9E4" w14:textId="77777777" w:rsidR="00215226" w:rsidRPr="00E64190" w:rsidRDefault="00215226" w:rsidP="00E64190">
            <w:pPr>
              <w:pStyle w:val="Normal-TableText"/>
            </w:pPr>
            <w:r w:rsidRPr="00E64190">
              <w:t>ansip521r1</w:t>
            </w:r>
          </w:p>
        </w:tc>
        <w:tc>
          <w:tcPr>
            <w:tcW w:w="6803" w:type="dxa"/>
          </w:tcPr>
          <w:p w14:paraId="4DA8A9FF" w14:textId="77777777" w:rsidR="00215226" w:rsidRPr="00E64190" w:rsidRDefault="00215226" w:rsidP="00E64190">
            <w:pPr>
              <w:pStyle w:val="Normal-TableText"/>
            </w:pPr>
            <w:r w:rsidRPr="00E64190">
              <w:t>{iso(1) identified-organization(3) certicom(132) curve(0) 35}</w:t>
            </w:r>
          </w:p>
        </w:tc>
      </w:tr>
    </w:tbl>
    <w:p w14:paraId="25ED1E9D" w14:textId="77777777" w:rsidR="00215226" w:rsidRPr="00ED447E" w:rsidRDefault="00215226" w:rsidP="0030777B">
      <w:pPr>
        <w:pStyle w:val="Heading1Numbered"/>
      </w:pPr>
      <w:bookmarkStart w:id="347" w:name="_Toc430268955"/>
      <w:r w:rsidRPr="00ED447E">
        <w:lastRenderedPageBreak/>
        <w:t>Validation Authority</w:t>
      </w:r>
      <w:bookmarkEnd w:id="347"/>
    </w:p>
    <w:p w14:paraId="14BC46BA" w14:textId="77777777" w:rsidR="00215226" w:rsidRPr="00ED447E" w:rsidRDefault="00215226" w:rsidP="0030777B">
      <w:pPr>
        <w:pStyle w:val="Heading2Numbered"/>
      </w:pPr>
      <w:bookmarkStart w:id="348" w:name="_Toc426636732"/>
      <w:bookmarkStart w:id="349" w:name="_Toc426640016"/>
      <w:bookmarkStart w:id="350" w:name="_Toc430268956"/>
      <w:r w:rsidRPr="00ED447E">
        <w:t>Validation Authority</w:t>
      </w:r>
      <w:bookmarkEnd w:id="348"/>
      <w:bookmarkEnd w:id="349"/>
      <w:bookmarkEnd w:id="350"/>
    </w:p>
    <w:p w14:paraId="15F2114F" w14:textId="77777777" w:rsidR="00215226" w:rsidRPr="000713E6" w:rsidRDefault="00215226" w:rsidP="0030777B">
      <w:r w:rsidRPr="000713E6">
        <w:t>A Validation Authority’s primary responsibility is to confirm the currency of a Subscriber’s digital certificate by checking the revocation status of the certificate and advising the Relying Party.</w:t>
      </w:r>
      <w:r>
        <w:t xml:space="preserve"> </w:t>
      </w:r>
      <w:r w:rsidRPr="000713E6">
        <w:t>This function may involve the VA either checking the revocation status directly with the issuing CA or by the VA itself hosting a copy of the CRL generated by the CA.</w:t>
      </w:r>
    </w:p>
    <w:p w14:paraId="028EBEF9" w14:textId="77777777" w:rsidR="00215226" w:rsidRPr="000713E6" w:rsidRDefault="00215226" w:rsidP="0030777B">
      <w:r w:rsidRPr="000713E6">
        <w:t>A VA will not confirm or otherwise assert whether the certificate is being used within other limits imposed by the issuing CA and published in the relevant CP – this responsibility remains with the Relying Party.</w:t>
      </w:r>
    </w:p>
    <w:p w14:paraId="3940FD92" w14:textId="77777777" w:rsidR="00215226" w:rsidRDefault="00215226" w:rsidP="0030777B">
      <w:r w:rsidRPr="000713E6">
        <w:t>Gatekeeper Accreditation requires there be confidence that the functions performed by the CA and VA interlock satisfactorily to form a consistent and reliable chain of trust.</w:t>
      </w:r>
      <w:r>
        <w:t xml:space="preserve"> </w:t>
      </w:r>
      <w:r w:rsidRPr="000713E6">
        <w:t>The CA creates and issues digital certificates to Subscribers.</w:t>
      </w:r>
    </w:p>
    <w:p w14:paraId="0D4C9CD7" w14:textId="28AED751" w:rsidR="00215226" w:rsidRPr="000713E6" w:rsidRDefault="00215226" w:rsidP="0030777B">
      <w:r w:rsidRPr="000713E6">
        <w:t xml:space="preserve">The VA acts as an intermediary between Subscribers and Relying Parties by verifying the currency of digital certificates. It must be trusted by all parties to perform this role to the required LOA. For example, if a CA accredited at LOA 3 utilises a VA then the VA must also obtain LOA 3 accreditation. The protective security requirements to be met by the VA are the same as for CAs (see section </w:t>
      </w:r>
      <w:r w:rsidR="00496C05">
        <w:fldChar w:fldCharType="begin"/>
      </w:r>
      <w:r w:rsidR="00496C05">
        <w:instrText xml:space="preserve"> REF _Ref433901260 \r \h </w:instrText>
      </w:r>
      <w:r w:rsidR="00496C05">
        <w:fldChar w:fldCharType="separate"/>
      </w:r>
      <w:r w:rsidR="005E404C">
        <w:t>11.4</w:t>
      </w:r>
      <w:r w:rsidR="00496C05">
        <w:fldChar w:fldCharType="end"/>
      </w:r>
      <w:r w:rsidRPr="000713E6">
        <w:t xml:space="preserve"> for further information).</w:t>
      </w:r>
    </w:p>
    <w:p w14:paraId="4F29A392" w14:textId="77777777" w:rsidR="00215226" w:rsidRPr="000713E6" w:rsidRDefault="00215226" w:rsidP="0030777B">
      <w:r w:rsidRPr="000713E6">
        <w:t>VAs may perform the certificate validation for more than one CA.</w:t>
      </w:r>
      <w:r>
        <w:t xml:space="preserve"> </w:t>
      </w:r>
      <w:r w:rsidRPr="000713E6">
        <w:t>The assurance of performing this function must be consistent with the obligations of the CA and is to be undertaken in accordance with the CPS of each of the Gatekeeper accredited CA to which the VA provides a service.</w:t>
      </w:r>
    </w:p>
    <w:p w14:paraId="0B74EC1D" w14:textId="77777777" w:rsidR="00215226" w:rsidRPr="00ED447E" w:rsidRDefault="00215226" w:rsidP="0030777B">
      <w:pPr>
        <w:pStyle w:val="Heading1Numbered"/>
      </w:pPr>
      <w:bookmarkStart w:id="351" w:name="_Toc430268957"/>
      <w:bookmarkStart w:id="352" w:name="_Ref430784822"/>
      <w:bookmarkStart w:id="353" w:name="_Ref433901082"/>
      <w:r w:rsidRPr="00ED447E">
        <w:lastRenderedPageBreak/>
        <w:t>References</w:t>
      </w:r>
      <w:bookmarkEnd w:id="351"/>
      <w:bookmarkEnd w:id="352"/>
      <w:bookmarkEnd w:id="353"/>
    </w:p>
    <w:p w14:paraId="1F92C05F" w14:textId="77777777" w:rsidR="00215226" w:rsidRPr="008571BA" w:rsidRDefault="00215226" w:rsidP="0030777B">
      <w:r w:rsidRPr="008571BA">
        <w:t>The following sources have been referenced in the Framework.</w:t>
      </w:r>
    </w:p>
    <w:tbl>
      <w:tblPr>
        <w:tblStyle w:val="DTOTable1"/>
        <w:tblW w:w="9071" w:type="dxa"/>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417"/>
        <w:gridCol w:w="7654"/>
      </w:tblGrid>
      <w:tr w:rsidR="0030777B" w:rsidRPr="008571BA" w14:paraId="4E5E86FA" w14:textId="77777777" w:rsidTr="0030777B">
        <w:trPr>
          <w:cnfStyle w:val="100000000000" w:firstRow="1" w:lastRow="0" w:firstColumn="0" w:lastColumn="0" w:oddVBand="0" w:evenVBand="0" w:oddHBand="0" w:evenHBand="0" w:firstRowFirstColumn="0" w:firstRowLastColumn="0" w:lastRowFirstColumn="0" w:lastRowLastColumn="0"/>
          <w:trHeight w:val="113"/>
          <w:tblHeader/>
        </w:trPr>
        <w:tc>
          <w:tcPr>
            <w:tcW w:w="1417" w:type="dxa"/>
          </w:tcPr>
          <w:p w14:paraId="5BEAB9F4" w14:textId="77777777" w:rsidR="0030777B" w:rsidRPr="008571BA" w:rsidRDefault="0030777B" w:rsidP="0030777B">
            <w:pPr>
              <w:pStyle w:val="Normal-TableText"/>
            </w:pPr>
            <w:r>
              <w:t>Term</w:t>
            </w:r>
          </w:p>
        </w:tc>
        <w:tc>
          <w:tcPr>
            <w:tcW w:w="7654" w:type="dxa"/>
          </w:tcPr>
          <w:p w14:paraId="56EC9D61" w14:textId="77777777" w:rsidR="0030777B" w:rsidRPr="008571BA" w:rsidRDefault="0030777B" w:rsidP="0030777B">
            <w:pPr>
              <w:pStyle w:val="Normal-TableText"/>
            </w:pPr>
            <w:r>
              <w:t>Definition</w:t>
            </w:r>
          </w:p>
        </w:tc>
      </w:tr>
      <w:tr w:rsidR="00215226" w:rsidRPr="008571BA" w14:paraId="46F570C9" w14:textId="77777777" w:rsidTr="0030777B">
        <w:trPr>
          <w:trHeight w:val="113"/>
        </w:trPr>
        <w:tc>
          <w:tcPr>
            <w:tcW w:w="1417" w:type="dxa"/>
          </w:tcPr>
          <w:p w14:paraId="1B6CFE83" w14:textId="77777777" w:rsidR="00215226" w:rsidRPr="008571BA" w:rsidRDefault="00215226" w:rsidP="0030777B">
            <w:pPr>
              <w:pStyle w:val="Normal-TableText"/>
            </w:pPr>
            <w:r w:rsidRPr="008571BA">
              <w:t>[800</w:t>
            </w:r>
            <w:r>
              <w:t>–5</w:t>
            </w:r>
            <w:r w:rsidRPr="008571BA">
              <w:t>7]</w:t>
            </w:r>
          </w:p>
        </w:tc>
        <w:tc>
          <w:tcPr>
            <w:tcW w:w="7654" w:type="dxa"/>
          </w:tcPr>
          <w:p w14:paraId="3F6CAB53" w14:textId="77777777" w:rsidR="00215226" w:rsidRPr="008571BA" w:rsidRDefault="00215226" w:rsidP="0030777B">
            <w:pPr>
              <w:pStyle w:val="Normal-TableText"/>
            </w:pPr>
            <w:r w:rsidRPr="008571BA">
              <w:t>National Institute of Standards and Technology,</w:t>
            </w:r>
            <w:r>
              <w:t> 201</w:t>
            </w:r>
            <w:r w:rsidRPr="008571BA">
              <w:t xml:space="preserve">2, </w:t>
            </w:r>
            <w:r w:rsidRPr="00C6440C">
              <w:rPr>
                <w:rStyle w:val="Emphasis"/>
              </w:rPr>
              <w:t>Recommendation for Key Management Part 1: General (Revision 3)</w:t>
            </w:r>
            <w:r w:rsidRPr="008571BA">
              <w:t>, (NIST SP 800</w:t>
            </w:r>
            <w:r>
              <w:t>–5</w:t>
            </w:r>
            <w:r w:rsidRPr="008571BA">
              <w:t>7), National Institute of Standards and Technology, Maryland, USA.</w:t>
            </w:r>
          </w:p>
        </w:tc>
      </w:tr>
      <w:tr w:rsidR="00215226" w:rsidRPr="008571BA" w14:paraId="3B594DA6" w14:textId="77777777" w:rsidTr="0030777B">
        <w:trPr>
          <w:trHeight w:val="113"/>
        </w:trPr>
        <w:tc>
          <w:tcPr>
            <w:tcW w:w="1417" w:type="dxa"/>
          </w:tcPr>
          <w:p w14:paraId="50F49C7F" w14:textId="77777777" w:rsidR="00215226" w:rsidRPr="008571BA" w:rsidRDefault="00215226" w:rsidP="0030777B">
            <w:pPr>
              <w:pStyle w:val="Normal-TableText"/>
            </w:pPr>
            <w:r w:rsidRPr="008571BA">
              <w:t>[27005]</w:t>
            </w:r>
          </w:p>
        </w:tc>
        <w:tc>
          <w:tcPr>
            <w:tcW w:w="7654" w:type="dxa"/>
          </w:tcPr>
          <w:p w14:paraId="532486EE" w14:textId="77777777" w:rsidR="00215226" w:rsidRPr="008571BA" w:rsidRDefault="00215226" w:rsidP="0030777B">
            <w:pPr>
              <w:pStyle w:val="Normal-TableText"/>
            </w:pPr>
            <w:r w:rsidRPr="008571BA">
              <w:t>International Organization for Standardization,</w:t>
            </w:r>
            <w:r>
              <w:t> 201</w:t>
            </w:r>
            <w:r w:rsidRPr="008571BA">
              <w:t xml:space="preserve">1, </w:t>
            </w:r>
            <w:r w:rsidRPr="00C6440C">
              <w:rPr>
                <w:rStyle w:val="Emphasis"/>
              </w:rPr>
              <w:t xml:space="preserve">Information technology – Security techniques – information security risk management, </w:t>
            </w:r>
            <w:r w:rsidRPr="008571BA">
              <w:t>(ISO/IEC 27005:2008), International Organization for Standardization, Switzerland.</w:t>
            </w:r>
          </w:p>
        </w:tc>
      </w:tr>
      <w:tr w:rsidR="00215226" w:rsidRPr="008571BA" w14:paraId="737CB943" w14:textId="77777777" w:rsidTr="0030777B">
        <w:trPr>
          <w:trHeight w:val="113"/>
        </w:trPr>
        <w:tc>
          <w:tcPr>
            <w:tcW w:w="1417" w:type="dxa"/>
          </w:tcPr>
          <w:p w14:paraId="6C04B670" w14:textId="77777777" w:rsidR="00215226" w:rsidRPr="008571BA" w:rsidRDefault="00215226" w:rsidP="0030777B">
            <w:pPr>
              <w:pStyle w:val="Normal-TableText"/>
            </w:pPr>
            <w:r w:rsidRPr="008571BA">
              <w:t>[AA1983]</w:t>
            </w:r>
          </w:p>
        </w:tc>
        <w:tc>
          <w:tcPr>
            <w:tcW w:w="7654" w:type="dxa"/>
          </w:tcPr>
          <w:p w14:paraId="0BD7DE6D" w14:textId="77777777" w:rsidR="00215226" w:rsidRPr="008571BA" w:rsidRDefault="00215226" w:rsidP="0030777B">
            <w:pPr>
              <w:pStyle w:val="Normal-TableText"/>
            </w:pPr>
            <w:r w:rsidRPr="008571BA">
              <w:t>Archives Act 1983</w:t>
            </w:r>
          </w:p>
        </w:tc>
      </w:tr>
      <w:tr w:rsidR="00215226" w:rsidRPr="008571BA" w14:paraId="719CDA49" w14:textId="77777777" w:rsidTr="0030777B">
        <w:trPr>
          <w:trHeight w:val="113"/>
        </w:trPr>
        <w:tc>
          <w:tcPr>
            <w:tcW w:w="1417" w:type="dxa"/>
          </w:tcPr>
          <w:p w14:paraId="12DC2BFD" w14:textId="77777777" w:rsidR="00215226" w:rsidRPr="008571BA" w:rsidRDefault="00215226" w:rsidP="0030777B">
            <w:pPr>
              <w:pStyle w:val="Normal-TableText"/>
            </w:pPr>
            <w:r w:rsidRPr="008571BA">
              <w:t>[ACP185]</w:t>
            </w:r>
          </w:p>
        </w:tc>
        <w:tc>
          <w:tcPr>
            <w:tcW w:w="7654" w:type="dxa"/>
          </w:tcPr>
          <w:p w14:paraId="23904B13" w14:textId="77777777" w:rsidR="00215226" w:rsidRPr="008571BA" w:rsidRDefault="00215226" w:rsidP="0030777B">
            <w:pPr>
              <w:pStyle w:val="Normal-TableText"/>
            </w:pPr>
            <w:r w:rsidRPr="008571BA">
              <w:t xml:space="preserve"> Public Key Infrastructure Tiger Team,</w:t>
            </w:r>
            <w:r>
              <w:t> 201</w:t>
            </w:r>
            <w:r w:rsidRPr="008571BA">
              <w:t xml:space="preserve">1, </w:t>
            </w:r>
            <w:r w:rsidRPr="00C6440C">
              <w:rPr>
                <w:rStyle w:val="Emphasis"/>
              </w:rPr>
              <w:t>Public Key Infrastructure (PKI) Cross-Certification Between Combined Communications-Electronic Board (CCEB) Nations</w:t>
            </w:r>
            <w:r w:rsidRPr="008571BA">
              <w:t>, (ACP185), CCEB, Washington, USA.</w:t>
            </w:r>
          </w:p>
        </w:tc>
      </w:tr>
      <w:tr w:rsidR="00215226" w:rsidRPr="008571BA" w14:paraId="4A6934B7" w14:textId="77777777" w:rsidTr="0030777B">
        <w:trPr>
          <w:trHeight w:val="113"/>
        </w:trPr>
        <w:tc>
          <w:tcPr>
            <w:tcW w:w="1417" w:type="dxa"/>
          </w:tcPr>
          <w:p w14:paraId="296F202D" w14:textId="77777777" w:rsidR="00215226" w:rsidRPr="008571BA" w:rsidRDefault="00215226" w:rsidP="0030777B">
            <w:pPr>
              <w:pStyle w:val="Normal-TableText"/>
            </w:pPr>
            <w:r w:rsidRPr="008571BA">
              <w:t>[AFDA]</w:t>
            </w:r>
          </w:p>
        </w:tc>
        <w:tc>
          <w:tcPr>
            <w:tcW w:w="7654" w:type="dxa"/>
          </w:tcPr>
          <w:p w14:paraId="2732295A" w14:textId="77777777" w:rsidR="00215226" w:rsidRPr="008571BA" w:rsidRDefault="00215226" w:rsidP="0030777B">
            <w:pPr>
              <w:pStyle w:val="Normal-TableText"/>
            </w:pPr>
            <w:r w:rsidRPr="008571BA">
              <w:t>National Archives of Australia,</w:t>
            </w:r>
            <w:r>
              <w:t> 201</w:t>
            </w:r>
            <w:r w:rsidRPr="008571BA">
              <w:t xml:space="preserve">0, </w:t>
            </w:r>
            <w:r w:rsidRPr="00C6440C">
              <w:rPr>
                <w:rStyle w:val="Emphasis"/>
              </w:rPr>
              <w:t>Administrative Functions Disposal Authority (AFDA)</w:t>
            </w:r>
            <w:r w:rsidRPr="008571BA">
              <w:t>, National Archives of Australia, Canberra.</w:t>
            </w:r>
          </w:p>
        </w:tc>
      </w:tr>
      <w:tr w:rsidR="00215226" w:rsidRPr="008571BA" w14:paraId="5288EAD3" w14:textId="77777777" w:rsidTr="0030777B">
        <w:trPr>
          <w:trHeight w:val="113"/>
        </w:trPr>
        <w:tc>
          <w:tcPr>
            <w:tcW w:w="1417" w:type="dxa"/>
          </w:tcPr>
          <w:p w14:paraId="41183436" w14:textId="77777777" w:rsidR="00215226" w:rsidRPr="008571BA" w:rsidRDefault="00215226" w:rsidP="0030777B">
            <w:pPr>
              <w:pStyle w:val="Normal-TableText"/>
            </w:pPr>
            <w:r w:rsidRPr="008571BA">
              <w:t>[AGPSP]</w:t>
            </w:r>
          </w:p>
        </w:tc>
        <w:tc>
          <w:tcPr>
            <w:tcW w:w="7654" w:type="dxa"/>
          </w:tcPr>
          <w:p w14:paraId="5897CC64" w14:textId="77777777" w:rsidR="00215226" w:rsidRPr="008571BA" w:rsidRDefault="00215226" w:rsidP="0030777B">
            <w:pPr>
              <w:pStyle w:val="Normal-TableText"/>
            </w:pPr>
            <w:r w:rsidRPr="008571BA">
              <w:t>Attorney General’s Department,</w:t>
            </w:r>
            <w:r>
              <w:t> 201</w:t>
            </w:r>
            <w:r w:rsidRPr="008571BA">
              <w:t xml:space="preserve">4, </w:t>
            </w:r>
            <w:r w:rsidRPr="00C6440C">
              <w:rPr>
                <w:rStyle w:val="Emphasis"/>
              </w:rPr>
              <w:t>Australian Government Personnel Security Management Protocol</w:t>
            </w:r>
            <w:r w:rsidRPr="008571BA">
              <w:t>, Attorney General’s Department, Canberra.</w:t>
            </w:r>
          </w:p>
        </w:tc>
      </w:tr>
      <w:tr w:rsidR="00215226" w:rsidRPr="008571BA" w14:paraId="4A45DA92" w14:textId="77777777" w:rsidTr="0030777B">
        <w:trPr>
          <w:trHeight w:val="113"/>
        </w:trPr>
        <w:tc>
          <w:tcPr>
            <w:tcW w:w="1417" w:type="dxa"/>
          </w:tcPr>
          <w:p w14:paraId="69A579F7" w14:textId="77777777" w:rsidR="00215226" w:rsidRPr="008571BA" w:rsidRDefault="00215226" w:rsidP="0030777B">
            <w:pPr>
              <w:pStyle w:val="Normal-TableText"/>
            </w:pPr>
            <w:r w:rsidRPr="008571BA">
              <w:t>[ANAO]</w:t>
            </w:r>
          </w:p>
        </w:tc>
        <w:tc>
          <w:tcPr>
            <w:tcW w:w="7654" w:type="dxa"/>
          </w:tcPr>
          <w:p w14:paraId="0C44E65B" w14:textId="77777777" w:rsidR="00215226" w:rsidRPr="008571BA" w:rsidRDefault="00215226" w:rsidP="0030777B">
            <w:pPr>
              <w:pStyle w:val="Normal-TableText"/>
            </w:pPr>
            <w:r w:rsidRPr="008571BA">
              <w:t>Australian National Audit Office,</w:t>
            </w:r>
            <w:r>
              <w:t> 200</w:t>
            </w:r>
            <w:r w:rsidRPr="008571BA">
              <w:t xml:space="preserve">9, </w:t>
            </w:r>
            <w:r w:rsidRPr="00C6440C">
              <w:rPr>
                <w:rStyle w:val="Emphasis"/>
              </w:rPr>
              <w:t>Business Continuity Management: Building resilience in public sector entities</w:t>
            </w:r>
            <w:r w:rsidRPr="008571BA">
              <w:t>, Australian National Audit Office, Canberra.</w:t>
            </w:r>
          </w:p>
        </w:tc>
      </w:tr>
      <w:tr w:rsidR="00215226" w:rsidRPr="008571BA" w14:paraId="765B0F4E" w14:textId="77777777" w:rsidTr="0030777B">
        <w:trPr>
          <w:trHeight w:val="113"/>
        </w:trPr>
        <w:tc>
          <w:tcPr>
            <w:tcW w:w="1417" w:type="dxa"/>
          </w:tcPr>
          <w:p w14:paraId="74DEDEA4" w14:textId="77777777" w:rsidR="00215226" w:rsidRPr="008571BA" w:rsidRDefault="00215226" w:rsidP="0030777B">
            <w:pPr>
              <w:pStyle w:val="Normal-TableText"/>
            </w:pPr>
            <w:r w:rsidRPr="008571BA">
              <w:t>[ANZ2009]</w:t>
            </w:r>
          </w:p>
        </w:tc>
        <w:tc>
          <w:tcPr>
            <w:tcW w:w="7654" w:type="dxa"/>
          </w:tcPr>
          <w:p w14:paraId="25101DFC" w14:textId="77777777" w:rsidR="00215226" w:rsidRPr="008571BA" w:rsidRDefault="00215226" w:rsidP="0030777B">
            <w:pPr>
              <w:pStyle w:val="Normal-TableText"/>
            </w:pPr>
            <w:r w:rsidRPr="008571BA">
              <w:t>Standards Australia/Standards New Zealand,</w:t>
            </w:r>
            <w:r>
              <w:t> 200</w:t>
            </w:r>
            <w:r w:rsidRPr="008571BA">
              <w:t xml:space="preserve">9, </w:t>
            </w:r>
            <w:r w:rsidRPr="00C6440C">
              <w:rPr>
                <w:rStyle w:val="Emphasis"/>
              </w:rPr>
              <w:t xml:space="preserve">Risk management – Principles and guidelines, </w:t>
            </w:r>
            <w:r w:rsidRPr="008571BA">
              <w:t>(AS/NZS ISO 31000:2009), Standards Australia &amp; New Zealand, Sydney &amp; Wellington.</w:t>
            </w:r>
          </w:p>
        </w:tc>
      </w:tr>
      <w:tr w:rsidR="00215226" w:rsidRPr="008571BA" w14:paraId="2BC094D3" w14:textId="77777777" w:rsidTr="0030777B">
        <w:trPr>
          <w:trHeight w:val="113"/>
        </w:trPr>
        <w:tc>
          <w:tcPr>
            <w:tcW w:w="1417" w:type="dxa"/>
          </w:tcPr>
          <w:p w14:paraId="1E671D79" w14:textId="77777777" w:rsidR="00215226" w:rsidRPr="008571BA" w:rsidRDefault="00215226" w:rsidP="0030777B">
            <w:pPr>
              <w:pStyle w:val="Normal-TableText"/>
            </w:pPr>
            <w:r w:rsidRPr="008571BA">
              <w:t>[ANZ5050]</w:t>
            </w:r>
          </w:p>
        </w:tc>
        <w:tc>
          <w:tcPr>
            <w:tcW w:w="7654" w:type="dxa"/>
          </w:tcPr>
          <w:p w14:paraId="74E2616D" w14:textId="77777777" w:rsidR="00215226" w:rsidRPr="008571BA" w:rsidRDefault="00215226" w:rsidP="0030777B">
            <w:pPr>
              <w:pStyle w:val="Normal-TableText"/>
              <w:rPr>
                <w:i/>
              </w:rPr>
            </w:pPr>
            <w:r w:rsidRPr="008571BA">
              <w:t>Standards Australia/Standards New Zealand,</w:t>
            </w:r>
            <w:r>
              <w:t> 201</w:t>
            </w:r>
            <w:r w:rsidRPr="008571BA">
              <w:t xml:space="preserve">0, </w:t>
            </w:r>
            <w:r w:rsidRPr="00C6440C">
              <w:rPr>
                <w:rStyle w:val="Emphasis"/>
              </w:rPr>
              <w:t xml:space="preserve">Business Continuity – Managing disruption-related risk, </w:t>
            </w:r>
            <w:r w:rsidRPr="008571BA">
              <w:t>(AS/NZS 5050:2010)</w:t>
            </w:r>
            <w:r w:rsidRPr="00C6440C">
              <w:rPr>
                <w:rStyle w:val="Emphasis"/>
              </w:rPr>
              <w:t xml:space="preserve">, </w:t>
            </w:r>
            <w:r w:rsidRPr="008571BA">
              <w:t>Standards Australia &amp; New Zealand, Sydney &amp; Wellington.</w:t>
            </w:r>
          </w:p>
        </w:tc>
      </w:tr>
      <w:tr w:rsidR="00215226" w:rsidRPr="008571BA" w14:paraId="74308ADB" w14:textId="77777777" w:rsidTr="0030777B">
        <w:trPr>
          <w:trHeight w:val="113"/>
        </w:trPr>
        <w:tc>
          <w:tcPr>
            <w:tcW w:w="1417" w:type="dxa"/>
          </w:tcPr>
          <w:p w14:paraId="161A30CE" w14:textId="77777777" w:rsidR="00215226" w:rsidRPr="008571BA" w:rsidRDefault="00215226" w:rsidP="0030777B">
            <w:pPr>
              <w:pStyle w:val="Normal-TableText"/>
            </w:pPr>
            <w:r w:rsidRPr="008571BA">
              <w:t>[APSG]</w:t>
            </w:r>
          </w:p>
        </w:tc>
        <w:tc>
          <w:tcPr>
            <w:tcW w:w="7654" w:type="dxa"/>
          </w:tcPr>
          <w:p w14:paraId="05CF13A0" w14:textId="77777777" w:rsidR="00215226" w:rsidRPr="008571BA" w:rsidRDefault="00215226" w:rsidP="0030777B">
            <w:pPr>
              <w:pStyle w:val="Normal-TableText"/>
            </w:pPr>
            <w:r w:rsidRPr="008571BA">
              <w:t>Attorney General’s Department,</w:t>
            </w:r>
            <w:r>
              <w:t> 201</w:t>
            </w:r>
            <w:r w:rsidRPr="008571BA">
              <w:t xml:space="preserve">4, </w:t>
            </w:r>
            <w:r w:rsidRPr="00C6440C">
              <w:rPr>
                <w:rStyle w:val="Emphasis"/>
              </w:rPr>
              <w:t>Agency Personnel Security Guidelines</w:t>
            </w:r>
            <w:r w:rsidRPr="008571BA">
              <w:t>, Attorney General’s Department, Canberra.</w:t>
            </w:r>
          </w:p>
        </w:tc>
      </w:tr>
      <w:tr w:rsidR="00215226" w:rsidRPr="008571BA" w14:paraId="1565B840" w14:textId="77777777" w:rsidTr="0030777B">
        <w:trPr>
          <w:trHeight w:val="113"/>
        </w:trPr>
        <w:tc>
          <w:tcPr>
            <w:tcW w:w="1417" w:type="dxa"/>
          </w:tcPr>
          <w:p w14:paraId="054BFA6F" w14:textId="77777777" w:rsidR="00215226" w:rsidRPr="008571BA" w:rsidRDefault="00215226" w:rsidP="0030777B">
            <w:pPr>
              <w:pStyle w:val="Normal-TableText"/>
            </w:pPr>
            <w:r w:rsidRPr="008571BA">
              <w:t>[BIL]</w:t>
            </w:r>
          </w:p>
        </w:tc>
        <w:tc>
          <w:tcPr>
            <w:tcW w:w="7654" w:type="dxa"/>
          </w:tcPr>
          <w:p w14:paraId="4ED32600" w14:textId="77777777" w:rsidR="00215226" w:rsidRPr="008571BA" w:rsidRDefault="00215226" w:rsidP="0030777B">
            <w:pPr>
              <w:pStyle w:val="Normal-TableText"/>
            </w:pPr>
            <w:r w:rsidRPr="008571BA">
              <w:t>Attorney General’s Department,</w:t>
            </w:r>
            <w:r>
              <w:t> 201</w:t>
            </w:r>
            <w:r w:rsidRPr="008571BA">
              <w:t xml:space="preserve">4, </w:t>
            </w:r>
            <w:r w:rsidRPr="00C6440C">
              <w:rPr>
                <w:rStyle w:val="Emphasis"/>
              </w:rPr>
              <w:t>Protective Security Governance Guidelines</w:t>
            </w:r>
            <w:r w:rsidR="00897FA3">
              <w:rPr>
                <w:rStyle w:val="Emphasis"/>
              </w:rPr>
              <w:t xml:space="preserve"> – </w:t>
            </w:r>
            <w:r w:rsidRPr="00C6440C">
              <w:rPr>
                <w:rStyle w:val="Emphasis"/>
              </w:rPr>
              <w:t>Business Impact Levels</w:t>
            </w:r>
            <w:r w:rsidRPr="008571BA">
              <w:t>, Attorney General’s Department, Canberra.</w:t>
            </w:r>
          </w:p>
        </w:tc>
      </w:tr>
      <w:tr w:rsidR="00215226" w:rsidRPr="008571BA" w14:paraId="68C71734" w14:textId="77777777" w:rsidTr="0030777B">
        <w:trPr>
          <w:trHeight w:val="113"/>
        </w:trPr>
        <w:tc>
          <w:tcPr>
            <w:tcW w:w="1417" w:type="dxa"/>
          </w:tcPr>
          <w:p w14:paraId="7A5A3874" w14:textId="77777777" w:rsidR="00215226" w:rsidRPr="008571BA" w:rsidRDefault="00215226" w:rsidP="0030777B">
            <w:pPr>
              <w:pStyle w:val="Normal-TableText"/>
            </w:pPr>
            <w:r w:rsidRPr="008571BA">
              <w:t>[CABF]</w:t>
            </w:r>
          </w:p>
        </w:tc>
        <w:tc>
          <w:tcPr>
            <w:tcW w:w="7654" w:type="dxa"/>
          </w:tcPr>
          <w:p w14:paraId="7234A5BC" w14:textId="77777777" w:rsidR="00215226" w:rsidRPr="008571BA" w:rsidRDefault="00215226" w:rsidP="0030777B">
            <w:pPr>
              <w:pStyle w:val="Normal-TableText"/>
            </w:pPr>
            <w:r w:rsidRPr="008571BA">
              <w:t>The CA/Browser Forum,</w:t>
            </w:r>
            <w:r>
              <w:t> 201</w:t>
            </w:r>
            <w:r w:rsidRPr="008571BA">
              <w:t xml:space="preserve">4, </w:t>
            </w:r>
            <w:r w:rsidRPr="00C6440C">
              <w:rPr>
                <w:rStyle w:val="Emphasis"/>
              </w:rPr>
              <w:t>Baseline Requirements for the Issuance and Management of Publicly-Trusted Certificates, v.1.1.8</w:t>
            </w:r>
            <w:r w:rsidRPr="008571BA">
              <w:t>, The CA/Browser Forum</w:t>
            </w:r>
          </w:p>
        </w:tc>
      </w:tr>
      <w:tr w:rsidR="00215226" w:rsidRPr="008571BA" w14:paraId="1AD8E7F6" w14:textId="77777777" w:rsidTr="0030777B">
        <w:trPr>
          <w:trHeight w:val="113"/>
        </w:trPr>
        <w:tc>
          <w:tcPr>
            <w:tcW w:w="1417" w:type="dxa"/>
          </w:tcPr>
          <w:p w14:paraId="38D2141C" w14:textId="77777777" w:rsidR="00215226" w:rsidRPr="008571BA" w:rsidRDefault="00215226" w:rsidP="0030777B">
            <w:pPr>
              <w:pStyle w:val="Normal-TableText"/>
            </w:pPr>
            <w:r w:rsidRPr="008571BA">
              <w:br w:type="page"/>
              <w:t>[DBN]</w:t>
            </w:r>
          </w:p>
        </w:tc>
        <w:tc>
          <w:tcPr>
            <w:tcW w:w="7654" w:type="dxa"/>
          </w:tcPr>
          <w:p w14:paraId="6E5A576D" w14:textId="77777777" w:rsidR="00215226" w:rsidRPr="008571BA" w:rsidRDefault="00215226" w:rsidP="0030777B">
            <w:pPr>
              <w:pStyle w:val="Normal-TableText"/>
            </w:pPr>
            <w:r w:rsidRPr="008571BA">
              <w:t>Office of the Australian Information Commissioner,</w:t>
            </w:r>
            <w:r>
              <w:t> 201</w:t>
            </w:r>
            <w:r w:rsidRPr="008571BA">
              <w:t xml:space="preserve">2, </w:t>
            </w:r>
            <w:r w:rsidRPr="00C6440C">
              <w:rPr>
                <w:rStyle w:val="Emphasis"/>
              </w:rPr>
              <w:t>Data breach notification</w:t>
            </w:r>
            <w:r w:rsidRPr="008571BA">
              <w:t>, Office of the Australian Information Commissioner, Canberra.</w:t>
            </w:r>
          </w:p>
        </w:tc>
      </w:tr>
      <w:tr w:rsidR="00215226" w:rsidRPr="008571BA" w14:paraId="569A8991" w14:textId="77777777" w:rsidTr="0030777B">
        <w:trPr>
          <w:trHeight w:val="113"/>
        </w:trPr>
        <w:tc>
          <w:tcPr>
            <w:tcW w:w="1417" w:type="dxa"/>
          </w:tcPr>
          <w:p w14:paraId="0E47897C" w14:textId="77777777" w:rsidR="00215226" w:rsidRPr="008571BA" w:rsidRDefault="00215226" w:rsidP="0030777B">
            <w:pPr>
              <w:pStyle w:val="Normal-TableText"/>
            </w:pPr>
            <w:r w:rsidRPr="008571BA">
              <w:lastRenderedPageBreak/>
              <w:t>[ETSI]</w:t>
            </w:r>
          </w:p>
        </w:tc>
        <w:tc>
          <w:tcPr>
            <w:tcW w:w="7654" w:type="dxa"/>
          </w:tcPr>
          <w:p w14:paraId="6972079A" w14:textId="77777777" w:rsidR="00215226" w:rsidRPr="008571BA" w:rsidRDefault="00215226" w:rsidP="0030777B">
            <w:pPr>
              <w:pStyle w:val="Normal-TableText"/>
            </w:pPr>
            <w:r w:rsidRPr="008571BA">
              <w:t>European Telecommunications Standards Institute,</w:t>
            </w:r>
            <w:r>
              <w:t> 201</w:t>
            </w:r>
            <w:r w:rsidRPr="008571BA">
              <w:t xml:space="preserve">3, </w:t>
            </w:r>
            <w:r w:rsidRPr="00C6440C">
              <w:rPr>
                <w:rStyle w:val="Emphasis"/>
              </w:rPr>
              <w:t xml:space="preserve">Electronic Signature and Infrastructure (ESI); Policy requirements for certification authorities issuing public key certificates, </w:t>
            </w:r>
            <w:r w:rsidRPr="008571BA">
              <w:t>(ETSI TS 102 O42), European Telecommunications Standards Institute, Sophia Antipolis Cedex, France.</w:t>
            </w:r>
          </w:p>
        </w:tc>
      </w:tr>
      <w:tr w:rsidR="00215226" w:rsidRPr="008571BA" w14:paraId="11FFCCF3" w14:textId="77777777" w:rsidTr="0030777B">
        <w:trPr>
          <w:trHeight w:val="113"/>
        </w:trPr>
        <w:tc>
          <w:tcPr>
            <w:tcW w:w="1417" w:type="dxa"/>
          </w:tcPr>
          <w:p w14:paraId="019C6BBA" w14:textId="77777777" w:rsidR="00215226" w:rsidRPr="008571BA" w:rsidRDefault="00215226" w:rsidP="0030777B">
            <w:pPr>
              <w:pStyle w:val="Normal-TableText"/>
            </w:pPr>
            <w:r w:rsidRPr="008571BA">
              <w:t>[FIPS]</w:t>
            </w:r>
          </w:p>
        </w:tc>
        <w:tc>
          <w:tcPr>
            <w:tcW w:w="7654" w:type="dxa"/>
          </w:tcPr>
          <w:p w14:paraId="68DD6F32" w14:textId="77777777" w:rsidR="00215226" w:rsidRPr="008571BA" w:rsidRDefault="00215226" w:rsidP="0030777B">
            <w:pPr>
              <w:pStyle w:val="Normal-TableText"/>
            </w:pPr>
            <w:r w:rsidRPr="008571BA">
              <w:t>National Institute of Standards and Technology,</w:t>
            </w:r>
            <w:r>
              <w:t> 200</w:t>
            </w:r>
            <w:r w:rsidRPr="008571BA">
              <w:t xml:space="preserve">1, </w:t>
            </w:r>
            <w:r w:rsidRPr="00C6440C">
              <w:rPr>
                <w:rStyle w:val="Emphasis"/>
              </w:rPr>
              <w:t>Security Requirements for Cryptographic Module</w:t>
            </w:r>
            <w:r w:rsidRPr="008571BA">
              <w:t>s, (FIPS 140</w:t>
            </w:r>
            <w:r>
              <w:t>–2</w:t>
            </w:r>
            <w:r w:rsidRPr="008571BA">
              <w:t>), National Institute of Standards and Technology, Maryland, USA.</w:t>
            </w:r>
          </w:p>
        </w:tc>
      </w:tr>
      <w:tr w:rsidR="00215226" w:rsidRPr="008571BA" w14:paraId="29B68FBF" w14:textId="77777777" w:rsidTr="0030777B">
        <w:trPr>
          <w:trHeight w:val="113"/>
        </w:trPr>
        <w:tc>
          <w:tcPr>
            <w:tcW w:w="1417" w:type="dxa"/>
          </w:tcPr>
          <w:p w14:paraId="1D6647EB" w14:textId="77777777" w:rsidR="00215226" w:rsidRPr="008571BA" w:rsidRDefault="00215226" w:rsidP="0030777B">
            <w:pPr>
              <w:pStyle w:val="Normal-TableText"/>
            </w:pPr>
            <w:r w:rsidRPr="008571BA">
              <w:t>[GCAP]</w:t>
            </w:r>
          </w:p>
        </w:tc>
        <w:tc>
          <w:tcPr>
            <w:tcW w:w="7654" w:type="dxa"/>
          </w:tcPr>
          <w:p w14:paraId="77E1BA57" w14:textId="2CC4595C" w:rsidR="00215226" w:rsidRPr="008571BA" w:rsidRDefault="00EA43EB" w:rsidP="0030777B">
            <w:pPr>
              <w:pStyle w:val="Normal-TableText"/>
            </w:pPr>
            <w:r>
              <w:t>Digital Transformation Office</w:t>
            </w:r>
            <w:r w:rsidRPr="008E6537">
              <w:t xml:space="preserve"> </w:t>
            </w:r>
            <w:r w:rsidR="00215226">
              <w:t>201</w:t>
            </w:r>
            <w:r w:rsidR="00215226" w:rsidRPr="008571BA">
              <w:t xml:space="preserve">5, </w:t>
            </w:r>
            <w:r w:rsidR="00215226" w:rsidRPr="00C6440C">
              <w:rPr>
                <w:rStyle w:val="Emphasis"/>
              </w:rPr>
              <w:t>Gatekeeper PKI Framework Compliance Audit Program (GCAP)</w:t>
            </w:r>
            <w:r w:rsidR="00215226" w:rsidRPr="008571BA">
              <w:t xml:space="preserve">, </w:t>
            </w:r>
            <w:r>
              <w:t>Digital Transformation Office</w:t>
            </w:r>
          </w:p>
        </w:tc>
      </w:tr>
      <w:tr w:rsidR="00215226" w:rsidRPr="008571BA" w14:paraId="39A361C8" w14:textId="77777777" w:rsidTr="0030777B">
        <w:trPr>
          <w:trHeight w:val="113"/>
        </w:trPr>
        <w:tc>
          <w:tcPr>
            <w:tcW w:w="1417" w:type="dxa"/>
          </w:tcPr>
          <w:p w14:paraId="5BB55AD7" w14:textId="77777777" w:rsidR="00215226" w:rsidRPr="008571BA" w:rsidRDefault="00215226" w:rsidP="0030777B">
            <w:pPr>
              <w:pStyle w:val="Normal-TableText"/>
            </w:pPr>
            <w:r w:rsidRPr="008571BA">
              <w:t>[GLEP]</w:t>
            </w:r>
          </w:p>
        </w:tc>
        <w:tc>
          <w:tcPr>
            <w:tcW w:w="7654" w:type="dxa"/>
          </w:tcPr>
          <w:p w14:paraId="576ADCBF" w14:textId="19E64960" w:rsidR="00215226" w:rsidRPr="008571BA" w:rsidRDefault="00EA43EB" w:rsidP="0030777B">
            <w:pPr>
              <w:pStyle w:val="Normal-TableText"/>
            </w:pPr>
            <w:r>
              <w:t>Digital Transformation Office</w:t>
            </w:r>
            <w:r w:rsidRPr="008E6537">
              <w:t xml:space="preserve"> </w:t>
            </w:r>
            <w:r w:rsidR="00215226">
              <w:t>201</w:t>
            </w:r>
            <w:r w:rsidR="00215226" w:rsidRPr="008571BA">
              <w:t xml:space="preserve">5, </w:t>
            </w:r>
            <w:r w:rsidR="00215226" w:rsidRPr="00C6440C">
              <w:rPr>
                <w:rStyle w:val="Emphasis"/>
              </w:rPr>
              <w:t xml:space="preserve">Gatekeeper Legal Evaluation Panel, </w:t>
            </w:r>
            <w:r>
              <w:t>Digital Transformation Office</w:t>
            </w:r>
          </w:p>
        </w:tc>
      </w:tr>
      <w:tr w:rsidR="00215226" w:rsidRPr="008571BA" w14:paraId="2C8B1C68" w14:textId="77777777" w:rsidTr="0030777B">
        <w:trPr>
          <w:trHeight w:val="113"/>
        </w:trPr>
        <w:tc>
          <w:tcPr>
            <w:tcW w:w="1417" w:type="dxa"/>
          </w:tcPr>
          <w:p w14:paraId="4BEAF9B1" w14:textId="77777777" w:rsidR="00215226" w:rsidRPr="008571BA" w:rsidRDefault="00215226" w:rsidP="0030777B">
            <w:pPr>
              <w:pStyle w:val="Normal-TableText"/>
            </w:pPr>
            <w:r w:rsidRPr="008571BA">
              <w:t>[HB167]</w:t>
            </w:r>
          </w:p>
        </w:tc>
        <w:tc>
          <w:tcPr>
            <w:tcW w:w="7654" w:type="dxa"/>
          </w:tcPr>
          <w:p w14:paraId="1079D272" w14:textId="77777777" w:rsidR="00215226" w:rsidRPr="008571BA" w:rsidRDefault="00215226" w:rsidP="0030777B">
            <w:pPr>
              <w:pStyle w:val="Normal-TableText"/>
            </w:pPr>
            <w:r w:rsidRPr="008571BA">
              <w:t>C. Gibson, G. Love, N. Fergus, D. Parsons, M. Tarrant, M. Anderson &amp; J. Kilgour,</w:t>
            </w:r>
            <w:r>
              <w:t> 200</w:t>
            </w:r>
            <w:r w:rsidRPr="008571BA">
              <w:t xml:space="preserve">6, </w:t>
            </w:r>
            <w:r w:rsidRPr="00C6440C">
              <w:rPr>
                <w:rStyle w:val="Emphasis"/>
              </w:rPr>
              <w:t>Security risk management</w:t>
            </w:r>
            <w:r w:rsidRPr="008571BA">
              <w:t>, (HB 167:2006), Standards Australia &amp; New Zealand, Sydney &amp; Wellington.</w:t>
            </w:r>
          </w:p>
        </w:tc>
      </w:tr>
      <w:tr w:rsidR="00215226" w:rsidRPr="008571BA" w14:paraId="406E83CE" w14:textId="77777777" w:rsidTr="0030777B">
        <w:trPr>
          <w:trHeight w:val="113"/>
        </w:trPr>
        <w:tc>
          <w:tcPr>
            <w:tcW w:w="1417" w:type="dxa"/>
          </w:tcPr>
          <w:p w14:paraId="6FCD9613" w14:textId="77777777" w:rsidR="00215226" w:rsidRPr="008571BA" w:rsidRDefault="00215226" w:rsidP="0030777B">
            <w:pPr>
              <w:pStyle w:val="Normal-TableText"/>
            </w:pPr>
            <w:r w:rsidRPr="008571BA">
              <w:t>[IAMG]</w:t>
            </w:r>
          </w:p>
        </w:tc>
        <w:tc>
          <w:tcPr>
            <w:tcW w:w="7654" w:type="dxa"/>
          </w:tcPr>
          <w:p w14:paraId="3D033E01" w14:textId="64A31A9F" w:rsidR="00215226" w:rsidRPr="008571BA" w:rsidRDefault="00EA43EB" w:rsidP="0030777B">
            <w:pPr>
              <w:pStyle w:val="Normal-TableText"/>
            </w:pPr>
            <w:r>
              <w:t>Digital Transformation Office</w:t>
            </w:r>
            <w:r w:rsidRPr="008E6537">
              <w:t xml:space="preserve"> </w:t>
            </w:r>
            <w:r w:rsidR="00215226">
              <w:t>201</w:t>
            </w:r>
            <w:r w:rsidR="00215226" w:rsidRPr="008571BA">
              <w:t xml:space="preserve">5, </w:t>
            </w:r>
            <w:r w:rsidR="00215226" w:rsidRPr="00C6440C">
              <w:rPr>
                <w:rStyle w:val="Emphasis"/>
              </w:rPr>
              <w:t>Identity and Access Management Glossary</w:t>
            </w:r>
            <w:r w:rsidR="00215226" w:rsidRPr="008571BA">
              <w:t xml:space="preserve">, </w:t>
            </w:r>
            <w:r>
              <w:t>Digital Transformation Office</w:t>
            </w:r>
          </w:p>
        </w:tc>
      </w:tr>
      <w:tr w:rsidR="00215226" w:rsidRPr="008571BA" w14:paraId="14807421" w14:textId="77777777" w:rsidTr="0030777B">
        <w:trPr>
          <w:trHeight w:val="113"/>
        </w:trPr>
        <w:tc>
          <w:tcPr>
            <w:tcW w:w="1417" w:type="dxa"/>
          </w:tcPr>
          <w:p w14:paraId="6AC34EB3" w14:textId="77777777" w:rsidR="00215226" w:rsidRPr="008571BA" w:rsidRDefault="00215226" w:rsidP="0030777B">
            <w:pPr>
              <w:pStyle w:val="Normal-TableText"/>
            </w:pPr>
            <w:r w:rsidRPr="008571BA">
              <w:t>[IRAP]</w:t>
            </w:r>
          </w:p>
        </w:tc>
        <w:tc>
          <w:tcPr>
            <w:tcW w:w="7654" w:type="dxa"/>
          </w:tcPr>
          <w:p w14:paraId="61AF1333" w14:textId="6F4D8CCE" w:rsidR="00215226" w:rsidRPr="008571BA" w:rsidRDefault="00EA43EB" w:rsidP="0030777B">
            <w:pPr>
              <w:pStyle w:val="Normal-TableText"/>
            </w:pPr>
            <w:r>
              <w:t>Digital Transformation Office</w:t>
            </w:r>
            <w:r w:rsidR="00215226" w:rsidRPr="008571BA">
              <w:t>,</w:t>
            </w:r>
            <w:r w:rsidR="00215226">
              <w:t> 201</w:t>
            </w:r>
            <w:r w:rsidR="00215226" w:rsidRPr="008571BA">
              <w:t xml:space="preserve">5, </w:t>
            </w:r>
            <w:r w:rsidR="00215226" w:rsidRPr="00C6440C">
              <w:rPr>
                <w:rStyle w:val="Emphasis"/>
              </w:rPr>
              <w:t>Gatekeeper PKI Framework Information Security Registered Assessors Program (IRAP) Guide</w:t>
            </w:r>
            <w:r w:rsidR="00215226" w:rsidRPr="008571BA">
              <w:t xml:space="preserve">, </w:t>
            </w:r>
            <w:r>
              <w:t>Digital Transformation Office</w:t>
            </w:r>
          </w:p>
        </w:tc>
      </w:tr>
      <w:tr w:rsidR="00215226" w:rsidRPr="008571BA" w14:paraId="0A145E62" w14:textId="77777777" w:rsidTr="0030777B">
        <w:trPr>
          <w:trHeight w:val="113"/>
        </w:trPr>
        <w:tc>
          <w:tcPr>
            <w:tcW w:w="1417" w:type="dxa"/>
          </w:tcPr>
          <w:p w14:paraId="1EF3DF58" w14:textId="77777777" w:rsidR="00215226" w:rsidRPr="008571BA" w:rsidRDefault="00215226" w:rsidP="0030777B">
            <w:pPr>
              <w:pStyle w:val="Normal-TableText"/>
            </w:pPr>
            <w:r w:rsidRPr="008571BA">
              <w:t>[ISM]</w:t>
            </w:r>
          </w:p>
        </w:tc>
        <w:tc>
          <w:tcPr>
            <w:tcW w:w="7654" w:type="dxa"/>
          </w:tcPr>
          <w:p w14:paraId="0CCC0625" w14:textId="77777777" w:rsidR="00215226" w:rsidRPr="008571BA" w:rsidRDefault="00215226" w:rsidP="0030777B">
            <w:pPr>
              <w:pStyle w:val="Normal-TableText"/>
            </w:pPr>
            <w:r w:rsidRPr="008571BA">
              <w:t>Australian Signals Directorate,</w:t>
            </w:r>
            <w:r>
              <w:t> 201</w:t>
            </w:r>
            <w:r w:rsidRPr="008571BA">
              <w:t>5,</w:t>
            </w:r>
            <w:r>
              <w:t> 201</w:t>
            </w:r>
            <w:r w:rsidRPr="00C6440C">
              <w:rPr>
                <w:rStyle w:val="Emphasis"/>
              </w:rPr>
              <w:t>4 Australian Government Information Security Manual: Controls</w:t>
            </w:r>
            <w:r w:rsidRPr="008571BA">
              <w:t>, Australian Signals Directorate, Canberra.</w:t>
            </w:r>
          </w:p>
        </w:tc>
      </w:tr>
      <w:tr w:rsidR="00215226" w:rsidRPr="008571BA" w14:paraId="47872CDA" w14:textId="77777777" w:rsidTr="0030777B">
        <w:trPr>
          <w:trHeight w:val="113"/>
        </w:trPr>
        <w:tc>
          <w:tcPr>
            <w:tcW w:w="1417" w:type="dxa"/>
          </w:tcPr>
          <w:p w14:paraId="4A759E22" w14:textId="77777777" w:rsidR="00215226" w:rsidRPr="008571BA" w:rsidRDefault="00215226" w:rsidP="0030777B">
            <w:pPr>
              <w:pStyle w:val="Normal-TableText"/>
            </w:pPr>
            <w:r w:rsidRPr="008571BA">
              <w:t>[ISMG1]</w:t>
            </w:r>
          </w:p>
        </w:tc>
        <w:tc>
          <w:tcPr>
            <w:tcW w:w="7654" w:type="dxa"/>
          </w:tcPr>
          <w:p w14:paraId="1D405199" w14:textId="77777777" w:rsidR="00215226" w:rsidRPr="008571BA" w:rsidRDefault="00215226" w:rsidP="0030777B">
            <w:pPr>
              <w:pStyle w:val="Normal-TableText"/>
            </w:pPr>
            <w:r w:rsidRPr="008571BA">
              <w:t>Attorney General’s Department,</w:t>
            </w:r>
            <w:r>
              <w:t> 201</w:t>
            </w:r>
            <w:r w:rsidRPr="008571BA">
              <w:t xml:space="preserve">4, </w:t>
            </w:r>
            <w:r w:rsidRPr="00C6440C">
              <w:rPr>
                <w:rStyle w:val="Emphasis"/>
              </w:rPr>
              <w:t xml:space="preserve">Information Security Management Guidelines – Australian Government Security Classification System, </w:t>
            </w:r>
            <w:r w:rsidRPr="008571BA">
              <w:t>Attorney General’s Department, Canberra.</w:t>
            </w:r>
          </w:p>
        </w:tc>
      </w:tr>
      <w:tr w:rsidR="00215226" w:rsidRPr="008571BA" w14:paraId="54ADFD3B" w14:textId="77777777" w:rsidTr="0030777B">
        <w:trPr>
          <w:trHeight w:val="113"/>
        </w:trPr>
        <w:tc>
          <w:tcPr>
            <w:tcW w:w="1417" w:type="dxa"/>
          </w:tcPr>
          <w:p w14:paraId="27D091F8" w14:textId="77777777" w:rsidR="00215226" w:rsidRPr="008571BA" w:rsidRDefault="00215226" w:rsidP="0030777B">
            <w:pPr>
              <w:pStyle w:val="Normal-TableText"/>
            </w:pPr>
            <w:r w:rsidRPr="008571BA">
              <w:t>[ISMG2]</w:t>
            </w:r>
          </w:p>
        </w:tc>
        <w:tc>
          <w:tcPr>
            <w:tcW w:w="7654" w:type="dxa"/>
          </w:tcPr>
          <w:p w14:paraId="077CAAB8" w14:textId="77777777" w:rsidR="00215226" w:rsidRPr="008571BA" w:rsidRDefault="00215226" w:rsidP="0030777B">
            <w:pPr>
              <w:pStyle w:val="Normal-TableText"/>
            </w:pPr>
            <w:r w:rsidRPr="008571BA">
              <w:t>Attorney General’s Department,</w:t>
            </w:r>
            <w:r>
              <w:t> 201</w:t>
            </w:r>
            <w:r w:rsidRPr="008571BA">
              <w:t xml:space="preserve">2, </w:t>
            </w:r>
            <w:r w:rsidRPr="00C6440C">
              <w:rPr>
                <w:rStyle w:val="Emphasis"/>
              </w:rPr>
              <w:t xml:space="preserve">Information Security Management Guidelines – Management of aggregated information, </w:t>
            </w:r>
            <w:r w:rsidRPr="008571BA">
              <w:t>Attorney General’s Department, Canberra.</w:t>
            </w:r>
          </w:p>
        </w:tc>
      </w:tr>
      <w:tr w:rsidR="00215226" w:rsidRPr="008571BA" w14:paraId="3F8B1731" w14:textId="77777777" w:rsidTr="0030777B">
        <w:trPr>
          <w:trHeight w:val="113"/>
        </w:trPr>
        <w:tc>
          <w:tcPr>
            <w:tcW w:w="1417" w:type="dxa"/>
          </w:tcPr>
          <w:p w14:paraId="31D8969A" w14:textId="77777777" w:rsidR="00215226" w:rsidRPr="008571BA" w:rsidRDefault="00215226" w:rsidP="0030777B">
            <w:pPr>
              <w:pStyle w:val="Normal-TableText"/>
            </w:pPr>
            <w:r w:rsidRPr="008571BA">
              <w:t>[NeAF]</w:t>
            </w:r>
          </w:p>
        </w:tc>
        <w:tc>
          <w:tcPr>
            <w:tcW w:w="7654" w:type="dxa"/>
          </w:tcPr>
          <w:p w14:paraId="5D166770" w14:textId="77777777" w:rsidR="00215226" w:rsidRPr="008571BA" w:rsidRDefault="00215226" w:rsidP="0030777B">
            <w:pPr>
              <w:pStyle w:val="Normal-TableText"/>
            </w:pPr>
            <w:r w:rsidRPr="008571BA">
              <w:t>Department of Finance and Deregulation,</w:t>
            </w:r>
            <w:r>
              <w:t> 200</w:t>
            </w:r>
            <w:r w:rsidRPr="008571BA">
              <w:t xml:space="preserve">9, </w:t>
            </w:r>
            <w:r w:rsidRPr="00C6440C">
              <w:rPr>
                <w:rStyle w:val="Emphasis"/>
              </w:rPr>
              <w:t xml:space="preserve">National </w:t>
            </w:r>
            <w:r w:rsidR="00897FA3">
              <w:rPr>
                <w:rStyle w:val="Emphasis"/>
              </w:rPr>
              <w:t>e</w:t>
            </w:r>
            <w:r w:rsidR="00897FA3">
              <w:rPr>
                <w:rStyle w:val="Emphasis"/>
              </w:rPr>
              <w:noBreakHyphen/>
            </w:r>
            <w:r w:rsidRPr="00C6440C">
              <w:rPr>
                <w:rStyle w:val="Emphasis"/>
              </w:rPr>
              <w:t>Authentication Framework</w:t>
            </w:r>
            <w:r w:rsidRPr="008571BA">
              <w:t>, Department of Finance, Canberra.</w:t>
            </w:r>
          </w:p>
        </w:tc>
      </w:tr>
      <w:tr w:rsidR="00215226" w:rsidRPr="008571BA" w14:paraId="5A2F6164" w14:textId="77777777" w:rsidTr="0030777B">
        <w:trPr>
          <w:trHeight w:val="113"/>
        </w:trPr>
        <w:tc>
          <w:tcPr>
            <w:tcW w:w="1417" w:type="dxa"/>
          </w:tcPr>
          <w:p w14:paraId="56059508" w14:textId="77777777" w:rsidR="00215226" w:rsidRPr="008571BA" w:rsidRDefault="00215226" w:rsidP="0030777B">
            <w:pPr>
              <w:pStyle w:val="Normal-TableText"/>
            </w:pPr>
            <w:r w:rsidRPr="008571BA">
              <w:t>[NIPG]</w:t>
            </w:r>
          </w:p>
        </w:tc>
        <w:tc>
          <w:tcPr>
            <w:tcW w:w="7654" w:type="dxa"/>
          </w:tcPr>
          <w:p w14:paraId="2F3332C4" w14:textId="77777777" w:rsidR="00215226" w:rsidRPr="008571BA" w:rsidRDefault="00215226" w:rsidP="0030777B">
            <w:pPr>
              <w:pStyle w:val="Normal-TableText"/>
              <w:rPr>
                <w:i/>
              </w:rPr>
            </w:pPr>
            <w:r w:rsidRPr="008571BA">
              <w:t>Attorney General’s Department,</w:t>
            </w:r>
            <w:r>
              <w:t> 201</w:t>
            </w:r>
            <w:r w:rsidRPr="008571BA">
              <w:t xml:space="preserve">4, </w:t>
            </w:r>
            <w:r w:rsidRPr="00C6440C">
              <w:rPr>
                <w:rStyle w:val="Emphasis"/>
              </w:rPr>
              <w:t xml:space="preserve">National Identity Proofing Guidelines, </w:t>
            </w:r>
            <w:r w:rsidRPr="008571BA">
              <w:t>Attorney General’s Department, Canberra.</w:t>
            </w:r>
          </w:p>
        </w:tc>
      </w:tr>
      <w:tr w:rsidR="00215226" w:rsidRPr="008571BA" w14:paraId="7BFCDE5A" w14:textId="77777777" w:rsidTr="0030777B">
        <w:trPr>
          <w:trHeight w:val="113"/>
        </w:trPr>
        <w:tc>
          <w:tcPr>
            <w:tcW w:w="1417" w:type="dxa"/>
          </w:tcPr>
          <w:p w14:paraId="66B83183" w14:textId="77777777" w:rsidR="00215226" w:rsidRPr="008571BA" w:rsidRDefault="00215226" w:rsidP="0030777B">
            <w:pPr>
              <w:pStyle w:val="Normal-TableText"/>
            </w:pPr>
            <w:r w:rsidRPr="008571BA">
              <w:t>[PA1988]</w:t>
            </w:r>
          </w:p>
        </w:tc>
        <w:tc>
          <w:tcPr>
            <w:tcW w:w="7654" w:type="dxa"/>
          </w:tcPr>
          <w:p w14:paraId="435055EB" w14:textId="77777777" w:rsidR="00215226" w:rsidRPr="008571BA" w:rsidRDefault="00215226" w:rsidP="0030777B">
            <w:pPr>
              <w:pStyle w:val="Normal-TableText"/>
            </w:pPr>
            <w:r w:rsidRPr="008571BA">
              <w:t xml:space="preserve">Privacy Act 1988 </w:t>
            </w:r>
          </w:p>
        </w:tc>
      </w:tr>
      <w:tr w:rsidR="00215226" w:rsidRPr="008571BA" w14:paraId="1FDE00CB" w14:textId="77777777" w:rsidTr="0030777B">
        <w:trPr>
          <w:trHeight w:val="113"/>
        </w:trPr>
        <w:tc>
          <w:tcPr>
            <w:tcW w:w="1417" w:type="dxa"/>
          </w:tcPr>
          <w:p w14:paraId="2EEB1590" w14:textId="77777777" w:rsidR="00215226" w:rsidRPr="008571BA" w:rsidRDefault="00215226" w:rsidP="0030777B">
            <w:pPr>
              <w:pStyle w:val="Normal-TableText"/>
            </w:pPr>
            <w:r w:rsidRPr="008571BA">
              <w:t>[PA2012]</w:t>
            </w:r>
          </w:p>
        </w:tc>
        <w:tc>
          <w:tcPr>
            <w:tcW w:w="7654" w:type="dxa"/>
          </w:tcPr>
          <w:p w14:paraId="0BA6FA53" w14:textId="77777777" w:rsidR="00215226" w:rsidRPr="008571BA" w:rsidRDefault="00BA3063" w:rsidP="0030777B">
            <w:pPr>
              <w:pStyle w:val="Normal-TableText"/>
            </w:pPr>
            <w:hyperlink r:id="rId38" w:history="1">
              <w:r w:rsidR="00215226" w:rsidRPr="008571BA">
                <w:t>Privacy Amendment (Enhancing Privacy Protection) Act</w:t>
              </w:r>
              <w:r w:rsidR="00215226">
                <w:t> 201</w:t>
              </w:r>
              <w:r w:rsidR="00215226" w:rsidRPr="008571BA">
                <w:t>2</w:t>
              </w:r>
            </w:hyperlink>
          </w:p>
        </w:tc>
      </w:tr>
      <w:tr w:rsidR="00215226" w:rsidRPr="008571BA" w14:paraId="48867DF5" w14:textId="77777777" w:rsidTr="0030777B">
        <w:trPr>
          <w:trHeight w:val="113"/>
        </w:trPr>
        <w:tc>
          <w:tcPr>
            <w:tcW w:w="1417" w:type="dxa"/>
          </w:tcPr>
          <w:p w14:paraId="22D13FE5" w14:textId="77777777" w:rsidR="00215226" w:rsidRPr="008571BA" w:rsidRDefault="00215226" w:rsidP="0030777B">
            <w:pPr>
              <w:pStyle w:val="Normal-TableText"/>
            </w:pPr>
            <w:r w:rsidRPr="008571BA">
              <w:t>[PIA]</w:t>
            </w:r>
          </w:p>
        </w:tc>
        <w:tc>
          <w:tcPr>
            <w:tcW w:w="7654" w:type="dxa"/>
          </w:tcPr>
          <w:p w14:paraId="508CE6FE" w14:textId="77777777" w:rsidR="00215226" w:rsidRPr="008571BA" w:rsidRDefault="00215226" w:rsidP="0030777B">
            <w:pPr>
              <w:pStyle w:val="Normal-TableText"/>
            </w:pPr>
            <w:r w:rsidRPr="008571BA">
              <w:t>Office of the Australian Information Commissioner,</w:t>
            </w:r>
            <w:r>
              <w:t> 201</w:t>
            </w:r>
            <w:r w:rsidRPr="008571BA">
              <w:t xml:space="preserve">4, </w:t>
            </w:r>
            <w:r w:rsidRPr="00C6440C">
              <w:rPr>
                <w:rStyle w:val="Emphasis"/>
              </w:rPr>
              <w:t>Guide to undertaking privacy impact assessments</w:t>
            </w:r>
            <w:r w:rsidRPr="008571BA">
              <w:t>, Office of the Australian Information Commissioner, Canberra.</w:t>
            </w:r>
          </w:p>
        </w:tc>
      </w:tr>
      <w:tr w:rsidR="00215226" w:rsidRPr="008571BA" w14:paraId="2BCBABFC" w14:textId="77777777" w:rsidTr="0030777B">
        <w:trPr>
          <w:trHeight w:val="113"/>
        </w:trPr>
        <w:tc>
          <w:tcPr>
            <w:tcW w:w="1417" w:type="dxa"/>
          </w:tcPr>
          <w:p w14:paraId="6A9AF81E" w14:textId="77777777" w:rsidR="00215226" w:rsidRPr="008571BA" w:rsidRDefault="00215226" w:rsidP="0030777B">
            <w:pPr>
              <w:pStyle w:val="Normal-TableText"/>
            </w:pPr>
            <w:r w:rsidRPr="008571BA">
              <w:lastRenderedPageBreak/>
              <w:t>[PSMG1]</w:t>
            </w:r>
          </w:p>
        </w:tc>
        <w:tc>
          <w:tcPr>
            <w:tcW w:w="7654" w:type="dxa"/>
          </w:tcPr>
          <w:p w14:paraId="562D881D" w14:textId="77777777" w:rsidR="00215226" w:rsidRPr="008571BA" w:rsidRDefault="00215226" w:rsidP="0030777B">
            <w:pPr>
              <w:pStyle w:val="Normal-TableText"/>
            </w:pPr>
            <w:r w:rsidRPr="008571BA">
              <w:t>Attorney General’s Department,</w:t>
            </w:r>
            <w:r>
              <w:t> 201</w:t>
            </w:r>
            <w:r w:rsidRPr="008571BA">
              <w:t xml:space="preserve">1, </w:t>
            </w:r>
            <w:r w:rsidRPr="00C6440C">
              <w:rPr>
                <w:rStyle w:val="Emphasis"/>
              </w:rPr>
              <w:t>Physical Security Management Guidelines: Physical Security of ICT equipment, systems and facilities</w:t>
            </w:r>
            <w:r w:rsidRPr="008571BA">
              <w:t>, Attorney General’s Department, Canberra.</w:t>
            </w:r>
          </w:p>
        </w:tc>
      </w:tr>
      <w:tr w:rsidR="00215226" w:rsidRPr="008571BA" w14:paraId="05EFDF21" w14:textId="77777777" w:rsidTr="0030777B">
        <w:trPr>
          <w:trHeight w:val="113"/>
        </w:trPr>
        <w:tc>
          <w:tcPr>
            <w:tcW w:w="1417" w:type="dxa"/>
          </w:tcPr>
          <w:p w14:paraId="3F91A828" w14:textId="77777777" w:rsidR="00215226" w:rsidRPr="008571BA" w:rsidRDefault="00215226" w:rsidP="0030777B">
            <w:pPr>
              <w:pStyle w:val="Normal-TableText"/>
            </w:pPr>
            <w:r w:rsidRPr="008571BA">
              <w:t>[PSMG2]</w:t>
            </w:r>
          </w:p>
        </w:tc>
        <w:tc>
          <w:tcPr>
            <w:tcW w:w="7654" w:type="dxa"/>
          </w:tcPr>
          <w:p w14:paraId="51ECD68E" w14:textId="77777777" w:rsidR="00215226" w:rsidRPr="008571BA" w:rsidRDefault="00215226" w:rsidP="0030777B">
            <w:pPr>
              <w:pStyle w:val="Normal-TableText"/>
            </w:pPr>
            <w:r w:rsidRPr="008571BA">
              <w:t>Attorney General’s Department,</w:t>
            </w:r>
            <w:r>
              <w:t> 201</w:t>
            </w:r>
            <w:r w:rsidRPr="008571BA">
              <w:t xml:space="preserve">2, </w:t>
            </w:r>
            <w:r w:rsidRPr="00C6440C">
              <w:rPr>
                <w:rStyle w:val="Emphasis"/>
              </w:rPr>
              <w:t>Physical Security Management Guidelines – Security Zones and Risk Mitigation Control Measures</w:t>
            </w:r>
            <w:r w:rsidRPr="008571BA">
              <w:t>, Attorney General’s Department, Canberra.</w:t>
            </w:r>
          </w:p>
        </w:tc>
      </w:tr>
      <w:tr w:rsidR="00215226" w:rsidRPr="008571BA" w14:paraId="100F7FEC" w14:textId="77777777" w:rsidTr="0030777B">
        <w:trPr>
          <w:trHeight w:val="113"/>
        </w:trPr>
        <w:tc>
          <w:tcPr>
            <w:tcW w:w="1417" w:type="dxa"/>
          </w:tcPr>
          <w:p w14:paraId="5E4FAAC9" w14:textId="77777777" w:rsidR="00215226" w:rsidRPr="008571BA" w:rsidRDefault="00215226" w:rsidP="0030777B">
            <w:pPr>
              <w:pStyle w:val="Normal-TableText"/>
            </w:pPr>
            <w:r w:rsidRPr="008571BA">
              <w:t>[PSPF]</w:t>
            </w:r>
          </w:p>
        </w:tc>
        <w:tc>
          <w:tcPr>
            <w:tcW w:w="7654" w:type="dxa"/>
          </w:tcPr>
          <w:p w14:paraId="3157CAE5" w14:textId="77777777" w:rsidR="00215226" w:rsidRPr="008571BA" w:rsidRDefault="00215226" w:rsidP="0030777B">
            <w:pPr>
              <w:pStyle w:val="Normal-TableText"/>
            </w:pPr>
            <w:r w:rsidRPr="008571BA">
              <w:t>Attorney General’s Department,</w:t>
            </w:r>
            <w:r>
              <w:t> 201</w:t>
            </w:r>
            <w:r w:rsidRPr="008571BA">
              <w:t xml:space="preserve">4, </w:t>
            </w:r>
            <w:r w:rsidRPr="00C6440C">
              <w:rPr>
                <w:rStyle w:val="Emphasis"/>
              </w:rPr>
              <w:t>Protective Security Policy Framework</w:t>
            </w:r>
            <w:r w:rsidRPr="008571BA">
              <w:t>, Attorney General’s Department, Canberra.</w:t>
            </w:r>
          </w:p>
        </w:tc>
      </w:tr>
      <w:tr w:rsidR="00215226" w:rsidRPr="008571BA" w14:paraId="29166946" w14:textId="77777777" w:rsidTr="0030777B">
        <w:trPr>
          <w:trHeight w:val="113"/>
        </w:trPr>
        <w:tc>
          <w:tcPr>
            <w:tcW w:w="1417" w:type="dxa"/>
          </w:tcPr>
          <w:p w14:paraId="3DAB3436" w14:textId="77777777" w:rsidR="00215226" w:rsidRPr="008571BA" w:rsidRDefault="00215226" w:rsidP="0030777B">
            <w:pPr>
              <w:pStyle w:val="Normal-TableText"/>
            </w:pPr>
            <w:r w:rsidRPr="008571BA">
              <w:t>[RFC3647]</w:t>
            </w:r>
          </w:p>
        </w:tc>
        <w:tc>
          <w:tcPr>
            <w:tcW w:w="7654" w:type="dxa"/>
          </w:tcPr>
          <w:p w14:paraId="6BFECD49" w14:textId="77777777" w:rsidR="00215226" w:rsidRPr="008571BA" w:rsidRDefault="00215226" w:rsidP="0030777B">
            <w:pPr>
              <w:pStyle w:val="Normal-TableText"/>
            </w:pPr>
            <w:r w:rsidRPr="008571BA">
              <w:t>S. Chokhani, W. Ford, R. Sabett, C. Merrill &amp; S. Wu,</w:t>
            </w:r>
            <w:r>
              <w:t> 200</w:t>
            </w:r>
            <w:r w:rsidRPr="008571BA">
              <w:t xml:space="preserve">3, </w:t>
            </w:r>
            <w:r w:rsidRPr="00C6440C">
              <w:rPr>
                <w:rStyle w:val="Emphasis"/>
              </w:rPr>
              <w:t>Internet X.509 Public Key Infrastructure Certificate Policy and Certification Practices Framework</w:t>
            </w:r>
            <w:r w:rsidRPr="008571BA">
              <w:t>, (RFC 3647), The Internet Society, Switzerland.</w:t>
            </w:r>
          </w:p>
        </w:tc>
      </w:tr>
      <w:tr w:rsidR="00215226" w:rsidRPr="008571BA" w14:paraId="502D5CE3" w14:textId="77777777" w:rsidTr="0030777B">
        <w:trPr>
          <w:trHeight w:val="113"/>
        </w:trPr>
        <w:tc>
          <w:tcPr>
            <w:tcW w:w="1417" w:type="dxa"/>
          </w:tcPr>
          <w:p w14:paraId="5BD170BA" w14:textId="77777777" w:rsidR="00215226" w:rsidRPr="008571BA" w:rsidRDefault="00215226" w:rsidP="0030777B">
            <w:pPr>
              <w:pStyle w:val="Normal-TableText"/>
            </w:pPr>
            <w:r w:rsidRPr="008571BA">
              <w:br w:type="page"/>
              <w:t>[RFC5019]</w:t>
            </w:r>
          </w:p>
        </w:tc>
        <w:tc>
          <w:tcPr>
            <w:tcW w:w="7654" w:type="dxa"/>
          </w:tcPr>
          <w:p w14:paraId="0CDE88A8" w14:textId="77777777" w:rsidR="00215226" w:rsidRPr="008571BA" w:rsidRDefault="00215226" w:rsidP="0030777B">
            <w:pPr>
              <w:pStyle w:val="Normal-TableText"/>
            </w:pPr>
            <w:r w:rsidRPr="008571BA">
              <w:t>A. Deacon &amp; R. Hurst,</w:t>
            </w:r>
            <w:r>
              <w:t> 200</w:t>
            </w:r>
            <w:r w:rsidRPr="008571BA">
              <w:t xml:space="preserve">7, </w:t>
            </w:r>
            <w:r w:rsidRPr="00C6440C">
              <w:rPr>
                <w:rStyle w:val="Emphasis"/>
              </w:rPr>
              <w:t>The Lightweight Online Certificate Status Protocol (OCSP) Profile for High-Volume Environments,</w:t>
            </w:r>
            <w:r w:rsidRPr="008571BA">
              <w:t xml:space="preserve"> (RFC5019), The Internet Society, Switzerland.</w:t>
            </w:r>
          </w:p>
        </w:tc>
      </w:tr>
      <w:tr w:rsidR="00215226" w:rsidRPr="008571BA" w14:paraId="23F06D5E" w14:textId="77777777" w:rsidTr="0030777B">
        <w:trPr>
          <w:trHeight w:val="113"/>
        </w:trPr>
        <w:tc>
          <w:tcPr>
            <w:tcW w:w="1417" w:type="dxa"/>
          </w:tcPr>
          <w:p w14:paraId="775151B8" w14:textId="77777777" w:rsidR="00215226" w:rsidRPr="008571BA" w:rsidRDefault="00215226" w:rsidP="0030777B">
            <w:pPr>
              <w:pStyle w:val="Normal-TableText"/>
            </w:pPr>
            <w:r w:rsidRPr="008571BA">
              <w:t>[RFC5280]</w:t>
            </w:r>
          </w:p>
        </w:tc>
        <w:tc>
          <w:tcPr>
            <w:tcW w:w="7654" w:type="dxa"/>
          </w:tcPr>
          <w:p w14:paraId="05B8F735" w14:textId="77777777" w:rsidR="00215226" w:rsidRPr="008571BA" w:rsidRDefault="00215226" w:rsidP="0030777B">
            <w:pPr>
              <w:pStyle w:val="Normal-TableText"/>
            </w:pPr>
            <w:r w:rsidRPr="008571BA">
              <w:t>D. Cooper, S. Santesson, S. Farrell, S. Boeyen, R. Housley &amp; W. Polk,</w:t>
            </w:r>
            <w:r>
              <w:t> 200</w:t>
            </w:r>
            <w:r w:rsidRPr="008571BA">
              <w:t xml:space="preserve">8, </w:t>
            </w:r>
            <w:r w:rsidRPr="00C6440C">
              <w:rPr>
                <w:rStyle w:val="Emphasis"/>
              </w:rPr>
              <w:t>Internet X.509 Public Key Infrastructure and Certificate Revocation List (CRL) Profile</w:t>
            </w:r>
            <w:r w:rsidRPr="008571BA">
              <w:t>, (RFC 5280), The Internet Society, Switzerland.</w:t>
            </w:r>
          </w:p>
        </w:tc>
      </w:tr>
      <w:tr w:rsidR="00215226" w:rsidRPr="008571BA" w14:paraId="580B3728" w14:textId="77777777" w:rsidTr="0030777B">
        <w:trPr>
          <w:trHeight w:val="113"/>
        </w:trPr>
        <w:tc>
          <w:tcPr>
            <w:tcW w:w="1417" w:type="dxa"/>
          </w:tcPr>
          <w:p w14:paraId="59A08311" w14:textId="77777777" w:rsidR="00215226" w:rsidRPr="008571BA" w:rsidRDefault="00215226" w:rsidP="0030777B">
            <w:pPr>
              <w:pStyle w:val="Normal-TableText"/>
            </w:pPr>
            <w:r w:rsidRPr="008571BA">
              <w:t>[RFC6960]</w:t>
            </w:r>
          </w:p>
        </w:tc>
        <w:tc>
          <w:tcPr>
            <w:tcW w:w="7654" w:type="dxa"/>
          </w:tcPr>
          <w:p w14:paraId="7DD10DCC" w14:textId="77777777" w:rsidR="00215226" w:rsidRPr="008571BA" w:rsidRDefault="00215226" w:rsidP="0030777B">
            <w:pPr>
              <w:pStyle w:val="Normal-TableText"/>
            </w:pPr>
            <w:r w:rsidRPr="008571BA">
              <w:t>S. Santesson, M. Myers, R. Ankney, A. Malpani, S.Galperin &amp; C.Adams,</w:t>
            </w:r>
            <w:r>
              <w:t> 201</w:t>
            </w:r>
            <w:r w:rsidRPr="008571BA">
              <w:t xml:space="preserve">3, </w:t>
            </w:r>
            <w:r w:rsidRPr="00C6440C">
              <w:rPr>
                <w:rStyle w:val="Emphasis"/>
              </w:rPr>
              <w:t>X.509 Internet Public Key Infrastructure Online Certificate Status Protocol – OCSP</w:t>
            </w:r>
            <w:r w:rsidRPr="008571BA">
              <w:t>, (RFC6960), The Internet Society, Switzerland.</w:t>
            </w:r>
          </w:p>
        </w:tc>
      </w:tr>
      <w:tr w:rsidR="00215226" w:rsidRPr="008571BA" w14:paraId="1988C167" w14:textId="77777777" w:rsidTr="0030777B">
        <w:trPr>
          <w:trHeight w:val="113"/>
        </w:trPr>
        <w:tc>
          <w:tcPr>
            <w:tcW w:w="1417" w:type="dxa"/>
          </w:tcPr>
          <w:p w14:paraId="414FD0AC" w14:textId="77777777" w:rsidR="00215226" w:rsidRPr="008571BA" w:rsidRDefault="00215226" w:rsidP="0030777B">
            <w:pPr>
              <w:pStyle w:val="Normal-TableText"/>
            </w:pPr>
            <w:r w:rsidRPr="008571BA">
              <w:t>[SGB]</w:t>
            </w:r>
          </w:p>
        </w:tc>
        <w:tc>
          <w:tcPr>
            <w:tcW w:w="7654" w:type="dxa"/>
          </w:tcPr>
          <w:p w14:paraId="2E0539D7" w14:textId="77777777" w:rsidR="00215226" w:rsidRPr="008571BA" w:rsidRDefault="00215226" w:rsidP="0030777B">
            <w:pPr>
              <w:pStyle w:val="Normal-TableText"/>
            </w:pPr>
            <w:r w:rsidRPr="008571BA">
              <w:t>Attorney General’s Department,</w:t>
            </w:r>
            <w:r>
              <w:t> 201</w:t>
            </w:r>
            <w:r w:rsidRPr="008571BA">
              <w:t xml:space="preserve">4, </w:t>
            </w:r>
            <w:r w:rsidRPr="00C6440C">
              <w:rPr>
                <w:rStyle w:val="Emphasis"/>
              </w:rPr>
              <w:t>Securing Government Business – Protective Security Guidance for Executives</w:t>
            </w:r>
            <w:r w:rsidRPr="008571BA">
              <w:t>, Attorney General’s Department, Canberra.</w:t>
            </w:r>
          </w:p>
        </w:tc>
      </w:tr>
      <w:tr w:rsidR="00215226" w:rsidRPr="008571BA" w14:paraId="0EACFF53" w14:textId="77777777" w:rsidTr="0030777B">
        <w:trPr>
          <w:trHeight w:val="113"/>
        </w:trPr>
        <w:tc>
          <w:tcPr>
            <w:tcW w:w="1417" w:type="dxa"/>
          </w:tcPr>
          <w:p w14:paraId="2E704D28" w14:textId="77777777" w:rsidR="00215226" w:rsidRPr="008571BA" w:rsidRDefault="00215226" w:rsidP="0030777B">
            <w:pPr>
              <w:pStyle w:val="Normal-TableText"/>
            </w:pPr>
            <w:r w:rsidRPr="008571BA">
              <w:t>[TCPR]</w:t>
            </w:r>
          </w:p>
        </w:tc>
        <w:tc>
          <w:tcPr>
            <w:tcW w:w="7654" w:type="dxa"/>
          </w:tcPr>
          <w:p w14:paraId="254CCEF9" w14:textId="77777777" w:rsidR="00215226" w:rsidRPr="008571BA" w:rsidRDefault="00215226" w:rsidP="0030777B">
            <w:pPr>
              <w:pStyle w:val="Normal-TableText"/>
            </w:pPr>
            <w:r w:rsidRPr="008571BA">
              <w:t>Australian Communications Media Authority</w:t>
            </w:r>
            <w:r>
              <w:t> 201</w:t>
            </w:r>
            <w:r w:rsidRPr="008571BA">
              <w:t xml:space="preserve">2, </w:t>
            </w:r>
            <w:r w:rsidRPr="00C6440C">
              <w:rPr>
                <w:rStyle w:val="Emphasis"/>
              </w:rPr>
              <w:t>Telecommunications Cabling Provider Rules 2000 (as amended)</w:t>
            </w:r>
            <w:r w:rsidRPr="008571BA">
              <w:t>, Australian Communications Media Authority.</w:t>
            </w:r>
          </w:p>
        </w:tc>
      </w:tr>
      <w:tr w:rsidR="00215226" w:rsidRPr="008571BA" w14:paraId="6B8D8A72" w14:textId="77777777" w:rsidTr="0030777B">
        <w:trPr>
          <w:trHeight w:val="113"/>
        </w:trPr>
        <w:tc>
          <w:tcPr>
            <w:tcW w:w="1417" w:type="dxa"/>
          </w:tcPr>
          <w:p w14:paraId="1DCBD6F7" w14:textId="77777777" w:rsidR="00215226" w:rsidRPr="008571BA" w:rsidRDefault="00215226" w:rsidP="0030777B">
            <w:pPr>
              <w:pStyle w:val="Normal-TableText"/>
            </w:pPr>
            <w:r w:rsidRPr="008571BA">
              <w:t>[TPISAF]</w:t>
            </w:r>
          </w:p>
        </w:tc>
        <w:tc>
          <w:tcPr>
            <w:tcW w:w="7654" w:type="dxa"/>
          </w:tcPr>
          <w:p w14:paraId="300283F8" w14:textId="77777777" w:rsidR="00215226" w:rsidRPr="008571BA" w:rsidRDefault="00215226" w:rsidP="0030777B">
            <w:pPr>
              <w:pStyle w:val="Normal-TableText"/>
            </w:pPr>
            <w:r w:rsidRPr="008571BA">
              <w:t>Department of Finance,</w:t>
            </w:r>
            <w:r>
              <w:t> 201</w:t>
            </w:r>
            <w:r w:rsidRPr="008571BA">
              <w:t xml:space="preserve">3, </w:t>
            </w:r>
            <w:r w:rsidRPr="00C6440C">
              <w:rPr>
                <w:rStyle w:val="Emphasis"/>
              </w:rPr>
              <w:t>Third Party Identity Services Assurance Framework,</w:t>
            </w:r>
            <w:r w:rsidRPr="008571BA">
              <w:t xml:space="preserve"> Department of Finance, Canberra.</w:t>
            </w:r>
          </w:p>
        </w:tc>
      </w:tr>
      <w:tr w:rsidR="00215226" w:rsidRPr="008571BA" w14:paraId="2269CD67" w14:textId="77777777" w:rsidTr="0030777B">
        <w:trPr>
          <w:trHeight w:val="113"/>
        </w:trPr>
        <w:tc>
          <w:tcPr>
            <w:tcW w:w="1417" w:type="dxa"/>
          </w:tcPr>
          <w:p w14:paraId="300530F3" w14:textId="77777777" w:rsidR="00215226" w:rsidRPr="008571BA" w:rsidRDefault="00215226" w:rsidP="0030777B">
            <w:pPr>
              <w:pStyle w:val="Normal-TableText"/>
            </w:pPr>
            <w:r w:rsidRPr="008571BA">
              <w:t>[X.500]</w:t>
            </w:r>
          </w:p>
        </w:tc>
        <w:tc>
          <w:tcPr>
            <w:tcW w:w="7654" w:type="dxa"/>
          </w:tcPr>
          <w:p w14:paraId="5233A5BB" w14:textId="77777777" w:rsidR="00215226" w:rsidRPr="008571BA" w:rsidRDefault="00215226" w:rsidP="0030777B">
            <w:pPr>
              <w:pStyle w:val="Normal-TableText"/>
            </w:pPr>
            <w:r w:rsidRPr="008571BA">
              <w:t>International Telecommunications Union,</w:t>
            </w:r>
            <w:r>
              <w:t> 201</w:t>
            </w:r>
            <w:r w:rsidRPr="008571BA">
              <w:t xml:space="preserve">2, </w:t>
            </w:r>
            <w:r w:rsidRPr="00C6440C">
              <w:rPr>
                <w:rStyle w:val="Emphasis"/>
              </w:rPr>
              <w:t>X.500: Information Technology – Open Systems Interconnect – The Directory: Overview of concepts, models and services</w:t>
            </w:r>
            <w:r w:rsidRPr="008571BA">
              <w:t>, (X.500), International Telecommunications Union, Switzerland.</w:t>
            </w:r>
          </w:p>
        </w:tc>
      </w:tr>
      <w:tr w:rsidR="00215226" w:rsidRPr="008571BA" w14:paraId="7420E657" w14:textId="77777777" w:rsidTr="0030777B">
        <w:trPr>
          <w:trHeight w:val="113"/>
        </w:trPr>
        <w:tc>
          <w:tcPr>
            <w:tcW w:w="1417" w:type="dxa"/>
          </w:tcPr>
          <w:p w14:paraId="4FF9B36C" w14:textId="77777777" w:rsidR="00215226" w:rsidRPr="008571BA" w:rsidRDefault="00215226" w:rsidP="0030777B">
            <w:pPr>
              <w:pStyle w:val="Normal-TableText"/>
            </w:pPr>
            <w:r w:rsidRPr="008571BA">
              <w:t>[WebTrust]</w:t>
            </w:r>
          </w:p>
        </w:tc>
        <w:tc>
          <w:tcPr>
            <w:tcW w:w="7654" w:type="dxa"/>
          </w:tcPr>
          <w:p w14:paraId="39650941" w14:textId="77777777" w:rsidR="00215226" w:rsidRPr="008571BA" w:rsidRDefault="00215226" w:rsidP="0030777B">
            <w:pPr>
              <w:pStyle w:val="Normal-TableText"/>
            </w:pPr>
            <w:r w:rsidRPr="008571BA">
              <w:t>Canada Institute of Chartered Accountants,</w:t>
            </w:r>
            <w:r>
              <w:t> 201</w:t>
            </w:r>
            <w:r w:rsidRPr="008571BA">
              <w:t xml:space="preserve">1, </w:t>
            </w:r>
            <w:r w:rsidRPr="00C6440C">
              <w:rPr>
                <w:rStyle w:val="Emphasis"/>
              </w:rPr>
              <w:t>Trust Service Principles and Criteria for Certification Authorities, Version 2.0</w:t>
            </w:r>
            <w:r w:rsidRPr="008571BA">
              <w:t>, Canada Institute of Chartered Accountants, Canada</w:t>
            </w:r>
          </w:p>
        </w:tc>
      </w:tr>
    </w:tbl>
    <w:p w14:paraId="2D318EBE" w14:textId="77777777" w:rsidR="00215226" w:rsidRPr="00ED447E" w:rsidRDefault="00215226" w:rsidP="0030777B">
      <w:pPr>
        <w:pStyle w:val="Heading1"/>
      </w:pPr>
      <w:bookmarkStart w:id="354" w:name="_Toc426636733"/>
      <w:bookmarkStart w:id="355" w:name="_Toc426640017"/>
      <w:bookmarkStart w:id="356" w:name="_Toc430268958"/>
      <w:r w:rsidRPr="00ED447E">
        <w:lastRenderedPageBreak/>
        <w:t>ANNEX A</w:t>
      </w:r>
      <w:r w:rsidR="00897FA3">
        <w:t xml:space="preserve"> – </w:t>
      </w:r>
      <w:r w:rsidRPr="00ED447E">
        <w:t>Algorithms &amp; Key Lengths</w:t>
      </w:r>
      <w:bookmarkEnd w:id="354"/>
      <w:bookmarkEnd w:id="355"/>
      <w:bookmarkEnd w:id="356"/>
    </w:p>
    <w:p w14:paraId="613DE1AB" w14:textId="77777777" w:rsidR="00215226" w:rsidRPr="008571BA" w:rsidRDefault="00215226" w:rsidP="00272228">
      <w:r w:rsidRPr="008571BA">
        <w:t>This section has been derived from cryptographic best practice from the National Institute of Standards and Technology (NIST) as described in [800</w:t>
      </w:r>
      <w:r>
        <w:t>–5</w:t>
      </w:r>
      <w:r w:rsidRPr="008571BA">
        <w:t>7].</w:t>
      </w:r>
    </w:p>
    <w:p w14:paraId="1E074460" w14:textId="77777777" w:rsidR="00215226" w:rsidRPr="008571BA" w:rsidRDefault="00215226" w:rsidP="00272228">
      <w:r w:rsidRPr="008571BA">
        <w:t>This section emphasises the importance of acquiring cryptographic systems with appropriate algorithm and key sizes to provide adequate protection for the expected lifetime of the system, and any information to be protected by that system during the lifetime of that information</w:t>
      </w:r>
    </w:p>
    <w:p w14:paraId="17D6D5E4" w14:textId="77777777" w:rsidR="00215226" w:rsidRPr="008571BA" w:rsidRDefault="00215226" w:rsidP="00272228">
      <w:pPr>
        <w:pStyle w:val="Heading2"/>
      </w:pPr>
      <w:bookmarkStart w:id="357" w:name="_Toc430268959"/>
      <w:r w:rsidRPr="008571BA">
        <w:t>Comparable Algorithm Strengths</w:t>
      </w:r>
      <w:bookmarkEnd w:id="357"/>
    </w:p>
    <w:p w14:paraId="27D85C74" w14:textId="77777777" w:rsidR="00215226" w:rsidRDefault="00215226" w:rsidP="00272228">
      <w:r w:rsidRPr="008571BA">
        <w:t>Cryptographic algorithms provide different ‘strengths’ of security, depending on the algorithm and key size used.</w:t>
      </w:r>
      <w:r>
        <w:t xml:space="preserve"> </w:t>
      </w:r>
      <w:r w:rsidRPr="008571BA">
        <w:t>Two algorithms are considered to be of comparable strength for a given key size if the effort required to ‘break the algorithm’ or determine the key is approximately the same using a given resource. The security strength of an algorithm for a given key size is traditionally described in terms of the amount of work it takes to try all the keys for an algorithm with a key size of "X" that has no short cut attacks (i.e., the most efficient attack is to try all possible keys).</w:t>
      </w:r>
    </w:p>
    <w:p w14:paraId="325F92B4" w14:textId="77777777" w:rsidR="00215226" w:rsidRDefault="00215226" w:rsidP="00272228">
      <w:r w:rsidRPr="008571BA">
        <w:t>The recommended, comparable key-size classes below are based on assessments made by the cryptographic community.</w:t>
      </w:r>
      <w:r>
        <w:t xml:space="preserve"> </w:t>
      </w:r>
      <w:r w:rsidRPr="008571BA">
        <w:t>Advances in factoring algorithms, general discret</w:t>
      </w:r>
      <w:r w:rsidR="00897FA3">
        <w:t>e</w:t>
      </w:r>
      <w:r w:rsidR="00897FA3">
        <w:noBreakHyphen/>
      </w:r>
      <w:r w:rsidRPr="008571BA">
        <w:t>logarithm attacks, elliptic-curve discret</w:t>
      </w:r>
      <w:r w:rsidR="00897FA3">
        <w:t>e</w:t>
      </w:r>
      <w:r w:rsidR="00897FA3">
        <w:noBreakHyphen/>
      </w:r>
      <w:r w:rsidRPr="008571BA">
        <w:t>logarithm attacks and quantum computing may affect these equivalences in the</w:t>
      </w:r>
      <w:r w:rsidR="004628D5">
        <w:t> </w:t>
      </w:r>
      <w:r w:rsidRPr="008571BA">
        <w:t>future.</w:t>
      </w:r>
    </w:p>
    <w:p w14:paraId="178BBE96" w14:textId="77777777" w:rsidR="00215226" w:rsidRDefault="00215226" w:rsidP="00272228">
      <w:r w:rsidRPr="008571BA">
        <w:t>New or improved attacks or technologies may be developed that leave some of the current algorithms completely insecure.</w:t>
      </w:r>
      <w:r>
        <w:t xml:space="preserve"> </w:t>
      </w:r>
      <w:r w:rsidRPr="008571BA">
        <w:t>If quantum attacks become practical, the asymmetric techniques may no longer be secure.</w:t>
      </w:r>
      <w:r>
        <w:t xml:space="preserve"> </w:t>
      </w:r>
      <w:r w:rsidRPr="008571BA">
        <w:t>Periodic reviews are performed to determine whether the stated equivalences need to be revised. (e.g. the key size needs to be increased) or whether the algorithms are no longer secure.</w:t>
      </w:r>
    </w:p>
    <w:p w14:paraId="671B46FF" w14:textId="77777777" w:rsidR="00215226" w:rsidRDefault="00215226" w:rsidP="00272228">
      <w:r w:rsidRPr="008571BA">
        <w:t>The table below</w:t>
      </w:r>
      <w:r w:rsidRPr="00E64190">
        <w:rPr>
          <w:rStyle w:val="FootnoteReference"/>
        </w:rPr>
        <w:footnoteReference w:id="26"/>
      </w:r>
      <w:r w:rsidRPr="008571BA">
        <w:t xml:space="preserve"> provides comparable security strengths for AACAs.</w:t>
      </w:r>
    </w:p>
    <w:p w14:paraId="1C7FA1EB" w14:textId="77777777" w:rsidR="00215226" w:rsidRPr="008571BA" w:rsidRDefault="00215226" w:rsidP="00906D67">
      <w:pPr>
        <w:pStyle w:val="NumberedList1"/>
        <w:numPr>
          <w:ilvl w:val="0"/>
          <w:numId w:val="14"/>
        </w:numPr>
      </w:pPr>
      <w:r w:rsidRPr="008571BA">
        <w:t>Column 1 indicates the number of bits of security (entropy) provided by the algorithm and key sizes in a particular row.</w:t>
      </w:r>
    </w:p>
    <w:p w14:paraId="677382D2" w14:textId="77777777" w:rsidR="00215226" w:rsidRPr="008571BA" w:rsidRDefault="00215226" w:rsidP="00272228">
      <w:pPr>
        <w:pStyle w:val="NumberedList1"/>
      </w:pPr>
      <w:r w:rsidRPr="008571BA">
        <w:t>Column 2 identifies the symmetric-key algorithms that provide the indicated level of security (at</w:t>
      </w:r>
      <w:r w:rsidR="004628D5">
        <w:t> </w:t>
      </w:r>
      <w:r w:rsidRPr="008571BA">
        <w:t>a</w:t>
      </w:r>
      <w:r w:rsidR="004628D5">
        <w:t> </w:t>
      </w:r>
      <w:r w:rsidRPr="008571BA">
        <w:t>minimum).</w:t>
      </w:r>
    </w:p>
    <w:p w14:paraId="556E92F2" w14:textId="77777777" w:rsidR="00215226" w:rsidRPr="008571BA" w:rsidRDefault="00215226" w:rsidP="00272228">
      <w:pPr>
        <w:pStyle w:val="NumberedList1"/>
      </w:pPr>
      <w:r w:rsidRPr="008571BA">
        <w:t>Column 3 indicates the minimum size of the parameters associated with the standards that use finit</w:t>
      </w:r>
      <w:r w:rsidR="00897FA3">
        <w:t>e</w:t>
      </w:r>
      <w:r w:rsidR="00897FA3">
        <w:noBreakHyphen/>
      </w:r>
      <w:r w:rsidRPr="008571BA">
        <w:t>field cryptography.</w:t>
      </w:r>
      <w:r>
        <w:t xml:space="preserve"> </w:t>
      </w:r>
      <w:r w:rsidRPr="008571BA">
        <w:t>Examples of such algorithms include Digital Signature Algorithm for digital signatures and Diffi</w:t>
      </w:r>
      <w:r w:rsidR="00897FA3">
        <w:t>e</w:t>
      </w:r>
      <w:r w:rsidR="00897FA3">
        <w:noBreakHyphen/>
      </w:r>
      <w:r w:rsidRPr="008571BA">
        <w:t>Hellman for key agreements.</w:t>
      </w:r>
    </w:p>
    <w:p w14:paraId="0E0833E5" w14:textId="77777777" w:rsidR="00215226" w:rsidRPr="008571BA" w:rsidRDefault="00215226" w:rsidP="00272228">
      <w:pPr>
        <w:pStyle w:val="NumberedList1"/>
      </w:pPr>
      <w:r w:rsidRPr="008571BA">
        <w:t xml:space="preserve">Column 4 indicates the value for </w:t>
      </w:r>
      <w:r w:rsidRPr="00C6440C">
        <w:rPr>
          <w:rStyle w:val="Emphasis"/>
        </w:rPr>
        <w:t>k</w:t>
      </w:r>
      <w:r w:rsidRPr="008571BA">
        <w:t xml:space="preserve"> (the size of modulus </w:t>
      </w:r>
      <w:r w:rsidRPr="00C6440C">
        <w:rPr>
          <w:rStyle w:val="Emphasis"/>
        </w:rPr>
        <w:t>n</w:t>
      </w:r>
      <w:r w:rsidRPr="008571BA">
        <w:t>) for algorithms based on integer-factorisation cryptography.</w:t>
      </w:r>
      <w:r>
        <w:t xml:space="preserve"> </w:t>
      </w:r>
      <w:r w:rsidRPr="008571BA">
        <w:t>Examples of such algorithms include the RSA algorithm.</w:t>
      </w:r>
      <w:r>
        <w:t xml:space="preserve"> </w:t>
      </w:r>
      <w:r w:rsidRPr="008571BA">
        <w:t xml:space="preserve">The value or </w:t>
      </w:r>
      <w:r w:rsidRPr="00C6440C">
        <w:rPr>
          <w:rStyle w:val="Emphasis"/>
        </w:rPr>
        <w:t>k</w:t>
      </w:r>
      <w:r w:rsidRPr="008571BA">
        <w:t xml:space="preserve"> is commonly considered to be the key size.</w:t>
      </w:r>
    </w:p>
    <w:p w14:paraId="6BBB93D5" w14:textId="77777777" w:rsidR="00215226" w:rsidRPr="008571BA" w:rsidRDefault="00215226" w:rsidP="00272228">
      <w:pPr>
        <w:pStyle w:val="NumberedList1"/>
      </w:pPr>
      <w:r w:rsidRPr="008571BA">
        <w:t xml:space="preserve">Column 5 indicates the range of </w:t>
      </w:r>
      <w:r w:rsidRPr="00C6440C">
        <w:rPr>
          <w:rStyle w:val="Emphasis"/>
        </w:rPr>
        <w:t>f</w:t>
      </w:r>
      <w:r w:rsidRPr="008571BA">
        <w:t xml:space="preserve"> (the size of </w:t>
      </w:r>
      <w:r w:rsidRPr="00C6440C">
        <w:rPr>
          <w:rStyle w:val="Emphasis"/>
        </w:rPr>
        <w:t>n</w:t>
      </w:r>
      <w:r w:rsidRPr="008571BA">
        <w:t xml:space="preserve">, where n is the order of the base point </w:t>
      </w:r>
      <w:r w:rsidRPr="00C6440C">
        <w:rPr>
          <w:rStyle w:val="Emphasis"/>
        </w:rPr>
        <w:t>G</w:t>
      </w:r>
      <w:r w:rsidRPr="008571BA">
        <w:t>) for algorithms based on elliptic-curve cryptography that are specified for digital signatures and for key establishment. The value of f is commonly considered to be the key size.</w:t>
      </w:r>
    </w:p>
    <w:p w14:paraId="162342B3" w14:textId="77777777" w:rsidR="00AD4117" w:rsidRDefault="00AD4117" w:rsidP="00D825A0">
      <w:r>
        <w:br w:type="page"/>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814"/>
        <w:gridCol w:w="1832"/>
        <w:gridCol w:w="1801"/>
        <w:gridCol w:w="1801"/>
        <w:gridCol w:w="1812"/>
      </w:tblGrid>
      <w:tr w:rsidR="00215226" w:rsidRPr="008571BA" w14:paraId="7545B4D8" w14:textId="77777777" w:rsidTr="00AD4117">
        <w:trPr>
          <w:cnfStyle w:val="100000000000" w:firstRow="1" w:lastRow="0" w:firstColumn="0" w:lastColumn="0" w:oddVBand="0" w:evenVBand="0" w:oddHBand="0" w:evenHBand="0" w:firstRowFirstColumn="0" w:firstRowLastColumn="0" w:lastRowFirstColumn="0" w:lastRowLastColumn="0"/>
          <w:tblHeader/>
        </w:trPr>
        <w:tc>
          <w:tcPr>
            <w:tcW w:w="1001" w:type="pct"/>
          </w:tcPr>
          <w:p w14:paraId="61C28B4B" w14:textId="77777777" w:rsidR="00215226" w:rsidRPr="008571BA" w:rsidRDefault="00215226" w:rsidP="00AD4117">
            <w:pPr>
              <w:pStyle w:val="Normal-TableText"/>
            </w:pPr>
            <w:r w:rsidRPr="008571BA">
              <w:lastRenderedPageBreak/>
              <w:t>Bits of entropy</w:t>
            </w:r>
          </w:p>
        </w:tc>
        <w:tc>
          <w:tcPr>
            <w:tcW w:w="1011" w:type="pct"/>
          </w:tcPr>
          <w:p w14:paraId="7F6693E9" w14:textId="77777777" w:rsidR="00215226" w:rsidRPr="008571BA" w:rsidRDefault="00215226" w:rsidP="00AD4117">
            <w:pPr>
              <w:pStyle w:val="Normal-TableText"/>
            </w:pPr>
            <w:r w:rsidRPr="008571BA">
              <w:t>Symmetric key algorithms</w:t>
            </w:r>
          </w:p>
        </w:tc>
        <w:tc>
          <w:tcPr>
            <w:tcW w:w="994" w:type="pct"/>
          </w:tcPr>
          <w:p w14:paraId="1D453F6B" w14:textId="77777777" w:rsidR="00215226" w:rsidRPr="008571BA" w:rsidRDefault="00215226" w:rsidP="00AD4117">
            <w:pPr>
              <w:pStyle w:val="Normal-TableText"/>
            </w:pPr>
            <w:r w:rsidRPr="008571BA">
              <w:t>FFC (e.g. DSA, D-H)</w:t>
            </w:r>
          </w:p>
        </w:tc>
        <w:tc>
          <w:tcPr>
            <w:tcW w:w="994" w:type="pct"/>
          </w:tcPr>
          <w:p w14:paraId="049EA366" w14:textId="77777777" w:rsidR="00215226" w:rsidRPr="008571BA" w:rsidRDefault="00215226" w:rsidP="00AD4117">
            <w:pPr>
              <w:pStyle w:val="Normal-TableText"/>
            </w:pPr>
            <w:r w:rsidRPr="008571BA">
              <w:t>IFC (e.g. RSA)</w:t>
            </w:r>
          </w:p>
        </w:tc>
        <w:tc>
          <w:tcPr>
            <w:tcW w:w="1000" w:type="pct"/>
          </w:tcPr>
          <w:p w14:paraId="54EF2405" w14:textId="77777777" w:rsidR="00215226" w:rsidRPr="008571BA" w:rsidRDefault="00215226" w:rsidP="00AD4117">
            <w:pPr>
              <w:pStyle w:val="Normal-TableText"/>
            </w:pPr>
            <w:r w:rsidRPr="008571BA">
              <w:t>ECC (e.g. ECDSA)</w:t>
            </w:r>
          </w:p>
        </w:tc>
      </w:tr>
      <w:tr w:rsidR="00215226" w:rsidRPr="008571BA" w14:paraId="6BEBA2B1" w14:textId="77777777" w:rsidTr="00AD4117">
        <w:tc>
          <w:tcPr>
            <w:tcW w:w="1001" w:type="pct"/>
          </w:tcPr>
          <w:p w14:paraId="0E37CB4B" w14:textId="77777777" w:rsidR="00215226" w:rsidRPr="008571BA" w:rsidRDefault="00215226" w:rsidP="00AD4117">
            <w:pPr>
              <w:pStyle w:val="Normal-TableText"/>
            </w:pPr>
            <w:r w:rsidRPr="008571BA">
              <w:t>80</w:t>
            </w:r>
          </w:p>
        </w:tc>
        <w:tc>
          <w:tcPr>
            <w:tcW w:w="1011" w:type="pct"/>
          </w:tcPr>
          <w:p w14:paraId="0D7EA370" w14:textId="77777777" w:rsidR="00215226" w:rsidRPr="008571BA" w:rsidRDefault="00215226" w:rsidP="00AD4117">
            <w:pPr>
              <w:pStyle w:val="Normal-TableText"/>
            </w:pPr>
            <w:r w:rsidRPr="008571BA">
              <w:t>n/a</w:t>
            </w:r>
          </w:p>
        </w:tc>
        <w:tc>
          <w:tcPr>
            <w:tcW w:w="994" w:type="pct"/>
          </w:tcPr>
          <w:p w14:paraId="4E50B316" w14:textId="77777777" w:rsidR="00215226" w:rsidRPr="008571BA" w:rsidRDefault="00215226" w:rsidP="00AD4117">
            <w:pPr>
              <w:pStyle w:val="Normal-TableText"/>
            </w:pPr>
            <w:r w:rsidRPr="008571BA">
              <w:t>L = 1024</w:t>
            </w:r>
          </w:p>
          <w:p w14:paraId="08F34410" w14:textId="77777777" w:rsidR="00215226" w:rsidRPr="008571BA" w:rsidRDefault="00215226" w:rsidP="00AD4117">
            <w:pPr>
              <w:pStyle w:val="Normal-TableText"/>
            </w:pPr>
            <w:r w:rsidRPr="008571BA">
              <w:t>N = 160</w:t>
            </w:r>
          </w:p>
        </w:tc>
        <w:tc>
          <w:tcPr>
            <w:tcW w:w="994" w:type="pct"/>
          </w:tcPr>
          <w:p w14:paraId="7786D0F5" w14:textId="77777777" w:rsidR="00215226" w:rsidRPr="008571BA" w:rsidRDefault="00215226" w:rsidP="00AD4117">
            <w:pPr>
              <w:pStyle w:val="Normal-TableText"/>
            </w:pPr>
            <w:r w:rsidRPr="008571BA">
              <w:t>K = 1024</w:t>
            </w:r>
          </w:p>
        </w:tc>
        <w:tc>
          <w:tcPr>
            <w:tcW w:w="1000" w:type="pct"/>
          </w:tcPr>
          <w:p w14:paraId="0A0B3B39" w14:textId="77777777" w:rsidR="00215226" w:rsidRPr="008571BA" w:rsidRDefault="00215226" w:rsidP="00AD4117">
            <w:pPr>
              <w:pStyle w:val="Normal-TableText"/>
            </w:pPr>
            <w:r w:rsidRPr="008571BA">
              <w:t>F = 160</w:t>
            </w:r>
            <w:r>
              <w:t>–2</w:t>
            </w:r>
            <w:r w:rsidRPr="008571BA">
              <w:t>23</w:t>
            </w:r>
          </w:p>
        </w:tc>
      </w:tr>
      <w:tr w:rsidR="00215226" w:rsidRPr="008571BA" w14:paraId="1170D7EB" w14:textId="77777777" w:rsidTr="00AD4117">
        <w:tc>
          <w:tcPr>
            <w:tcW w:w="1001" w:type="pct"/>
          </w:tcPr>
          <w:p w14:paraId="49CD47DA" w14:textId="77777777" w:rsidR="00215226" w:rsidRPr="008571BA" w:rsidRDefault="00215226" w:rsidP="00AD4117">
            <w:pPr>
              <w:pStyle w:val="Normal-TableText"/>
            </w:pPr>
            <w:r w:rsidRPr="008571BA">
              <w:t>112</w:t>
            </w:r>
          </w:p>
        </w:tc>
        <w:tc>
          <w:tcPr>
            <w:tcW w:w="1011" w:type="pct"/>
          </w:tcPr>
          <w:p w14:paraId="634A513B" w14:textId="77777777" w:rsidR="00215226" w:rsidRPr="008571BA" w:rsidRDefault="00215226" w:rsidP="00AD4117">
            <w:pPr>
              <w:pStyle w:val="Normal-TableText"/>
            </w:pPr>
            <w:r w:rsidRPr="008571BA">
              <w:t>3TDEA</w:t>
            </w:r>
          </w:p>
        </w:tc>
        <w:tc>
          <w:tcPr>
            <w:tcW w:w="994" w:type="pct"/>
          </w:tcPr>
          <w:p w14:paraId="351B38E0" w14:textId="77777777" w:rsidR="00215226" w:rsidRPr="008571BA" w:rsidRDefault="00215226" w:rsidP="00AD4117">
            <w:pPr>
              <w:pStyle w:val="Normal-TableText"/>
            </w:pPr>
            <w:r w:rsidRPr="008571BA">
              <w:t>L = 2048</w:t>
            </w:r>
          </w:p>
          <w:p w14:paraId="7061A730" w14:textId="77777777" w:rsidR="00215226" w:rsidRPr="008571BA" w:rsidRDefault="00215226" w:rsidP="00AD4117">
            <w:pPr>
              <w:pStyle w:val="Normal-TableText"/>
            </w:pPr>
            <w:r w:rsidRPr="008571BA">
              <w:t>N = 224</w:t>
            </w:r>
          </w:p>
        </w:tc>
        <w:tc>
          <w:tcPr>
            <w:tcW w:w="994" w:type="pct"/>
          </w:tcPr>
          <w:p w14:paraId="6D57D705" w14:textId="77777777" w:rsidR="00215226" w:rsidRPr="008571BA" w:rsidRDefault="00215226" w:rsidP="00AD4117">
            <w:pPr>
              <w:pStyle w:val="Normal-TableText"/>
            </w:pPr>
            <w:r w:rsidRPr="008571BA">
              <w:t>K = 2048</w:t>
            </w:r>
          </w:p>
        </w:tc>
        <w:tc>
          <w:tcPr>
            <w:tcW w:w="1000" w:type="pct"/>
          </w:tcPr>
          <w:p w14:paraId="5DE0BAF3" w14:textId="77777777" w:rsidR="00215226" w:rsidRPr="008571BA" w:rsidRDefault="00215226" w:rsidP="00AD4117">
            <w:pPr>
              <w:pStyle w:val="Normal-TableText"/>
            </w:pPr>
            <w:r w:rsidRPr="008571BA">
              <w:t>F = 224</w:t>
            </w:r>
            <w:r>
              <w:t>–2</w:t>
            </w:r>
            <w:r w:rsidRPr="008571BA">
              <w:t>25</w:t>
            </w:r>
          </w:p>
        </w:tc>
      </w:tr>
      <w:tr w:rsidR="00215226" w:rsidRPr="008571BA" w14:paraId="3165653B" w14:textId="77777777" w:rsidTr="00AD4117">
        <w:tc>
          <w:tcPr>
            <w:tcW w:w="1001" w:type="pct"/>
          </w:tcPr>
          <w:p w14:paraId="31180B78" w14:textId="77777777" w:rsidR="00215226" w:rsidRPr="008571BA" w:rsidRDefault="00215226" w:rsidP="00AD4117">
            <w:pPr>
              <w:pStyle w:val="Normal-TableText"/>
            </w:pPr>
            <w:r w:rsidRPr="008571BA">
              <w:t>128</w:t>
            </w:r>
          </w:p>
        </w:tc>
        <w:tc>
          <w:tcPr>
            <w:tcW w:w="1011" w:type="pct"/>
          </w:tcPr>
          <w:p w14:paraId="027CBDCF" w14:textId="77777777" w:rsidR="00215226" w:rsidRPr="008571BA" w:rsidRDefault="00215226" w:rsidP="00AD4117">
            <w:pPr>
              <w:pStyle w:val="Normal-TableText"/>
            </w:pPr>
            <w:r w:rsidRPr="008571BA">
              <w:t>AES</w:t>
            </w:r>
            <w:r>
              <w:t>–1</w:t>
            </w:r>
            <w:r w:rsidRPr="008571BA">
              <w:t>28</w:t>
            </w:r>
          </w:p>
        </w:tc>
        <w:tc>
          <w:tcPr>
            <w:tcW w:w="994" w:type="pct"/>
          </w:tcPr>
          <w:p w14:paraId="068A5F0E" w14:textId="77777777" w:rsidR="00215226" w:rsidRPr="008571BA" w:rsidRDefault="00215226" w:rsidP="00AD4117">
            <w:pPr>
              <w:pStyle w:val="Normal-TableText"/>
            </w:pPr>
            <w:r w:rsidRPr="008571BA">
              <w:t>L = 3072</w:t>
            </w:r>
          </w:p>
          <w:p w14:paraId="056D600D" w14:textId="77777777" w:rsidR="00215226" w:rsidRPr="008571BA" w:rsidRDefault="00215226" w:rsidP="00AD4117">
            <w:pPr>
              <w:pStyle w:val="Normal-TableText"/>
            </w:pPr>
            <w:r w:rsidRPr="008571BA">
              <w:t>N = 256</w:t>
            </w:r>
          </w:p>
        </w:tc>
        <w:tc>
          <w:tcPr>
            <w:tcW w:w="994" w:type="pct"/>
          </w:tcPr>
          <w:p w14:paraId="500A9387" w14:textId="77777777" w:rsidR="00215226" w:rsidRPr="008571BA" w:rsidRDefault="00215226" w:rsidP="00AD4117">
            <w:pPr>
              <w:pStyle w:val="Normal-TableText"/>
            </w:pPr>
            <w:r w:rsidRPr="008571BA">
              <w:t>K = 3072</w:t>
            </w:r>
          </w:p>
        </w:tc>
        <w:tc>
          <w:tcPr>
            <w:tcW w:w="1000" w:type="pct"/>
          </w:tcPr>
          <w:p w14:paraId="40CA7132" w14:textId="77777777" w:rsidR="00215226" w:rsidRPr="008571BA" w:rsidRDefault="00215226" w:rsidP="00AD4117">
            <w:pPr>
              <w:pStyle w:val="Normal-TableText"/>
            </w:pPr>
            <w:r w:rsidRPr="008571BA">
              <w:t>F = 256</w:t>
            </w:r>
            <w:r>
              <w:t>–3</w:t>
            </w:r>
            <w:r w:rsidRPr="008571BA">
              <w:t>83</w:t>
            </w:r>
          </w:p>
        </w:tc>
      </w:tr>
      <w:tr w:rsidR="00215226" w:rsidRPr="008571BA" w14:paraId="3C1BCC42" w14:textId="77777777" w:rsidTr="00AD4117">
        <w:tc>
          <w:tcPr>
            <w:tcW w:w="1001" w:type="pct"/>
          </w:tcPr>
          <w:p w14:paraId="19E948A6" w14:textId="77777777" w:rsidR="00215226" w:rsidRPr="008571BA" w:rsidRDefault="00215226" w:rsidP="00AD4117">
            <w:pPr>
              <w:pStyle w:val="Normal-TableText"/>
            </w:pPr>
            <w:r w:rsidRPr="008571BA">
              <w:t>192</w:t>
            </w:r>
          </w:p>
        </w:tc>
        <w:tc>
          <w:tcPr>
            <w:tcW w:w="1011" w:type="pct"/>
          </w:tcPr>
          <w:p w14:paraId="2594D555" w14:textId="77777777" w:rsidR="00215226" w:rsidRPr="008571BA" w:rsidRDefault="00215226" w:rsidP="00AD4117">
            <w:pPr>
              <w:pStyle w:val="Normal-TableText"/>
            </w:pPr>
            <w:r w:rsidRPr="008571BA">
              <w:t>AES</w:t>
            </w:r>
            <w:r>
              <w:t>–1</w:t>
            </w:r>
            <w:r w:rsidRPr="008571BA">
              <w:t>92</w:t>
            </w:r>
          </w:p>
        </w:tc>
        <w:tc>
          <w:tcPr>
            <w:tcW w:w="994" w:type="pct"/>
          </w:tcPr>
          <w:p w14:paraId="59C8ED3A" w14:textId="77777777" w:rsidR="00215226" w:rsidRPr="008571BA" w:rsidRDefault="00215226" w:rsidP="00AD4117">
            <w:pPr>
              <w:pStyle w:val="Normal-TableText"/>
            </w:pPr>
            <w:r w:rsidRPr="008571BA">
              <w:t>L = 7680</w:t>
            </w:r>
          </w:p>
          <w:p w14:paraId="0C41B1A0" w14:textId="77777777" w:rsidR="00215226" w:rsidRPr="008571BA" w:rsidRDefault="00215226" w:rsidP="00AD4117">
            <w:pPr>
              <w:pStyle w:val="Normal-TableText"/>
            </w:pPr>
            <w:r w:rsidRPr="008571BA">
              <w:t>N = 384</w:t>
            </w:r>
          </w:p>
        </w:tc>
        <w:tc>
          <w:tcPr>
            <w:tcW w:w="994" w:type="pct"/>
          </w:tcPr>
          <w:p w14:paraId="4F47FBA6" w14:textId="77777777" w:rsidR="00215226" w:rsidRPr="008571BA" w:rsidRDefault="00215226" w:rsidP="00AD4117">
            <w:pPr>
              <w:pStyle w:val="Normal-TableText"/>
            </w:pPr>
            <w:r w:rsidRPr="008571BA">
              <w:t>K = 7680</w:t>
            </w:r>
          </w:p>
        </w:tc>
        <w:tc>
          <w:tcPr>
            <w:tcW w:w="1000" w:type="pct"/>
          </w:tcPr>
          <w:p w14:paraId="178DF5CF" w14:textId="77777777" w:rsidR="00215226" w:rsidRPr="008571BA" w:rsidRDefault="00215226" w:rsidP="00AD4117">
            <w:pPr>
              <w:pStyle w:val="Normal-TableText"/>
            </w:pPr>
            <w:r w:rsidRPr="008571BA">
              <w:t>F = 384</w:t>
            </w:r>
            <w:r>
              <w:t>–5</w:t>
            </w:r>
            <w:r w:rsidRPr="008571BA">
              <w:t>11</w:t>
            </w:r>
          </w:p>
        </w:tc>
      </w:tr>
      <w:tr w:rsidR="00215226" w:rsidRPr="008571BA" w14:paraId="1CA46CDA" w14:textId="77777777" w:rsidTr="00AD4117">
        <w:tc>
          <w:tcPr>
            <w:tcW w:w="1001" w:type="pct"/>
          </w:tcPr>
          <w:p w14:paraId="1177D373" w14:textId="77777777" w:rsidR="00215226" w:rsidRPr="008571BA" w:rsidRDefault="00215226" w:rsidP="00AD4117">
            <w:pPr>
              <w:pStyle w:val="Normal-TableText"/>
            </w:pPr>
            <w:r w:rsidRPr="008571BA">
              <w:t>256</w:t>
            </w:r>
          </w:p>
        </w:tc>
        <w:tc>
          <w:tcPr>
            <w:tcW w:w="1011" w:type="pct"/>
          </w:tcPr>
          <w:p w14:paraId="3CF7A397" w14:textId="77777777" w:rsidR="00215226" w:rsidRPr="008571BA" w:rsidRDefault="00215226" w:rsidP="00AD4117">
            <w:pPr>
              <w:pStyle w:val="Normal-TableText"/>
            </w:pPr>
            <w:r w:rsidRPr="008571BA">
              <w:t>AES</w:t>
            </w:r>
            <w:r>
              <w:t>–2</w:t>
            </w:r>
            <w:r w:rsidRPr="008571BA">
              <w:t>56</w:t>
            </w:r>
          </w:p>
        </w:tc>
        <w:tc>
          <w:tcPr>
            <w:tcW w:w="994" w:type="pct"/>
          </w:tcPr>
          <w:p w14:paraId="034BB645" w14:textId="77777777" w:rsidR="00215226" w:rsidRPr="008571BA" w:rsidRDefault="00215226" w:rsidP="00AD4117">
            <w:pPr>
              <w:pStyle w:val="Normal-TableText"/>
            </w:pPr>
            <w:r w:rsidRPr="008571BA">
              <w:t>L = 15360</w:t>
            </w:r>
          </w:p>
          <w:p w14:paraId="0A9C2373" w14:textId="77777777" w:rsidR="00215226" w:rsidRPr="008571BA" w:rsidRDefault="00215226" w:rsidP="00AD4117">
            <w:pPr>
              <w:pStyle w:val="Normal-TableText"/>
            </w:pPr>
            <w:r w:rsidRPr="008571BA">
              <w:t>N = 512</w:t>
            </w:r>
          </w:p>
        </w:tc>
        <w:tc>
          <w:tcPr>
            <w:tcW w:w="994" w:type="pct"/>
          </w:tcPr>
          <w:p w14:paraId="2308B6F7" w14:textId="77777777" w:rsidR="00215226" w:rsidRPr="008571BA" w:rsidRDefault="00215226" w:rsidP="00AD4117">
            <w:pPr>
              <w:pStyle w:val="Normal-TableText"/>
            </w:pPr>
            <w:r w:rsidRPr="008571BA">
              <w:t>K = 15360</w:t>
            </w:r>
          </w:p>
        </w:tc>
        <w:tc>
          <w:tcPr>
            <w:tcW w:w="1000" w:type="pct"/>
          </w:tcPr>
          <w:p w14:paraId="205FF771" w14:textId="77777777" w:rsidR="00215226" w:rsidRPr="008571BA" w:rsidRDefault="00215226" w:rsidP="00AD4117">
            <w:pPr>
              <w:pStyle w:val="Normal-TableText"/>
            </w:pPr>
            <w:r w:rsidRPr="008571BA">
              <w:t>F = 512+</w:t>
            </w:r>
          </w:p>
        </w:tc>
      </w:tr>
    </w:tbl>
    <w:p w14:paraId="6AF0AB44" w14:textId="77777777" w:rsidR="00215226" w:rsidRPr="008571BA" w:rsidRDefault="00215226" w:rsidP="00AD4117">
      <w:r w:rsidRPr="008571BA">
        <w:t>The table below</w:t>
      </w:r>
      <w:r w:rsidRPr="00E64190">
        <w:rPr>
          <w:rStyle w:val="FootnoteReference"/>
        </w:rPr>
        <w:footnoteReference w:id="27"/>
      </w:r>
      <w:r w:rsidRPr="008571BA">
        <w:t xml:space="preserve"> provides comparable security strengths for hashing functions, which, when used provide indicated security strength for the generation of digital signatures and hash message authentication code values, for deriving keys using key-derive functions and for random number generation.</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822"/>
        <w:gridCol w:w="1823"/>
        <w:gridCol w:w="1807"/>
        <w:gridCol w:w="1805"/>
        <w:gridCol w:w="1803"/>
      </w:tblGrid>
      <w:tr w:rsidR="00215226" w:rsidRPr="008571BA" w14:paraId="081E90F1" w14:textId="77777777" w:rsidTr="00AD4117">
        <w:trPr>
          <w:cnfStyle w:val="100000000000" w:firstRow="1" w:lastRow="0" w:firstColumn="0" w:lastColumn="0" w:oddVBand="0" w:evenVBand="0" w:oddHBand="0" w:evenHBand="0" w:firstRowFirstColumn="0" w:firstRowLastColumn="0" w:lastRowFirstColumn="0" w:lastRowLastColumn="0"/>
          <w:tblHeader/>
        </w:trPr>
        <w:tc>
          <w:tcPr>
            <w:tcW w:w="1006" w:type="pct"/>
          </w:tcPr>
          <w:p w14:paraId="2DE73D83" w14:textId="77777777" w:rsidR="00215226" w:rsidRPr="008571BA" w:rsidRDefault="00215226" w:rsidP="00AD4117">
            <w:pPr>
              <w:pStyle w:val="Normal-TableText"/>
            </w:pPr>
            <w:r w:rsidRPr="008571BA">
              <w:t>Bits of entropy</w:t>
            </w:r>
          </w:p>
        </w:tc>
        <w:tc>
          <w:tcPr>
            <w:tcW w:w="1006" w:type="pct"/>
          </w:tcPr>
          <w:p w14:paraId="1B2F98BE" w14:textId="77777777" w:rsidR="00215226" w:rsidRPr="008571BA" w:rsidRDefault="00215226" w:rsidP="00AD4117">
            <w:pPr>
              <w:pStyle w:val="Normal-TableText"/>
            </w:pPr>
            <w:r w:rsidRPr="008571BA">
              <w:t>Digital signature and hash algorithms</w:t>
            </w:r>
          </w:p>
        </w:tc>
        <w:tc>
          <w:tcPr>
            <w:tcW w:w="997" w:type="pct"/>
          </w:tcPr>
          <w:p w14:paraId="0C0375D0" w14:textId="77777777" w:rsidR="00215226" w:rsidRPr="008571BA" w:rsidRDefault="00215226" w:rsidP="00AD4117">
            <w:pPr>
              <w:pStyle w:val="Normal-TableText"/>
            </w:pPr>
            <w:r w:rsidRPr="008571BA">
              <w:t>HMAC</w:t>
            </w:r>
          </w:p>
        </w:tc>
        <w:tc>
          <w:tcPr>
            <w:tcW w:w="996" w:type="pct"/>
          </w:tcPr>
          <w:p w14:paraId="7BCB564B" w14:textId="77777777" w:rsidR="00215226" w:rsidRPr="008571BA" w:rsidRDefault="00215226" w:rsidP="00AD4117">
            <w:pPr>
              <w:pStyle w:val="Normal-TableText"/>
            </w:pPr>
            <w:r w:rsidRPr="008571BA">
              <w:t>Key Derivation Functions</w:t>
            </w:r>
            <w:r w:rsidRPr="00E64190">
              <w:rPr>
                <w:rStyle w:val="FootnoteReference"/>
              </w:rPr>
              <w:footnoteReference w:id="28"/>
            </w:r>
          </w:p>
        </w:tc>
        <w:tc>
          <w:tcPr>
            <w:tcW w:w="996" w:type="pct"/>
          </w:tcPr>
          <w:p w14:paraId="42BA821E" w14:textId="77777777" w:rsidR="00215226" w:rsidRPr="008571BA" w:rsidRDefault="00215226" w:rsidP="00AD4117">
            <w:pPr>
              <w:pStyle w:val="Normal-TableText"/>
            </w:pPr>
            <w:r w:rsidRPr="008571BA">
              <w:t>Random Number Generation</w:t>
            </w:r>
            <w:r w:rsidRPr="00E64190">
              <w:rPr>
                <w:rStyle w:val="FootnoteReference"/>
              </w:rPr>
              <w:footnoteReference w:id="29"/>
            </w:r>
          </w:p>
        </w:tc>
      </w:tr>
      <w:tr w:rsidR="00215226" w:rsidRPr="008571BA" w14:paraId="1C47E900" w14:textId="77777777" w:rsidTr="00AD4117">
        <w:tc>
          <w:tcPr>
            <w:tcW w:w="1006" w:type="pct"/>
          </w:tcPr>
          <w:p w14:paraId="17AB3170" w14:textId="77777777" w:rsidR="00215226" w:rsidRPr="008571BA" w:rsidRDefault="00215226" w:rsidP="00AD4117">
            <w:pPr>
              <w:pStyle w:val="Normal-TableText"/>
            </w:pPr>
            <w:r w:rsidRPr="008571BA">
              <w:t>80</w:t>
            </w:r>
          </w:p>
        </w:tc>
        <w:tc>
          <w:tcPr>
            <w:tcW w:w="1006" w:type="pct"/>
          </w:tcPr>
          <w:p w14:paraId="1D945EE5" w14:textId="77777777" w:rsidR="00215226" w:rsidRPr="008571BA" w:rsidRDefault="00215226" w:rsidP="00AD4117">
            <w:pPr>
              <w:pStyle w:val="Normal-TableText"/>
            </w:pPr>
            <w:r w:rsidRPr="008571BA">
              <w:t>SHA</w:t>
            </w:r>
            <w:r>
              <w:t>–1</w:t>
            </w:r>
            <w:r w:rsidRPr="00E64190">
              <w:rPr>
                <w:rStyle w:val="FootnoteReference"/>
              </w:rPr>
              <w:footnoteReference w:id="30"/>
            </w:r>
          </w:p>
        </w:tc>
        <w:tc>
          <w:tcPr>
            <w:tcW w:w="997" w:type="pct"/>
          </w:tcPr>
          <w:p w14:paraId="60093C6C" w14:textId="77777777" w:rsidR="00215226" w:rsidRPr="008571BA" w:rsidRDefault="00215226" w:rsidP="00AD4117">
            <w:pPr>
              <w:pStyle w:val="Normal-TableText"/>
            </w:pPr>
            <w:r w:rsidRPr="008571BA">
              <w:t>SHA</w:t>
            </w:r>
            <w:r>
              <w:t>–1</w:t>
            </w:r>
          </w:p>
        </w:tc>
        <w:tc>
          <w:tcPr>
            <w:tcW w:w="996" w:type="pct"/>
          </w:tcPr>
          <w:p w14:paraId="5D5FF524" w14:textId="77777777" w:rsidR="00215226" w:rsidRPr="008571BA" w:rsidRDefault="00215226" w:rsidP="00AD4117">
            <w:pPr>
              <w:pStyle w:val="Normal-TableText"/>
            </w:pPr>
            <w:r w:rsidRPr="008571BA">
              <w:t>SHA</w:t>
            </w:r>
            <w:r>
              <w:t>–1</w:t>
            </w:r>
          </w:p>
        </w:tc>
        <w:tc>
          <w:tcPr>
            <w:tcW w:w="996" w:type="pct"/>
          </w:tcPr>
          <w:p w14:paraId="454C5439" w14:textId="77777777" w:rsidR="00215226" w:rsidRPr="008571BA" w:rsidRDefault="00215226" w:rsidP="00AD4117">
            <w:pPr>
              <w:pStyle w:val="Normal-TableText"/>
            </w:pPr>
            <w:r w:rsidRPr="008571BA">
              <w:t>SHA</w:t>
            </w:r>
            <w:r>
              <w:t>–1</w:t>
            </w:r>
          </w:p>
        </w:tc>
      </w:tr>
      <w:tr w:rsidR="00215226" w:rsidRPr="008571BA" w14:paraId="7B8FD29F" w14:textId="77777777" w:rsidTr="00AD4117">
        <w:tc>
          <w:tcPr>
            <w:tcW w:w="1006" w:type="pct"/>
          </w:tcPr>
          <w:p w14:paraId="0DC253C2" w14:textId="77777777" w:rsidR="00215226" w:rsidRPr="008571BA" w:rsidRDefault="00215226" w:rsidP="00AD4117">
            <w:pPr>
              <w:pStyle w:val="Normal-TableText"/>
            </w:pPr>
            <w:r w:rsidRPr="008571BA">
              <w:t>112</w:t>
            </w:r>
          </w:p>
        </w:tc>
        <w:tc>
          <w:tcPr>
            <w:tcW w:w="1006" w:type="pct"/>
          </w:tcPr>
          <w:p w14:paraId="7313FA23" w14:textId="77777777" w:rsidR="00215226" w:rsidRPr="008571BA" w:rsidRDefault="00215226" w:rsidP="00AD4117">
            <w:pPr>
              <w:pStyle w:val="Normal-TableText"/>
            </w:pPr>
            <w:r w:rsidRPr="008571BA">
              <w:t>SHA</w:t>
            </w:r>
            <w:r>
              <w:t>–2</w:t>
            </w:r>
            <w:r w:rsidRPr="008571BA">
              <w:t>24</w:t>
            </w:r>
          </w:p>
        </w:tc>
        <w:tc>
          <w:tcPr>
            <w:tcW w:w="997" w:type="pct"/>
          </w:tcPr>
          <w:p w14:paraId="6070078D" w14:textId="77777777" w:rsidR="00215226" w:rsidRPr="008571BA" w:rsidRDefault="00215226" w:rsidP="00AD4117">
            <w:pPr>
              <w:pStyle w:val="Normal-TableText"/>
            </w:pPr>
            <w:r w:rsidRPr="008571BA">
              <w:t>SHA</w:t>
            </w:r>
            <w:r>
              <w:t>–2</w:t>
            </w:r>
            <w:r w:rsidRPr="008571BA">
              <w:t>24</w:t>
            </w:r>
          </w:p>
        </w:tc>
        <w:tc>
          <w:tcPr>
            <w:tcW w:w="996" w:type="pct"/>
          </w:tcPr>
          <w:p w14:paraId="44DE895C" w14:textId="77777777" w:rsidR="00215226" w:rsidRPr="008571BA" w:rsidRDefault="00215226" w:rsidP="00AD4117">
            <w:pPr>
              <w:pStyle w:val="Normal-TableText"/>
            </w:pPr>
            <w:r w:rsidRPr="008571BA">
              <w:t>SHA</w:t>
            </w:r>
            <w:r>
              <w:t>–2</w:t>
            </w:r>
            <w:r w:rsidRPr="008571BA">
              <w:t>24</w:t>
            </w:r>
          </w:p>
        </w:tc>
        <w:tc>
          <w:tcPr>
            <w:tcW w:w="996" w:type="pct"/>
          </w:tcPr>
          <w:p w14:paraId="28485FCC" w14:textId="77777777" w:rsidR="00215226" w:rsidRPr="008571BA" w:rsidRDefault="00215226" w:rsidP="00AD4117">
            <w:pPr>
              <w:pStyle w:val="Normal-TableText"/>
            </w:pPr>
            <w:r w:rsidRPr="008571BA">
              <w:t>SHA</w:t>
            </w:r>
            <w:r>
              <w:t>–2</w:t>
            </w:r>
            <w:r w:rsidRPr="008571BA">
              <w:t>24</w:t>
            </w:r>
          </w:p>
        </w:tc>
      </w:tr>
      <w:tr w:rsidR="00215226" w:rsidRPr="008571BA" w14:paraId="3AA21398" w14:textId="77777777" w:rsidTr="00AD4117">
        <w:tc>
          <w:tcPr>
            <w:tcW w:w="1006" w:type="pct"/>
          </w:tcPr>
          <w:p w14:paraId="579022D5" w14:textId="77777777" w:rsidR="00215226" w:rsidRPr="008571BA" w:rsidRDefault="00215226" w:rsidP="00AD4117">
            <w:pPr>
              <w:pStyle w:val="Normal-TableText"/>
            </w:pPr>
            <w:r w:rsidRPr="008571BA">
              <w:t>128</w:t>
            </w:r>
          </w:p>
        </w:tc>
        <w:tc>
          <w:tcPr>
            <w:tcW w:w="1006" w:type="pct"/>
          </w:tcPr>
          <w:p w14:paraId="4F9535FF" w14:textId="77777777" w:rsidR="00215226" w:rsidRPr="008571BA" w:rsidRDefault="00215226" w:rsidP="00AD4117">
            <w:pPr>
              <w:pStyle w:val="Normal-TableText"/>
            </w:pPr>
            <w:r w:rsidRPr="008571BA">
              <w:t>SHA</w:t>
            </w:r>
            <w:r>
              <w:t>–2</w:t>
            </w:r>
            <w:r w:rsidRPr="008571BA">
              <w:t>56</w:t>
            </w:r>
          </w:p>
        </w:tc>
        <w:tc>
          <w:tcPr>
            <w:tcW w:w="997" w:type="pct"/>
          </w:tcPr>
          <w:p w14:paraId="2A4551B4" w14:textId="77777777" w:rsidR="00215226" w:rsidRPr="008571BA" w:rsidRDefault="00215226" w:rsidP="00AD4117">
            <w:pPr>
              <w:pStyle w:val="Normal-TableText"/>
            </w:pPr>
            <w:r w:rsidRPr="008571BA">
              <w:t>SHA</w:t>
            </w:r>
            <w:r>
              <w:t>–2</w:t>
            </w:r>
            <w:r w:rsidRPr="008571BA">
              <w:t>56</w:t>
            </w:r>
          </w:p>
        </w:tc>
        <w:tc>
          <w:tcPr>
            <w:tcW w:w="996" w:type="pct"/>
          </w:tcPr>
          <w:p w14:paraId="405C269B" w14:textId="77777777" w:rsidR="00215226" w:rsidRPr="008571BA" w:rsidRDefault="00215226" w:rsidP="00AD4117">
            <w:pPr>
              <w:pStyle w:val="Normal-TableText"/>
            </w:pPr>
            <w:r w:rsidRPr="008571BA">
              <w:t>SHA</w:t>
            </w:r>
            <w:r>
              <w:t>–2</w:t>
            </w:r>
            <w:r w:rsidRPr="008571BA">
              <w:t>56</w:t>
            </w:r>
          </w:p>
        </w:tc>
        <w:tc>
          <w:tcPr>
            <w:tcW w:w="996" w:type="pct"/>
          </w:tcPr>
          <w:p w14:paraId="2A41D556" w14:textId="77777777" w:rsidR="00215226" w:rsidRPr="008571BA" w:rsidRDefault="00215226" w:rsidP="00AD4117">
            <w:pPr>
              <w:pStyle w:val="Normal-TableText"/>
            </w:pPr>
            <w:r w:rsidRPr="008571BA">
              <w:t>SHA</w:t>
            </w:r>
            <w:r>
              <w:t>–2</w:t>
            </w:r>
            <w:r w:rsidRPr="008571BA">
              <w:t>56</w:t>
            </w:r>
          </w:p>
        </w:tc>
      </w:tr>
      <w:tr w:rsidR="00215226" w:rsidRPr="008571BA" w14:paraId="2EF542E0" w14:textId="77777777" w:rsidTr="00AD4117">
        <w:tc>
          <w:tcPr>
            <w:tcW w:w="1006" w:type="pct"/>
          </w:tcPr>
          <w:p w14:paraId="76D66F67" w14:textId="77777777" w:rsidR="00215226" w:rsidRPr="008571BA" w:rsidRDefault="00215226" w:rsidP="00AD4117">
            <w:pPr>
              <w:pStyle w:val="Normal-TableText"/>
            </w:pPr>
            <w:r w:rsidRPr="008571BA">
              <w:t>192</w:t>
            </w:r>
          </w:p>
        </w:tc>
        <w:tc>
          <w:tcPr>
            <w:tcW w:w="1006" w:type="pct"/>
          </w:tcPr>
          <w:p w14:paraId="1B7CC3AC" w14:textId="77777777" w:rsidR="00215226" w:rsidRPr="008571BA" w:rsidRDefault="00215226" w:rsidP="00AD4117">
            <w:pPr>
              <w:pStyle w:val="Normal-TableText"/>
            </w:pPr>
            <w:r w:rsidRPr="008571BA">
              <w:t>SHA</w:t>
            </w:r>
            <w:r>
              <w:t>–3</w:t>
            </w:r>
            <w:r w:rsidRPr="008571BA">
              <w:t>84</w:t>
            </w:r>
          </w:p>
        </w:tc>
        <w:tc>
          <w:tcPr>
            <w:tcW w:w="997" w:type="pct"/>
          </w:tcPr>
          <w:p w14:paraId="1C6B5DB3" w14:textId="77777777" w:rsidR="00215226" w:rsidRPr="008571BA" w:rsidRDefault="00215226" w:rsidP="00AD4117">
            <w:pPr>
              <w:pStyle w:val="Normal-TableText"/>
            </w:pPr>
            <w:r w:rsidRPr="008571BA">
              <w:t>SHA</w:t>
            </w:r>
            <w:r>
              <w:t>–3</w:t>
            </w:r>
            <w:r w:rsidRPr="008571BA">
              <w:t>84</w:t>
            </w:r>
          </w:p>
        </w:tc>
        <w:tc>
          <w:tcPr>
            <w:tcW w:w="996" w:type="pct"/>
          </w:tcPr>
          <w:p w14:paraId="5DF6690D" w14:textId="77777777" w:rsidR="00215226" w:rsidRPr="008571BA" w:rsidRDefault="00215226" w:rsidP="00AD4117">
            <w:pPr>
              <w:pStyle w:val="Normal-TableText"/>
            </w:pPr>
            <w:r w:rsidRPr="008571BA">
              <w:t>SHA</w:t>
            </w:r>
            <w:r>
              <w:t>–3</w:t>
            </w:r>
            <w:r w:rsidRPr="008571BA">
              <w:t>84</w:t>
            </w:r>
          </w:p>
        </w:tc>
        <w:tc>
          <w:tcPr>
            <w:tcW w:w="996" w:type="pct"/>
          </w:tcPr>
          <w:p w14:paraId="51290D6F" w14:textId="77777777" w:rsidR="00215226" w:rsidRPr="008571BA" w:rsidRDefault="00215226" w:rsidP="00AD4117">
            <w:pPr>
              <w:pStyle w:val="Normal-TableText"/>
            </w:pPr>
            <w:r w:rsidRPr="008571BA">
              <w:t>SHA</w:t>
            </w:r>
            <w:r>
              <w:t>–3</w:t>
            </w:r>
            <w:r w:rsidRPr="008571BA">
              <w:t>84</w:t>
            </w:r>
          </w:p>
        </w:tc>
      </w:tr>
      <w:tr w:rsidR="00215226" w:rsidRPr="008571BA" w14:paraId="0FA4755B" w14:textId="77777777" w:rsidTr="00AD4117">
        <w:tc>
          <w:tcPr>
            <w:tcW w:w="1006" w:type="pct"/>
          </w:tcPr>
          <w:p w14:paraId="12136644" w14:textId="77777777" w:rsidR="00215226" w:rsidRPr="008571BA" w:rsidRDefault="00215226" w:rsidP="00AD4117">
            <w:pPr>
              <w:pStyle w:val="Normal-TableText"/>
            </w:pPr>
            <w:r w:rsidRPr="008571BA">
              <w:t>256</w:t>
            </w:r>
          </w:p>
        </w:tc>
        <w:tc>
          <w:tcPr>
            <w:tcW w:w="1006" w:type="pct"/>
          </w:tcPr>
          <w:p w14:paraId="0D46FED8" w14:textId="77777777" w:rsidR="00215226" w:rsidRPr="008571BA" w:rsidRDefault="00215226" w:rsidP="00AD4117">
            <w:pPr>
              <w:pStyle w:val="Normal-TableText"/>
            </w:pPr>
            <w:r w:rsidRPr="008571BA">
              <w:t>SHA</w:t>
            </w:r>
            <w:r>
              <w:t>–5</w:t>
            </w:r>
            <w:r w:rsidRPr="008571BA">
              <w:t>12</w:t>
            </w:r>
          </w:p>
        </w:tc>
        <w:tc>
          <w:tcPr>
            <w:tcW w:w="997" w:type="pct"/>
          </w:tcPr>
          <w:p w14:paraId="77AB6A86" w14:textId="77777777" w:rsidR="00215226" w:rsidRPr="008571BA" w:rsidRDefault="00215226" w:rsidP="00AD4117">
            <w:pPr>
              <w:pStyle w:val="Normal-TableText"/>
            </w:pPr>
            <w:r w:rsidRPr="008571BA">
              <w:t>SHA</w:t>
            </w:r>
            <w:r>
              <w:t>–5</w:t>
            </w:r>
            <w:r w:rsidRPr="008571BA">
              <w:t>12</w:t>
            </w:r>
          </w:p>
        </w:tc>
        <w:tc>
          <w:tcPr>
            <w:tcW w:w="996" w:type="pct"/>
          </w:tcPr>
          <w:p w14:paraId="06229084" w14:textId="77777777" w:rsidR="00215226" w:rsidRPr="008571BA" w:rsidRDefault="00215226" w:rsidP="00AD4117">
            <w:pPr>
              <w:pStyle w:val="Normal-TableText"/>
            </w:pPr>
            <w:r w:rsidRPr="008571BA">
              <w:t>SHA</w:t>
            </w:r>
            <w:r>
              <w:t>–5</w:t>
            </w:r>
            <w:r w:rsidRPr="008571BA">
              <w:t>12</w:t>
            </w:r>
          </w:p>
        </w:tc>
        <w:tc>
          <w:tcPr>
            <w:tcW w:w="996" w:type="pct"/>
          </w:tcPr>
          <w:p w14:paraId="770ED8EA" w14:textId="77777777" w:rsidR="00215226" w:rsidRPr="008571BA" w:rsidRDefault="00215226" w:rsidP="00AD4117">
            <w:pPr>
              <w:pStyle w:val="Normal-TableText"/>
            </w:pPr>
            <w:r w:rsidRPr="008571BA">
              <w:t>SHA</w:t>
            </w:r>
            <w:r>
              <w:t>–5</w:t>
            </w:r>
            <w:r w:rsidRPr="008571BA">
              <w:t>12</w:t>
            </w:r>
          </w:p>
        </w:tc>
      </w:tr>
    </w:tbl>
    <w:p w14:paraId="3336F0B6" w14:textId="77777777" w:rsidR="00215226" w:rsidRDefault="00215226" w:rsidP="00AD4117">
      <w:pPr>
        <w:pStyle w:val="Heading2"/>
      </w:pPr>
      <w:bookmarkStart w:id="358" w:name="_Toc430268960"/>
      <w:r w:rsidRPr="008571BA">
        <w:lastRenderedPageBreak/>
        <w:t>Defining appropriate algorithm suites for accredited Service Providers</w:t>
      </w:r>
      <w:bookmarkEnd w:id="358"/>
    </w:p>
    <w:p w14:paraId="5DBD48FD" w14:textId="77777777" w:rsidR="00215226" w:rsidRDefault="00215226" w:rsidP="00AD4117">
      <w:r w:rsidRPr="008571BA">
        <w:t>Many applications require the use of several different cryptographic algorithms.</w:t>
      </w:r>
      <w:r>
        <w:t xml:space="preserve"> </w:t>
      </w:r>
      <w:r w:rsidRPr="008571BA">
        <w:t>When several algorithms are used to perform the same service, some algorithms are inherently more efficient because of their design (e.g. AES has been designed to be more efficient that 3DEA).</w:t>
      </w:r>
    </w:p>
    <w:p w14:paraId="41A5E7B4" w14:textId="77777777" w:rsidR="00215226" w:rsidRDefault="00215226" w:rsidP="00AD4117">
      <w:r w:rsidRPr="008571BA">
        <w:t>In many cases, a variety of key sizes may be available for an algorithm.</w:t>
      </w:r>
      <w:r>
        <w:t xml:space="preserve"> </w:t>
      </w:r>
      <w:r w:rsidRPr="008571BA">
        <w:t>For some of the algorithms (e.g. public key algorithms such as RSA), the use of larger key sizes than are required may have an adverse impact on operations.</w:t>
      </w:r>
      <w:r>
        <w:t xml:space="preserve"> </w:t>
      </w:r>
      <w:r w:rsidRPr="008571BA">
        <w:t>For example, larger RSA key sizes may take longer to generate or longer to process information.</w:t>
      </w:r>
      <w:r>
        <w:t xml:space="preserve"> </w:t>
      </w:r>
      <w:r w:rsidRPr="008571BA">
        <w:t>However, the use of key sizes that are too small may not provide adequate security.</w:t>
      </w:r>
    </w:p>
    <w:p w14:paraId="14B6BD69" w14:textId="77777777" w:rsidR="00215226" w:rsidRDefault="00215226" w:rsidP="00AD4117">
      <w:r w:rsidRPr="008571BA">
        <w:t>The table below</w:t>
      </w:r>
      <w:r w:rsidRPr="00E64190">
        <w:rPr>
          <w:rStyle w:val="FootnoteReference"/>
        </w:rPr>
        <w:footnoteReference w:id="31"/>
      </w:r>
      <w:r w:rsidRPr="008571BA">
        <w:t xml:space="preserve"> provides guidance for Service Providers that may be used to select an appropriate suite of algorithms and key sizes for use with digital certificates. The aim of the table is to provide Service Providers with ‘indicative guidance’ on cryptographic entropy (or security strength) requirements in the coming years.</w:t>
      </w:r>
    </w:p>
    <w:p w14:paraId="418D1087" w14:textId="77777777" w:rsidR="00215226" w:rsidRDefault="00215226" w:rsidP="00AD4117">
      <w:r w:rsidRPr="008571BA">
        <w:t>This guidance is intended to enable Service Providers to better prepare for, and align with algorithms and/or key sizes recommended by the international cryptographic community which are subsequently mandated in the ISM as AACAs. The table is organised as follows:</w:t>
      </w:r>
    </w:p>
    <w:p w14:paraId="5BBFEB66" w14:textId="77777777" w:rsidR="00215226" w:rsidRDefault="00215226" w:rsidP="00AD4117">
      <w:pPr>
        <w:pStyle w:val="Bullet1"/>
      </w:pPr>
      <w:r w:rsidRPr="008571BA">
        <w:t>Column 1 is divided into two sub-columns.</w:t>
      </w:r>
      <w:r>
        <w:t xml:space="preserve"> </w:t>
      </w:r>
      <w:r w:rsidRPr="008571BA">
        <w:t>The first sub-column indicates the security strength to be provided.</w:t>
      </w:r>
      <w:r>
        <w:t xml:space="preserve"> </w:t>
      </w:r>
      <w:r w:rsidRPr="008571BA">
        <w:t>The second sub-column indicates whether cryptographic protection is being applied to data (e.g. digital signing or encryption) or whether cryptographically protected data is being processed (e.g. signature verification or decryption).</w:t>
      </w:r>
    </w:p>
    <w:p w14:paraId="6CB69885" w14:textId="77777777" w:rsidR="00215226" w:rsidRDefault="00215226" w:rsidP="00AD4117">
      <w:pPr>
        <w:pStyle w:val="Bullet1"/>
      </w:pPr>
      <w:r w:rsidRPr="008571BA">
        <w:t>Column 2</w:t>
      </w:r>
      <w:r>
        <w:t>–5</w:t>
      </w:r>
      <w:r w:rsidRPr="008571BA">
        <w:t xml:space="preserve"> indicate time frames during which the security strength is acceptable, deprecated, OK</w:t>
      </w:r>
      <w:r w:rsidR="004628D5">
        <w:t> </w:t>
      </w:r>
      <w:r w:rsidRPr="008571BA">
        <w:t>for legacy use or deprecated.</w:t>
      </w:r>
    </w:p>
    <w:p w14:paraId="340618CF" w14:textId="77777777" w:rsidR="00215226" w:rsidRPr="008571BA" w:rsidRDefault="00215226" w:rsidP="00AD4117">
      <w:pPr>
        <w:pStyle w:val="Bullet2"/>
      </w:pPr>
      <w:r w:rsidRPr="008571BA">
        <w:t>‘Acceptable’ indicates that the algorithm or key length is not known to be insecure.</w:t>
      </w:r>
    </w:p>
    <w:p w14:paraId="68F285A7" w14:textId="77777777" w:rsidR="00215226" w:rsidRPr="008571BA" w:rsidRDefault="00215226" w:rsidP="00AD4117">
      <w:pPr>
        <w:pStyle w:val="Bullet2"/>
      </w:pPr>
      <w:r w:rsidRPr="008571BA">
        <w:t>‘Deprecated’ means that the use of an algorithm or key length that provides the indicated security strength may be used if its use has been considered as part of a risk management activity and the residual risk is acceptable to the Service Provider, Subscribers and/or Relying Parties.</w:t>
      </w:r>
    </w:p>
    <w:p w14:paraId="3AFE4A4F" w14:textId="77777777" w:rsidR="00215226" w:rsidRPr="008571BA" w:rsidRDefault="00215226" w:rsidP="00AD4117">
      <w:pPr>
        <w:pStyle w:val="Bullet2"/>
      </w:pPr>
      <w:r w:rsidRPr="008571BA">
        <w:t>‘Legacy-use’ means that an algorithm or key length may be used because of its use in legacy applications; however its continued use should be considered as part of a risk management activity.</w:t>
      </w:r>
    </w:p>
    <w:p w14:paraId="48758F17" w14:textId="77777777" w:rsidR="00215226" w:rsidRPr="008571BA" w:rsidRDefault="00215226" w:rsidP="00AD4117">
      <w:pPr>
        <w:pStyle w:val="Bullet2"/>
      </w:pPr>
      <w:r w:rsidRPr="008571BA">
        <w:t xml:space="preserve">‘Disallowed’ means that an algorithm or key length is not a recommended AACA and </w:t>
      </w:r>
      <w:r w:rsidRPr="00E64190">
        <w:rPr>
          <w:rStyle w:val="Strong"/>
        </w:rPr>
        <w:t>MUST NOT</w:t>
      </w:r>
      <w:r w:rsidRPr="008571BA">
        <w:t xml:space="preserve"> be used for applying cryptographic protection.</w:t>
      </w:r>
    </w:p>
    <w:tbl>
      <w:tblPr>
        <w:tblStyle w:val="DTOTable1"/>
        <w:tblW w:w="5000" w:type="pct"/>
        <w:tblLook w:val="04A0" w:firstRow="1" w:lastRow="0" w:firstColumn="1" w:lastColumn="0" w:noHBand="0" w:noVBand="1"/>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124"/>
        <w:gridCol w:w="2761"/>
        <w:gridCol w:w="1826"/>
        <w:gridCol w:w="1749"/>
        <w:gridCol w:w="1600"/>
      </w:tblGrid>
      <w:tr w:rsidR="00215226" w:rsidRPr="008571BA" w14:paraId="6B3DF110" w14:textId="77777777" w:rsidTr="00AD4117">
        <w:trPr>
          <w:cnfStyle w:val="100000000000" w:firstRow="1" w:lastRow="0" w:firstColumn="0" w:lastColumn="0" w:oddVBand="0" w:evenVBand="0" w:oddHBand="0" w:evenHBand="0" w:firstRowFirstColumn="0" w:firstRowLastColumn="0" w:lastRowFirstColumn="0" w:lastRowLastColumn="0"/>
          <w:trHeight w:val="113"/>
          <w:tblHeader/>
        </w:trPr>
        <w:tc>
          <w:tcPr>
            <w:tcW w:w="2144" w:type="pct"/>
            <w:gridSpan w:val="2"/>
          </w:tcPr>
          <w:p w14:paraId="60FF4FC1" w14:textId="77777777" w:rsidR="00215226" w:rsidRPr="008571BA" w:rsidRDefault="00215226" w:rsidP="00AD4117">
            <w:pPr>
              <w:pStyle w:val="Normal-TableText"/>
            </w:pPr>
            <w:r w:rsidRPr="008571BA">
              <w:t>Bits of Security Strength</w:t>
            </w:r>
          </w:p>
        </w:tc>
        <w:tc>
          <w:tcPr>
            <w:tcW w:w="1008" w:type="pct"/>
          </w:tcPr>
          <w:p w14:paraId="3DA37641" w14:textId="77777777" w:rsidR="00215226" w:rsidRPr="008571BA" w:rsidRDefault="00215226" w:rsidP="00BD2B67">
            <w:pPr>
              <w:pStyle w:val="Normal-TableText"/>
              <w:jc w:val="center"/>
            </w:pPr>
            <w:r w:rsidRPr="008571BA">
              <w:t>2010</w:t>
            </w:r>
            <w:r w:rsidR="00897FA3">
              <w:t xml:space="preserve"> – </w:t>
            </w:r>
            <w:r>
              <w:t>201</w:t>
            </w:r>
            <w:r w:rsidRPr="008571BA">
              <w:t>3</w:t>
            </w:r>
          </w:p>
        </w:tc>
        <w:tc>
          <w:tcPr>
            <w:tcW w:w="965" w:type="pct"/>
          </w:tcPr>
          <w:p w14:paraId="42FC7EF8" w14:textId="77777777" w:rsidR="00215226" w:rsidRPr="008571BA" w:rsidRDefault="00215226" w:rsidP="00BD2B67">
            <w:pPr>
              <w:pStyle w:val="Normal-TableText"/>
              <w:jc w:val="center"/>
            </w:pPr>
            <w:r w:rsidRPr="008571BA">
              <w:t>2014</w:t>
            </w:r>
            <w:r w:rsidR="00897FA3">
              <w:t xml:space="preserve"> – </w:t>
            </w:r>
            <w:r w:rsidRPr="008571BA">
              <w:t>2030</w:t>
            </w:r>
          </w:p>
        </w:tc>
        <w:tc>
          <w:tcPr>
            <w:tcW w:w="883" w:type="pct"/>
          </w:tcPr>
          <w:p w14:paraId="6B9FC463" w14:textId="77777777" w:rsidR="00215226" w:rsidRPr="008571BA" w:rsidRDefault="00215226" w:rsidP="00BD2B67">
            <w:pPr>
              <w:pStyle w:val="Normal-TableText"/>
              <w:jc w:val="center"/>
            </w:pPr>
            <w:r w:rsidRPr="008571BA">
              <w:t>2031+</w:t>
            </w:r>
          </w:p>
        </w:tc>
      </w:tr>
      <w:tr w:rsidR="00215226" w:rsidRPr="008571BA" w14:paraId="6C850DB8" w14:textId="77777777" w:rsidTr="00AD4117">
        <w:trPr>
          <w:trHeight w:val="113"/>
        </w:trPr>
        <w:tc>
          <w:tcPr>
            <w:tcW w:w="620" w:type="pct"/>
            <w:vMerge w:val="restart"/>
          </w:tcPr>
          <w:p w14:paraId="4255F09E" w14:textId="77777777" w:rsidR="00215226" w:rsidRPr="008571BA" w:rsidRDefault="00215226" w:rsidP="00AD4117">
            <w:pPr>
              <w:pStyle w:val="Normal-TableText"/>
            </w:pPr>
            <w:r w:rsidRPr="008571BA">
              <w:t>80</w:t>
            </w:r>
          </w:p>
        </w:tc>
        <w:tc>
          <w:tcPr>
            <w:tcW w:w="1524" w:type="pct"/>
          </w:tcPr>
          <w:p w14:paraId="75FCB656" w14:textId="77777777" w:rsidR="00215226" w:rsidRPr="008571BA" w:rsidRDefault="00215226" w:rsidP="00AD4117">
            <w:pPr>
              <w:pStyle w:val="Normal-TableText"/>
            </w:pPr>
            <w:r w:rsidRPr="008571BA">
              <w:t>Applying</w:t>
            </w:r>
          </w:p>
        </w:tc>
        <w:tc>
          <w:tcPr>
            <w:tcW w:w="1008" w:type="pct"/>
          </w:tcPr>
          <w:p w14:paraId="7AEBF261" w14:textId="77777777" w:rsidR="00215226" w:rsidRPr="008571BA" w:rsidRDefault="00215226" w:rsidP="00BD2B67">
            <w:pPr>
              <w:pStyle w:val="Normal-TableText"/>
              <w:jc w:val="center"/>
            </w:pPr>
            <w:r w:rsidRPr="008571BA">
              <w:t>Deprecated</w:t>
            </w:r>
          </w:p>
        </w:tc>
        <w:tc>
          <w:tcPr>
            <w:tcW w:w="965" w:type="pct"/>
          </w:tcPr>
          <w:p w14:paraId="48BE7E3B" w14:textId="77777777" w:rsidR="00215226" w:rsidRPr="008571BA" w:rsidRDefault="00215226" w:rsidP="00BD2B67">
            <w:pPr>
              <w:pStyle w:val="Normal-TableText"/>
              <w:jc w:val="center"/>
            </w:pPr>
            <w:r w:rsidRPr="008571BA">
              <w:t>Disallowed</w:t>
            </w:r>
          </w:p>
        </w:tc>
        <w:tc>
          <w:tcPr>
            <w:tcW w:w="883" w:type="pct"/>
          </w:tcPr>
          <w:p w14:paraId="4EFD752D" w14:textId="77777777" w:rsidR="00215226" w:rsidRPr="008571BA" w:rsidRDefault="00215226" w:rsidP="00BD2B67">
            <w:pPr>
              <w:pStyle w:val="Normal-TableText"/>
              <w:jc w:val="center"/>
            </w:pPr>
            <w:r w:rsidRPr="008571BA">
              <w:t>Disallowed</w:t>
            </w:r>
          </w:p>
        </w:tc>
      </w:tr>
      <w:tr w:rsidR="00215226" w:rsidRPr="008571BA" w14:paraId="1FE1DA09" w14:textId="77777777" w:rsidTr="00AD4117">
        <w:trPr>
          <w:trHeight w:val="113"/>
        </w:trPr>
        <w:tc>
          <w:tcPr>
            <w:tcW w:w="620" w:type="pct"/>
            <w:vMerge/>
          </w:tcPr>
          <w:p w14:paraId="476C4BE5" w14:textId="77777777" w:rsidR="00215226" w:rsidRPr="008571BA" w:rsidRDefault="00215226" w:rsidP="00AD4117">
            <w:pPr>
              <w:pStyle w:val="Normal-TableText"/>
            </w:pPr>
          </w:p>
        </w:tc>
        <w:tc>
          <w:tcPr>
            <w:tcW w:w="1524" w:type="pct"/>
          </w:tcPr>
          <w:p w14:paraId="20A87A5E" w14:textId="77777777" w:rsidR="00215226" w:rsidRPr="008571BA" w:rsidRDefault="00215226" w:rsidP="00AD4117">
            <w:pPr>
              <w:pStyle w:val="Normal-TableText"/>
            </w:pPr>
            <w:r w:rsidRPr="008571BA">
              <w:t>Processing</w:t>
            </w:r>
          </w:p>
        </w:tc>
        <w:tc>
          <w:tcPr>
            <w:tcW w:w="1973" w:type="pct"/>
            <w:gridSpan w:val="2"/>
          </w:tcPr>
          <w:p w14:paraId="7A6B2A62" w14:textId="77777777" w:rsidR="00215226" w:rsidRPr="008571BA" w:rsidRDefault="00215226" w:rsidP="00BD2B67">
            <w:pPr>
              <w:pStyle w:val="Normal-TableText"/>
              <w:jc w:val="center"/>
            </w:pPr>
            <w:r w:rsidRPr="008571BA">
              <w:t>Legacy Use</w:t>
            </w:r>
          </w:p>
        </w:tc>
        <w:tc>
          <w:tcPr>
            <w:tcW w:w="883" w:type="pct"/>
          </w:tcPr>
          <w:p w14:paraId="7C45E151" w14:textId="77777777" w:rsidR="00215226" w:rsidRPr="008571BA" w:rsidRDefault="00215226" w:rsidP="00BD2B67">
            <w:pPr>
              <w:pStyle w:val="Normal-TableText"/>
              <w:jc w:val="center"/>
            </w:pPr>
            <w:r w:rsidRPr="008571BA">
              <w:t>Disallowed</w:t>
            </w:r>
          </w:p>
        </w:tc>
      </w:tr>
      <w:tr w:rsidR="00215226" w:rsidRPr="008571BA" w14:paraId="7459DD87" w14:textId="77777777" w:rsidTr="00AD4117">
        <w:trPr>
          <w:trHeight w:val="113"/>
        </w:trPr>
        <w:tc>
          <w:tcPr>
            <w:tcW w:w="620" w:type="pct"/>
            <w:vMerge w:val="restart"/>
          </w:tcPr>
          <w:p w14:paraId="36765D9E" w14:textId="77777777" w:rsidR="00215226" w:rsidRPr="008571BA" w:rsidRDefault="00215226" w:rsidP="00AD4117">
            <w:pPr>
              <w:pStyle w:val="Normal-TableText"/>
            </w:pPr>
            <w:r w:rsidRPr="008571BA">
              <w:t>112</w:t>
            </w:r>
          </w:p>
        </w:tc>
        <w:tc>
          <w:tcPr>
            <w:tcW w:w="1524" w:type="pct"/>
          </w:tcPr>
          <w:p w14:paraId="75F241C6" w14:textId="77777777" w:rsidR="00215226" w:rsidRPr="008571BA" w:rsidRDefault="00215226" w:rsidP="00AD4117">
            <w:pPr>
              <w:pStyle w:val="Normal-TableText"/>
            </w:pPr>
            <w:r w:rsidRPr="008571BA">
              <w:t>Applying</w:t>
            </w:r>
          </w:p>
        </w:tc>
        <w:tc>
          <w:tcPr>
            <w:tcW w:w="1973" w:type="pct"/>
            <w:gridSpan w:val="2"/>
          </w:tcPr>
          <w:p w14:paraId="69D23ECA" w14:textId="77777777" w:rsidR="00215226" w:rsidRPr="008571BA" w:rsidRDefault="00215226" w:rsidP="00BD2B67">
            <w:pPr>
              <w:pStyle w:val="Normal-TableText"/>
              <w:jc w:val="center"/>
            </w:pPr>
            <w:r w:rsidRPr="008571BA">
              <w:t>Acceptable</w:t>
            </w:r>
          </w:p>
        </w:tc>
        <w:tc>
          <w:tcPr>
            <w:tcW w:w="883" w:type="pct"/>
          </w:tcPr>
          <w:p w14:paraId="41BFC0F2" w14:textId="77777777" w:rsidR="00215226" w:rsidRPr="008571BA" w:rsidRDefault="00215226" w:rsidP="00BD2B67">
            <w:pPr>
              <w:pStyle w:val="Normal-TableText"/>
              <w:jc w:val="center"/>
            </w:pPr>
            <w:r w:rsidRPr="008571BA">
              <w:t>Disallowed</w:t>
            </w:r>
          </w:p>
        </w:tc>
      </w:tr>
      <w:tr w:rsidR="00215226" w:rsidRPr="008571BA" w14:paraId="77B543E7" w14:textId="77777777" w:rsidTr="00AD4117">
        <w:trPr>
          <w:trHeight w:val="113"/>
        </w:trPr>
        <w:tc>
          <w:tcPr>
            <w:tcW w:w="620" w:type="pct"/>
            <w:vMerge/>
          </w:tcPr>
          <w:p w14:paraId="3694672D" w14:textId="77777777" w:rsidR="00215226" w:rsidRPr="008571BA" w:rsidRDefault="00215226" w:rsidP="00AD4117">
            <w:pPr>
              <w:pStyle w:val="Normal-TableText"/>
            </w:pPr>
          </w:p>
        </w:tc>
        <w:tc>
          <w:tcPr>
            <w:tcW w:w="1524" w:type="pct"/>
          </w:tcPr>
          <w:p w14:paraId="7646E8CF" w14:textId="77777777" w:rsidR="00215226" w:rsidRPr="008571BA" w:rsidRDefault="00215226" w:rsidP="00AD4117">
            <w:pPr>
              <w:pStyle w:val="Normal-TableText"/>
            </w:pPr>
            <w:r w:rsidRPr="008571BA">
              <w:t>Processing</w:t>
            </w:r>
          </w:p>
        </w:tc>
        <w:tc>
          <w:tcPr>
            <w:tcW w:w="1973" w:type="pct"/>
            <w:gridSpan w:val="2"/>
          </w:tcPr>
          <w:p w14:paraId="195E47A2" w14:textId="77777777" w:rsidR="00215226" w:rsidRPr="008571BA" w:rsidRDefault="00215226" w:rsidP="00BD2B67">
            <w:pPr>
              <w:pStyle w:val="Normal-TableText"/>
              <w:jc w:val="center"/>
            </w:pPr>
            <w:r w:rsidRPr="008571BA">
              <w:t>Acceptable</w:t>
            </w:r>
          </w:p>
        </w:tc>
        <w:tc>
          <w:tcPr>
            <w:tcW w:w="883" w:type="pct"/>
          </w:tcPr>
          <w:p w14:paraId="50EEE432" w14:textId="77777777" w:rsidR="00215226" w:rsidRPr="008571BA" w:rsidRDefault="00215226" w:rsidP="00BD2B67">
            <w:pPr>
              <w:pStyle w:val="Normal-TableText"/>
              <w:jc w:val="center"/>
            </w:pPr>
            <w:r w:rsidRPr="008571BA">
              <w:t>Legacy Use</w:t>
            </w:r>
          </w:p>
        </w:tc>
      </w:tr>
      <w:tr w:rsidR="00215226" w:rsidRPr="008571BA" w14:paraId="09474AFD" w14:textId="77777777" w:rsidTr="00AD4117">
        <w:trPr>
          <w:trHeight w:val="113"/>
        </w:trPr>
        <w:tc>
          <w:tcPr>
            <w:tcW w:w="620" w:type="pct"/>
            <w:vMerge w:val="restart"/>
          </w:tcPr>
          <w:p w14:paraId="7FFAEAC7" w14:textId="77777777" w:rsidR="00215226" w:rsidRPr="008571BA" w:rsidRDefault="00215226" w:rsidP="00AD4117">
            <w:pPr>
              <w:pStyle w:val="Normal-TableText"/>
            </w:pPr>
            <w:r w:rsidRPr="008571BA">
              <w:t>128</w:t>
            </w:r>
          </w:p>
        </w:tc>
        <w:tc>
          <w:tcPr>
            <w:tcW w:w="1524" w:type="pct"/>
          </w:tcPr>
          <w:p w14:paraId="580DC9DB" w14:textId="77777777" w:rsidR="00215226" w:rsidRPr="008571BA" w:rsidRDefault="00215226" w:rsidP="00AD4117">
            <w:pPr>
              <w:pStyle w:val="Normal-TableText"/>
            </w:pPr>
            <w:r w:rsidRPr="008571BA">
              <w:t>Applying</w:t>
            </w:r>
          </w:p>
        </w:tc>
        <w:tc>
          <w:tcPr>
            <w:tcW w:w="2856" w:type="pct"/>
            <w:gridSpan w:val="3"/>
          </w:tcPr>
          <w:p w14:paraId="2405B040" w14:textId="77777777" w:rsidR="00215226" w:rsidRPr="008571BA" w:rsidRDefault="00215226" w:rsidP="00BD2B67">
            <w:pPr>
              <w:pStyle w:val="Normal-TableText"/>
              <w:jc w:val="center"/>
            </w:pPr>
            <w:r w:rsidRPr="008571BA">
              <w:t>Acceptable</w:t>
            </w:r>
          </w:p>
        </w:tc>
      </w:tr>
      <w:tr w:rsidR="00215226" w:rsidRPr="008571BA" w14:paraId="1EB2A5A0" w14:textId="77777777" w:rsidTr="00AD4117">
        <w:trPr>
          <w:trHeight w:val="113"/>
        </w:trPr>
        <w:tc>
          <w:tcPr>
            <w:tcW w:w="620" w:type="pct"/>
            <w:vMerge/>
          </w:tcPr>
          <w:p w14:paraId="0F14872F" w14:textId="77777777" w:rsidR="00215226" w:rsidRPr="008571BA" w:rsidRDefault="00215226" w:rsidP="00AD4117">
            <w:pPr>
              <w:pStyle w:val="Normal-TableText"/>
            </w:pPr>
          </w:p>
        </w:tc>
        <w:tc>
          <w:tcPr>
            <w:tcW w:w="1524" w:type="pct"/>
          </w:tcPr>
          <w:p w14:paraId="2192BD30" w14:textId="77777777" w:rsidR="00215226" w:rsidRPr="008571BA" w:rsidRDefault="00215226" w:rsidP="00AD4117">
            <w:pPr>
              <w:pStyle w:val="Normal-TableText"/>
            </w:pPr>
            <w:r w:rsidRPr="008571BA">
              <w:t>Processing</w:t>
            </w:r>
          </w:p>
        </w:tc>
        <w:tc>
          <w:tcPr>
            <w:tcW w:w="2856" w:type="pct"/>
            <w:gridSpan w:val="3"/>
          </w:tcPr>
          <w:p w14:paraId="1570AD3C" w14:textId="77777777" w:rsidR="00215226" w:rsidRPr="008571BA" w:rsidRDefault="00215226" w:rsidP="00BD2B67">
            <w:pPr>
              <w:pStyle w:val="Normal-TableText"/>
              <w:jc w:val="center"/>
            </w:pPr>
            <w:r w:rsidRPr="008571BA">
              <w:t>Acceptable</w:t>
            </w:r>
          </w:p>
        </w:tc>
      </w:tr>
      <w:tr w:rsidR="00215226" w:rsidRPr="008571BA" w14:paraId="74CC6D87" w14:textId="77777777" w:rsidTr="00AD4117">
        <w:trPr>
          <w:trHeight w:val="113"/>
        </w:trPr>
        <w:tc>
          <w:tcPr>
            <w:tcW w:w="620" w:type="pct"/>
            <w:vMerge w:val="restart"/>
          </w:tcPr>
          <w:p w14:paraId="4688A1E6" w14:textId="77777777" w:rsidR="00215226" w:rsidRPr="008571BA" w:rsidRDefault="00215226" w:rsidP="00AD4117">
            <w:pPr>
              <w:pStyle w:val="Normal-TableText"/>
            </w:pPr>
            <w:r w:rsidRPr="008571BA">
              <w:lastRenderedPageBreak/>
              <w:t>192</w:t>
            </w:r>
          </w:p>
        </w:tc>
        <w:tc>
          <w:tcPr>
            <w:tcW w:w="1524" w:type="pct"/>
          </w:tcPr>
          <w:p w14:paraId="02B7C5EE" w14:textId="77777777" w:rsidR="00215226" w:rsidRPr="008571BA" w:rsidRDefault="00215226" w:rsidP="00AD4117">
            <w:pPr>
              <w:pStyle w:val="Normal-TableText"/>
            </w:pPr>
            <w:r w:rsidRPr="008571BA">
              <w:t>Applying</w:t>
            </w:r>
          </w:p>
        </w:tc>
        <w:tc>
          <w:tcPr>
            <w:tcW w:w="2856" w:type="pct"/>
            <w:gridSpan w:val="3"/>
          </w:tcPr>
          <w:p w14:paraId="5F30F8FA" w14:textId="77777777" w:rsidR="00215226" w:rsidRPr="008571BA" w:rsidRDefault="00215226" w:rsidP="00BD2B67">
            <w:pPr>
              <w:pStyle w:val="Normal-TableText"/>
              <w:jc w:val="center"/>
            </w:pPr>
            <w:r w:rsidRPr="008571BA">
              <w:t>Acceptable</w:t>
            </w:r>
          </w:p>
        </w:tc>
      </w:tr>
      <w:tr w:rsidR="00215226" w:rsidRPr="008571BA" w14:paraId="7AD970AF" w14:textId="77777777" w:rsidTr="00AD4117">
        <w:trPr>
          <w:trHeight w:val="113"/>
        </w:trPr>
        <w:tc>
          <w:tcPr>
            <w:tcW w:w="620" w:type="pct"/>
            <w:vMerge/>
          </w:tcPr>
          <w:p w14:paraId="6192DBA9" w14:textId="77777777" w:rsidR="00215226" w:rsidRPr="008571BA" w:rsidRDefault="00215226" w:rsidP="00AD4117">
            <w:pPr>
              <w:pStyle w:val="Normal-TableText"/>
            </w:pPr>
          </w:p>
        </w:tc>
        <w:tc>
          <w:tcPr>
            <w:tcW w:w="1524" w:type="pct"/>
          </w:tcPr>
          <w:p w14:paraId="5A01D9E7" w14:textId="77777777" w:rsidR="00215226" w:rsidRPr="008571BA" w:rsidRDefault="00215226" w:rsidP="00AD4117">
            <w:pPr>
              <w:pStyle w:val="Normal-TableText"/>
            </w:pPr>
            <w:r w:rsidRPr="008571BA">
              <w:t>Processing</w:t>
            </w:r>
          </w:p>
        </w:tc>
        <w:tc>
          <w:tcPr>
            <w:tcW w:w="2856" w:type="pct"/>
            <w:gridSpan w:val="3"/>
          </w:tcPr>
          <w:p w14:paraId="14116842" w14:textId="77777777" w:rsidR="00215226" w:rsidRPr="008571BA" w:rsidRDefault="00215226" w:rsidP="00BD2B67">
            <w:pPr>
              <w:pStyle w:val="Normal-TableText"/>
              <w:jc w:val="center"/>
            </w:pPr>
            <w:r w:rsidRPr="008571BA">
              <w:t>Acceptable</w:t>
            </w:r>
          </w:p>
        </w:tc>
      </w:tr>
      <w:tr w:rsidR="00215226" w:rsidRPr="008571BA" w14:paraId="5E347E45" w14:textId="77777777" w:rsidTr="00AD4117">
        <w:trPr>
          <w:trHeight w:val="113"/>
        </w:trPr>
        <w:tc>
          <w:tcPr>
            <w:tcW w:w="620" w:type="pct"/>
            <w:vMerge w:val="restart"/>
          </w:tcPr>
          <w:p w14:paraId="02C4D912" w14:textId="77777777" w:rsidR="00215226" w:rsidRPr="008571BA" w:rsidRDefault="00215226" w:rsidP="00AD4117">
            <w:pPr>
              <w:pStyle w:val="Normal-TableText"/>
            </w:pPr>
            <w:r w:rsidRPr="008571BA">
              <w:t>256</w:t>
            </w:r>
          </w:p>
        </w:tc>
        <w:tc>
          <w:tcPr>
            <w:tcW w:w="1524" w:type="pct"/>
          </w:tcPr>
          <w:p w14:paraId="54C845CE" w14:textId="77777777" w:rsidR="00215226" w:rsidRPr="008571BA" w:rsidRDefault="00215226" w:rsidP="00AD4117">
            <w:pPr>
              <w:pStyle w:val="Normal-TableText"/>
            </w:pPr>
            <w:r w:rsidRPr="008571BA">
              <w:t>Applying</w:t>
            </w:r>
          </w:p>
        </w:tc>
        <w:tc>
          <w:tcPr>
            <w:tcW w:w="2856" w:type="pct"/>
            <w:gridSpan w:val="3"/>
          </w:tcPr>
          <w:p w14:paraId="222AC782" w14:textId="77777777" w:rsidR="00215226" w:rsidRPr="008571BA" w:rsidRDefault="00215226" w:rsidP="00BD2B67">
            <w:pPr>
              <w:pStyle w:val="Normal-TableText"/>
              <w:jc w:val="center"/>
            </w:pPr>
            <w:r w:rsidRPr="008571BA">
              <w:t>Acceptable</w:t>
            </w:r>
          </w:p>
        </w:tc>
      </w:tr>
      <w:tr w:rsidR="00215226" w:rsidRPr="008571BA" w14:paraId="2AF66829" w14:textId="77777777" w:rsidTr="00AD4117">
        <w:trPr>
          <w:trHeight w:val="113"/>
        </w:trPr>
        <w:tc>
          <w:tcPr>
            <w:tcW w:w="620" w:type="pct"/>
            <w:vMerge/>
          </w:tcPr>
          <w:p w14:paraId="1EDD182D" w14:textId="77777777" w:rsidR="00215226" w:rsidRPr="008571BA" w:rsidRDefault="00215226" w:rsidP="00AD4117">
            <w:pPr>
              <w:pStyle w:val="Normal-TableText"/>
            </w:pPr>
          </w:p>
        </w:tc>
        <w:tc>
          <w:tcPr>
            <w:tcW w:w="1524" w:type="pct"/>
          </w:tcPr>
          <w:p w14:paraId="22F53A89" w14:textId="77777777" w:rsidR="00215226" w:rsidRPr="008571BA" w:rsidRDefault="00215226" w:rsidP="00AD4117">
            <w:pPr>
              <w:pStyle w:val="Normal-TableText"/>
            </w:pPr>
            <w:r w:rsidRPr="008571BA">
              <w:t>Processing</w:t>
            </w:r>
          </w:p>
        </w:tc>
        <w:tc>
          <w:tcPr>
            <w:tcW w:w="2856" w:type="pct"/>
            <w:gridSpan w:val="3"/>
          </w:tcPr>
          <w:p w14:paraId="34D3587C" w14:textId="77777777" w:rsidR="00215226" w:rsidRPr="008571BA" w:rsidRDefault="00215226" w:rsidP="00BD2B67">
            <w:pPr>
              <w:pStyle w:val="Normal-TableText"/>
              <w:jc w:val="center"/>
            </w:pPr>
            <w:r w:rsidRPr="008571BA">
              <w:t>Acceptable</w:t>
            </w:r>
          </w:p>
        </w:tc>
      </w:tr>
    </w:tbl>
    <w:p w14:paraId="4A06C1F0" w14:textId="77777777" w:rsidR="00215226" w:rsidRDefault="00215226" w:rsidP="00AD4117">
      <w:r w:rsidRPr="008571BA">
        <w:t xml:space="preserve">If the security life of information extends beyond one time period specified in the table into the next time period, the algorithm and key sizes specified for the latter time period </w:t>
      </w:r>
      <w:r w:rsidRPr="00D825A0">
        <w:rPr>
          <w:rStyle w:val="Strong"/>
        </w:rPr>
        <w:t>SHOULD</w:t>
      </w:r>
      <w:r w:rsidRPr="008571BA">
        <w:t xml:space="preserve"> be used for applying cryptographic protection. The following examples are provided to clarify the use of the table:</w:t>
      </w:r>
    </w:p>
    <w:p w14:paraId="004AF440" w14:textId="77777777" w:rsidR="00215226" w:rsidRDefault="00215226" w:rsidP="00906D67">
      <w:pPr>
        <w:pStyle w:val="NumberedList1"/>
        <w:numPr>
          <w:ilvl w:val="0"/>
          <w:numId w:val="15"/>
        </w:numPr>
      </w:pPr>
      <w:r w:rsidRPr="008571BA">
        <w:t>If information is cryptographically protected (e.g. digitally signed) in</w:t>
      </w:r>
      <w:r>
        <w:t> 201</w:t>
      </w:r>
      <w:r w:rsidRPr="008571BA">
        <w:t>0 and the maximum-expected security life of the digitally signed information is two years, any of the approved digital-signature algorithms or keys sizes that provide at least 80 bits of security strength may be used.</w:t>
      </w:r>
      <w:r>
        <w:t xml:space="preserve"> </w:t>
      </w:r>
      <w:r w:rsidRPr="008571BA">
        <w:t>However if only 80 bits of protection is used, there is some residual risk that the Subscriber and/or Relying Party will need to accept given the ‘legacy use’ indication in the table.</w:t>
      </w:r>
    </w:p>
    <w:p w14:paraId="5688E97B" w14:textId="77777777" w:rsidR="00215226" w:rsidRDefault="00215226" w:rsidP="00AD4117">
      <w:pPr>
        <w:pStyle w:val="NumberedList1"/>
      </w:pPr>
      <w:r w:rsidRPr="008571BA">
        <w:t>If a similar piece of information was cryptographically protected in</w:t>
      </w:r>
      <w:r>
        <w:t> 201</w:t>
      </w:r>
      <w:r w:rsidRPr="008571BA">
        <w:t>3 and the maximum-expected security life of the digitally signed information is two years, then an algorithm or key size that provides at least 112 bits of security strength is required.</w:t>
      </w:r>
    </w:p>
    <w:p w14:paraId="5D71F04C" w14:textId="77777777" w:rsidR="00215226" w:rsidRDefault="00215226" w:rsidP="00AD4117">
      <w:pPr>
        <w:pStyle w:val="Heading2"/>
      </w:pPr>
      <w:bookmarkStart w:id="359" w:name="_Toc430268961"/>
      <w:r w:rsidRPr="008571BA">
        <w:t>Transitioning to New Algorithms and Key Sizes</w:t>
      </w:r>
      <w:bookmarkEnd w:id="359"/>
    </w:p>
    <w:p w14:paraId="771C68F3" w14:textId="77777777" w:rsidR="00215226" w:rsidRDefault="00215226" w:rsidP="00AD4117">
      <w:r w:rsidRPr="008571BA">
        <w:t>The estimated time period during which data protected by a specific cryptographic algorithm (and key size) remains secure is called the ‘algorithm security lifetime’. During this time, the algorithm may be used to both apply cryptographic protection (e.g. digitally sign) and to process the protected information (e.g. to verify a digital signature).</w:t>
      </w:r>
      <w:r>
        <w:t xml:space="preserve"> </w:t>
      </w:r>
      <w:r w:rsidRPr="008571BA">
        <w:t>The algorithm used is expected to provide adequate protection for the protected data during this time, which depending on legislative or regulatory requirements of the Service Provider, their Subscribers and/or Relying Parties may be in the order of several years or decades.</w:t>
      </w:r>
    </w:p>
    <w:p w14:paraId="17F32E36" w14:textId="77777777" w:rsidR="00215226" w:rsidRDefault="00215226" w:rsidP="00AD4117">
      <w:r w:rsidRPr="008571BA">
        <w:t>Typically, a Service Provider selects the cryptographic services that are needed for a particular application or service.</w:t>
      </w:r>
      <w:r>
        <w:t xml:space="preserve"> </w:t>
      </w:r>
      <w:r w:rsidRPr="008571BA">
        <w:t>Then, based on the algorithm security lifetime and the security life of the data to be protected, an algorithm and key size suite is selected that is sufficient to meet the requirements.</w:t>
      </w:r>
    </w:p>
    <w:p w14:paraId="674091E0" w14:textId="77777777" w:rsidR="00215226" w:rsidRDefault="00215226" w:rsidP="00AD4117">
      <w:r w:rsidRPr="008571BA">
        <w:t>The organisation then establishes a key management system and supporting cryptographic key management plan, which includes validated cryptographic products that provide the services required by the application.</w:t>
      </w:r>
      <w:r>
        <w:t xml:space="preserve"> </w:t>
      </w:r>
      <w:r w:rsidRPr="008571BA">
        <w:t xml:space="preserve">As an algorithm and/or key size suit nears its expiration date, transitioning to a new algorithm and key size suite </w:t>
      </w:r>
      <w:r w:rsidRPr="00D825A0">
        <w:rPr>
          <w:rStyle w:val="Strong"/>
        </w:rPr>
        <w:t>SHOULD</w:t>
      </w:r>
      <w:r w:rsidRPr="008571BA">
        <w:t xml:space="preserve"> be planned and documented in the CKMP.</w:t>
      </w:r>
    </w:p>
    <w:p w14:paraId="33292A6C" w14:textId="77777777" w:rsidR="00215226" w:rsidRDefault="00215226" w:rsidP="00AD4117">
      <w:r w:rsidRPr="008571BA">
        <w:t>When the algorithm or key size is determined to no longer provide the desired protection for information (e.g. if the algorithm may be have been ‘broken’), any information ‘protected’ by the algorithm or key size is considered to be ‘suspect’ (the data may no longer be confidential, or the integrity cannot be assured).</w:t>
      </w:r>
      <w:r>
        <w:t xml:space="preserve"> </w:t>
      </w:r>
      <w:r w:rsidRPr="008571BA">
        <w:t xml:space="preserve">If the protected data is retained, it </w:t>
      </w:r>
      <w:r w:rsidRPr="00D825A0">
        <w:rPr>
          <w:rStyle w:val="Strong"/>
        </w:rPr>
        <w:t>SHOULD</w:t>
      </w:r>
      <w:r w:rsidRPr="008571BA">
        <w:t xml:space="preserve"> be r</w:t>
      </w:r>
      <w:r w:rsidR="00897FA3">
        <w:t>e</w:t>
      </w:r>
      <w:r w:rsidR="00897FA3">
        <w:noBreakHyphen/>
      </w:r>
      <w:r w:rsidRPr="008571BA">
        <w:t>protected using an AACA and key size that will protect the information for the remainder of its security life.</w:t>
      </w:r>
    </w:p>
    <w:p w14:paraId="4D4D483A" w14:textId="77777777" w:rsidR="00215226" w:rsidRDefault="00215226" w:rsidP="00AD4117"/>
    <w:p w14:paraId="28D8AE7E" w14:textId="77777777" w:rsidR="00215226" w:rsidRPr="00ED447E" w:rsidRDefault="00215226" w:rsidP="00AD4117">
      <w:pPr>
        <w:pStyle w:val="Heading1"/>
      </w:pPr>
      <w:bookmarkStart w:id="360" w:name="_Toc426636734"/>
      <w:bookmarkStart w:id="361" w:name="_Toc426640018"/>
      <w:bookmarkStart w:id="362" w:name="_Toc430268962"/>
      <w:r w:rsidRPr="00ED447E">
        <w:lastRenderedPageBreak/>
        <w:t>ANNEX B – Certificate Profile</w:t>
      </w:r>
      <w:bookmarkEnd w:id="360"/>
      <w:bookmarkEnd w:id="361"/>
      <w:bookmarkEnd w:id="362"/>
    </w:p>
    <w:p w14:paraId="1BAACDF3" w14:textId="77777777" w:rsidR="00215226" w:rsidRPr="00093E8E" w:rsidRDefault="00215226" w:rsidP="00AD4117">
      <w:r w:rsidRPr="00093E8E">
        <w:t>The tables below</w:t>
      </w:r>
      <w:r w:rsidRPr="00E64190">
        <w:rPr>
          <w:rStyle w:val="FootnoteReference"/>
        </w:rPr>
        <w:footnoteReference w:id="32"/>
      </w:r>
      <w:r w:rsidRPr="00093E8E">
        <w:t xml:space="preserve"> contain specific certificate information and extensions to ensure operational integrity.</w:t>
      </w:r>
      <w:r>
        <w:t xml:space="preserve"> </w:t>
      </w:r>
      <w:r w:rsidRPr="00093E8E">
        <w:t>The tables do not address all certificate extensions.</w:t>
      </w:r>
      <w:r>
        <w:t xml:space="preserve"> </w:t>
      </w:r>
      <w:r w:rsidRPr="00093E8E">
        <w:t xml:space="preserve">Other use extensions </w:t>
      </w:r>
      <w:r w:rsidRPr="00D825A0">
        <w:rPr>
          <w:rStyle w:val="Strong"/>
        </w:rPr>
        <w:t>SHOULD</w:t>
      </w:r>
      <w:r w:rsidRPr="00093E8E">
        <w:t xml:space="preserve"> conform to RFC5280. Extensions that do not confirm to RFC5280 shall be marked non-critical.</w:t>
      </w:r>
      <w:r>
        <w:t xml:space="preserve"> </w:t>
      </w:r>
      <w:r w:rsidRPr="00093E8E">
        <w:t>The table uses the following terms:</w:t>
      </w:r>
    </w:p>
    <w:p w14:paraId="02ABA345" w14:textId="77777777" w:rsidR="00215226" w:rsidRPr="00093E8E" w:rsidRDefault="00215226" w:rsidP="00AD4117">
      <w:pPr>
        <w:pStyle w:val="Bullet1"/>
      </w:pPr>
      <w:r w:rsidRPr="00D825A0">
        <w:rPr>
          <w:rStyle w:val="Strong"/>
        </w:rPr>
        <w:t>Required critical</w:t>
      </w:r>
      <w:r w:rsidRPr="00093E8E">
        <w:t xml:space="preserve"> – the extension shall be present and is always marked critical.</w:t>
      </w:r>
    </w:p>
    <w:p w14:paraId="0DA34631" w14:textId="77777777" w:rsidR="00215226" w:rsidRPr="00093E8E" w:rsidRDefault="00215226" w:rsidP="00AD4117">
      <w:pPr>
        <w:pStyle w:val="Bullet1"/>
      </w:pPr>
      <w:r w:rsidRPr="00D825A0">
        <w:rPr>
          <w:rStyle w:val="Strong"/>
        </w:rPr>
        <w:t>Required</w:t>
      </w:r>
      <w:r w:rsidRPr="00093E8E">
        <w:t xml:space="preserve"> – the extension shall be present and may be marked non-critical.</w:t>
      </w:r>
    </w:p>
    <w:p w14:paraId="4BC87B27" w14:textId="77777777" w:rsidR="00215226" w:rsidRPr="00093E8E" w:rsidRDefault="00215226" w:rsidP="00AD4117">
      <w:pPr>
        <w:pStyle w:val="Bullet1"/>
      </w:pPr>
      <w:r w:rsidRPr="00D825A0">
        <w:rPr>
          <w:rStyle w:val="Strong"/>
        </w:rPr>
        <w:t>Optional</w:t>
      </w:r>
      <w:r w:rsidRPr="00093E8E">
        <w:t xml:space="preserve"> – the extension may be included at a Service Provider’s discretion.</w:t>
      </w:r>
    </w:p>
    <w:p w14:paraId="65295E3C" w14:textId="77777777" w:rsidR="00215226" w:rsidRPr="00093E8E" w:rsidRDefault="00215226" w:rsidP="00AD4117">
      <w:pPr>
        <w:pStyle w:val="Bullet1"/>
      </w:pPr>
      <w:r w:rsidRPr="00D825A0">
        <w:rPr>
          <w:rStyle w:val="Strong"/>
        </w:rPr>
        <w:t>Not Used</w:t>
      </w:r>
      <w:r w:rsidRPr="00093E8E">
        <w:t xml:space="preserve"> – the extension shall never be used.</w:t>
      </w:r>
    </w:p>
    <w:p w14:paraId="7F11002E" w14:textId="77777777" w:rsidR="00215226" w:rsidRPr="00093E8E" w:rsidRDefault="00215226" w:rsidP="00AD4117">
      <w:pPr>
        <w:pStyle w:val="Heading2"/>
      </w:pPr>
      <w:bookmarkStart w:id="363" w:name="_Toc430268963"/>
      <w:r w:rsidRPr="00093E8E">
        <w:t>Root CA Certificate</w:t>
      </w:r>
      <w:bookmarkEnd w:id="363"/>
    </w:p>
    <w:tbl>
      <w:tblPr>
        <w:tblStyle w:val="DTOTable1"/>
        <w:tblW w:w="5006" w:type="pct"/>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551"/>
        <w:gridCol w:w="6520"/>
      </w:tblGrid>
      <w:tr w:rsidR="00215226" w:rsidRPr="00093E8E" w14:paraId="39252EAE" w14:textId="77777777" w:rsidTr="00133C09">
        <w:trPr>
          <w:cnfStyle w:val="100000000000" w:firstRow="1" w:lastRow="0" w:firstColumn="0" w:lastColumn="0" w:oddVBand="0" w:evenVBand="0" w:oddHBand="0" w:evenHBand="0" w:firstRowFirstColumn="0" w:firstRowLastColumn="0" w:lastRowFirstColumn="0" w:lastRowLastColumn="0"/>
          <w:trHeight w:val="113"/>
          <w:tblHeader/>
        </w:trPr>
        <w:tc>
          <w:tcPr>
            <w:tcW w:w="1406" w:type="pct"/>
          </w:tcPr>
          <w:p w14:paraId="4A40E37D" w14:textId="77777777" w:rsidR="00215226" w:rsidRPr="00093E8E" w:rsidRDefault="00215226" w:rsidP="00133C09">
            <w:pPr>
              <w:pStyle w:val="Normal-TableText"/>
            </w:pPr>
            <w:r w:rsidRPr="00C6440C">
              <w:rPr>
                <w:rStyle w:val="Strong"/>
              </w:rPr>
              <w:t>F</w:t>
            </w:r>
            <w:r w:rsidRPr="00093E8E">
              <w:t>i</w:t>
            </w:r>
            <w:r w:rsidRPr="00C6440C">
              <w:rPr>
                <w:rStyle w:val="Strong"/>
              </w:rPr>
              <w:t>e</w:t>
            </w:r>
            <w:r w:rsidRPr="00093E8E">
              <w:t>l</w:t>
            </w:r>
            <w:r w:rsidRPr="00C6440C">
              <w:rPr>
                <w:rStyle w:val="Strong"/>
              </w:rPr>
              <w:t>d</w:t>
            </w:r>
            <w:r w:rsidRPr="00093E8E">
              <w:t xml:space="preserve">/ </w:t>
            </w:r>
            <w:r w:rsidRPr="00C6440C">
              <w:rPr>
                <w:rStyle w:val="Strong"/>
              </w:rPr>
              <w:t>E</w:t>
            </w:r>
            <w:r w:rsidRPr="00093E8E">
              <w:t>x</w:t>
            </w:r>
            <w:r w:rsidRPr="00C6440C">
              <w:rPr>
                <w:rStyle w:val="Strong"/>
              </w:rPr>
              <w:t>ten</w:t>
            </w:r>
            <w:r w:rsidRPr="00093E8E">
              <w:t>sion</w:t>
            </w:r>
          </w:p>
        </w:tc>
        <w:tc>
          <w:tcPr>
            <w:tcW w:w="3594" w:type="pct"/>
          </w:tcPr>
          <w:p w14:paraId="36641923" w14:textId="77777777" w:rsidR="00215226" w:rsidRPr="00093E8E" w:rsidRDefault="00215226" w:rsidP="00133C09">
            <w:pPr>
              <w:pStyle w:val="Normal-TableText"/>
            </w:pPr>
            <w:r w:rsidRPr="00093E8E">
              <w:t>Root CA Certificate</w:t>
            </w:r>
          </w:p>
        </w:tc>
      </w:tr>
      <w:tr w:rsidR="00215226" w:rsidRPr="00093E8E" w14:paraId="6500C26A" w14:textId="77777777" w:rsidTr="00133C09">
        <w:trPr>
          <w:trHeight w:val="113"/>
        </w:trPr>
        <w:tc>
          <w:tcPr>
            <w:tcW w:w="1406" w:type="pct"/>
            <w:vMerge w:val="restart"/>
          </w:tcPr>
          <w:p w14:paraId="627C9051" w14:textId="77777777" w:rsidR="00215226" w:rsidRPr="00093E8E" w:rsidRDefault="00215226" w:rsidP="00133C09">
            <w:pPr>
              <w:pStyle w:val="Normal-TableText"/>
            </w:pPr>
            <w:r w:rsidRPr="00093E8E">
              <w:t>V</w:t>
            </w:r>
            <w:r w:rsidRPr="00C6440C">
              <w:t>er</w:t>
            </w:r>
            <w:r w:rsidRPr="00093E8E">
              <w:t>sion</w:t>
            </w:r>
          </w:p>
        </w:tc>
        <w:tc>
          <w:tcPr>
            <w:tcW w:w="3594" w:type="pct"/>
          </w:tcPr>
          <w:p w14:paraId="5FB95BB9" w14:textId="77777777" w:rsidR="00215226" w:rsidRPr="00093E8E" w:rsidRDefault="00215226" w:rsidP="00133C09">
            <w:pPr>
              <w:pStyle w:val="Normal-TableText"/>
            </w:pPr>
            <w:r w:rsidRPr="00C6440C">
              <w:rPr>
                <w:rStyle w:val="Strong"/>
              </w:rPr>
              <w:t>Required</w:t>
            </w:r>
          </w:p>
        </w:tc>
      </w:tr>
      <w:tr w:rsidR="00215226" w:rsidRPr="00093E8E" w14:paraId="7E751D6D" w14:textId="77777777" w:rsidTr="00133C09">
        <w:trPr>
          <w:trHeight w:val="113"/>
        </w:trPr>
        <w:tc>
          <w:tcPr>
            <w:tcW w:w="1406" w:type="pct"/>
            <w:vMerge/>
          </w:tcPr>
          <w:p w14:paraId="692F4029" w14:textId="77777777" w:rsidR="00215226" w:rsidRPr="00093E8E" w:rsidRDefault="00215226" w:rsidP="00133C09">
            <w:pPr>
              <w:pStyle w:val="Normal-TableText"/>
            </w:pPr>
          </w:p>
        </w:tc>
        <w:tc>
          <w:tcPr>
            <w:tcW w:w="3594" w:type="pct"/>
          </w:tcPr>
          <w:p w14:paraId="54BD5510" w14:textId="77777777" w:rsidR="00215226" w:rsidRPr="00093E8E" w:rsidRDefault="00215226" w:rsidP="00133C09">
            <w:pPr>
              <w:pStyle w:val="Normal-TableText"/>
            </w:pPr>
            <w:r w:rsidRPr="00093E8E">
              <w:t xml:space="preserve">V3 </w:t>
            </w:r>
            <w:r w:rsidRPr="00C6440C">
              <w:t>(</w:t>
            </w:r>
            <w:r w:rsidRPr="00093E8E">
              <w:t>2)</w:t>
            </w:r>
          </w:p>
        </w:tc>
      </w:tr>
      <w:tr w:rsidR="00215226" w:rsidRPr="00093E8E" w14:paraId="7FCFBE16" w14:textId="77777777" w:rsidTr="00133C09">
        <w:trPr>
          <w:trHeight w:val="113"/>
        </w:trPr>
        <w:tc>
          <w:tcPr>
            <w:tcW w:w="1406" w:type="pct"/>
            <w:vMerge w:val="restart"/>
          </w:tcPr>
          <w:p w14:paraId="6DF6DDE6" w14:textId="77777777" w:rsidR="00215226" w:rsidRPr="00093E8E" w:rsidRDefault="00215226" w:rsidP="00133C09">
            <w:pPr>
              <w:pStyle w:val="Normal-TableText"/>
            </w:pPr>
            <w:r w:rsidRPr="00C6440C">
              <w:t>Ser</w:t>
            </w:r>
            <w:r w:rsidRPr="00093E8E">
              <w:t>i</w:t>
            </w:r>
            <w:r w:rsidRPr="00C6440C">
              <w:t>a</w:t>
            </w:r>
            <w:r w:rsidRPr="00093E8E">
              <w:t>l Numb</w:t>
            </w:r>
            <w:r w:rsidRPr="00C6440C">
              <w:t>er</w:t>
            </w:r>
          </w:p>
        </w:tc>
        <w:tc>
          <w:tcPr>
            <w:tcW w:w="3594" w:type="pct"/>
          </w:tcPr>
          <w:p w14:paraId="32ABB1C6" w14:textId="77777777" w:rsidR="00215226" w:rsidRPr="00093E8E" w:rsidRDefault="00215226" w:rsidP="00133C09">
            <w:pPr>
              <w:pStyle w:val="Normal-TableText"/>
            </w:pPr>
            <w:r w:rsidRPr="00C6440C">
              <w:rPr>
                <w:rStyle w:val="Strong"/>
              </w:rPr>
              <w:t>Required</w:t>
            </w:r>
          </w:p>
        </w:tc>
      </w:tr>
      <w:tr w:rsidR="00215226" w:rsidRPr="00093E8E" w14:paraId="1804893A" w14:textId="77777777" w:rsidTr="00133C09">
        <w:trPr>
          <w:trHeight w:val="113"/>
        </w:trPr>
        <w:tc>
          <w:tcPr>
            <w:tcW w:w="1406" w:type="pct"/>
            <w:vMerge/>
          </w:tcPr>
          <w:p w14:paraId="5FBC44EE" w14:textId="77777777" w:rsidR="00215226" w:rsidRPr="00093E8E" w:rsidRDefault="00215226" w:rsidP="00133C09">
            <w:pPr>
              <w:pStyle w:val="Normal-TableText"/>
            </w:pPr>
          </w:p>
        </w:tc>
        <w:tc>
          <w:tcPr>
            <w:tcW w:w="3594" w:type="pct"/>
          </w:tcPr>
          <w:p w14:paraId="54AD50E0" w14:textId="77777777" w:rsidR="00215226" w:rsidRPr="00093E8E" w:rsidRDefault="00215226" w:rsidP="00133C09">
            <w:pPr>
              <w:pStyle w:val="Normal-TableText"/>
            </w:pPr>
            <w:r w:rsidRPr="00093E8E">
              <w:t xml:space="preserve">Must </w:t>
            </w:r>
            <w:r w:rsidRPr="00C6440C">
              <w:t>b</w:t>
            </w:r>
            <w:r w:rsidRPr="00093E8E">
              <w:t>e</w:t>
            </w:r>
            <w:r w:rsidRPr="00C6440C">
              <w:t xml:space="preserve"> </w:t>
            </w:r>
            <w:r w:rsidRPr="00093E8E">
              <w:t>unique</w:t>
            </w:r>
            <w:r w:rsidRPr="00C6440C">
              <w:t xml:space="preserve"> to an I</w:t>
            </w:r>
            <w:r w:rsidRPr="00093E8E">
              <w:t>ssu</w:t>
            </w:r>
            <w:r w:rsidRPr="00C6440C">
              <w:t>e</w:t>
            </w:r>
            <w:r w:rsidRPr="00093E8E">
              <w:t>r</w:t>
            </w:r>
          </w:p>
        </w:tc>
      </w:tr>
      <w:tr w:rsidR="00215226" w:rsidRPr="00093E8E" w14:paraId="599A3197" w14:textId="77777777" w:rsidTr="00133C09">
        <w:trPr>
          <w:trHeight w:val="113"/>
        </w:trPr>
        <w:tc>
          <w:tcPr>
            <w:tcW w:w="1406" w:type="pct"/>
            <w:vMerge w:val="restart"/>
          </w:tcPr>
          <w:p w14:paraId="01114679" w14:textId="77777777" w:rsidR="00215226" w:rsidRPr="00093E8E" w:rsidRDefault="00215226" w:rsidP="00133C09">
            <w:pPr>
              <w:pStyle w:val="Normal-TableText"/>
            </w:pPr>
            <w:r w:rsidRPr="00C6440C">
              <w:t>I</w:t>
            </w:r>
            <w:r w:rsidRPr="00093E8E">
              <w:t>ss</w:t>
            </w:r>
            <w:r w:rsidRPr="00C6440C">
              <w:t>ue</w:t>
            </w:r>
            <w:r w:rsidRPr="00093E8E">
              <w:t>r</w:t>
            </w:r>
            <w:r w:rsidRPr="00C6440C">
              <w:t xml:space="preserve"> S</w:t>
            </w:r>
            <w:r w:rsidRPr="00093E8E">
              <w:t>i</w:t>
            </w:r>
            <w:r w:rsidRPr="00C6440C">
              <w:t>gna</w:t>
            </w:r>
            <w:r w:rsidRPr="00093E8E">
              <w:t>tu</w:t>
            </w:r>
            <w:r w:rsidRPr="00C6440C">
              <w:t>r</w:t>
            </w:r>
            <w:r w:rsidRPr="00093E8E">
              <w:t>e</w:t>
            </w:r>
            <w:r w:rsidRPr="00C6440C">
              <w:t xml:space="preserve"> </w:t>
            </w:r>
            <w:r w:rsidRPr="00093E8E">
              <w:t>A</w:t>
            </w:r>
            <w:r w:rsidRPr="00C6440C">
              <w:t>lg</w:t>
            </w:r>
            <w:r w:rsidRPr="00093E8E">
              <w:t>o</w:t>
            </w:r>
            <w:r w:rsidRPr="00C6440C">
              <w:t>r</w:t>
            </w:r>
            <w:r w:rsidRPr="00093E8E">
              <w:t>it</w:t>
            </w:r>
            <w:r w:rsidRPr="00C6440C">
              <w:t>h</w:t>
            </w:r>
            <w:r w:rsidRPr="00093E8E">
              <w:t>m</w:t>
            </w:r>
          </w:p>
        </w:tc>
        <w:tc>
          <w:tcPr>
            <w:tcW w:w="3594" w:type="pct"/>
          </w:tcPr>
          <w:p w14:paraId="0EC93F9D" w14:textId="77777777" w:rsidR="00215226" w:rsidRPr="00093E8E" w:rsidRDefault="00215226" w:rsidP="00133C09">
            <w:pPr>
              <w:pStyle w:val="Normal-TableText"/>
            </w:pPr>
            <w:r w:rsidRPr="00C6440C">
              <w:rPr>
                <w:rStyle w:val="Strong"/>
              </w:rPr>
              <w:t>Required</w:t>
            </w:r>
          </w:p>
        </w:tc>
      </w:tr>
      <w:tr w:rsidR="00215226" w:rsidRPr="00093E8E" w14:paraId="3B5BEC41" w14:textId="77777777" w:rsidTr="00133C09">
        <w:trPr>
          <w:trHeight w:val="113"/>
        </w:trPr>
        <w:tc>
          <w:tcPr>
            <w:tcW w:w="1406" w:type="pct"/>
            <w:vMerge/>
          </w:tcPr>
          <w:p w14:paraId="0B6D651B" w14:textId="77777777" w:rsidR="00215226" w:rsidRPr="00093E8E" w:rsidRDefault="00215226" w:rsidP="00133C09">
            <w:pPr>
              <w:pStyle w:val="Normal-TableText"/>
            </w:pPr>
          </w:p>
        </w:tc>
        <w:tc>
          <w:tcPr>
            <w:tcW w:w="3594" w:type="pct"/>
          </w:tcPr>
          <w:p w14:paraId="7ECC8689" w14:textId="77777777" w:rsidR="00215226" w:rsidRPr="00C6440C" w:rsidRDefault="00215226" w:rsidP="00E86119">
            <w:pPr>
              <w:pStyle w:val="Bullet1"/>
            </w:pPr>
            <w:r w:rsidRPr="00C6440C">
              <w:rPr>
                <w:rStyle w:val="Strong"/>
              </w:rPr>
              <w:t>sha256WithRSAEncryption {1 2 840 113549 1 1 11}</w:t>
            </w:r>
          </w:p>
          <w:p w14:paraId="07522BC9" w14:textId="77777777" w:rsidR="00215226" w:rsidRPr="00093E8E" w:rsidRDefault="00215226" w:rsidP="00133C09">
            <w:pPr>
              <w:pStyle w:val="Normal-TableText"/>
            </w:pPr>
            <w:r w:rsidRPr="00093E8E">
              <w:t>Or</w:t>
            </w:r>
            <w:r w:rsidRPr="00C6440C">
              <w:t xml:space="preserve"> </w:t>
            </w:r>
            <w:r w:rsidRPr="00093E8E">
              <w:t>one</w:t>
            </w:r>
            <w:r w:rsidRPr="00C6440C">
              <w:t xml:space="preserve"> </w:t>
            </w:r>
            <w:r w:rsidRPr="00093E8E">
              <w:t>of</w:t>
            </w:r>
            <w:r w:rsidRPr="00C6440C">
              <w:t xml:space="preserve"> </w:t>
            </w:r>
            <w:r w:rsidRPr="00093E8E">
              <w:t>the</w:t>
            </w:r>
            <w:r w:rsidRPr="00C6440C">
              <w:t xml:space="preserve"> f</w:t>
            </w:r>
            <w:r w:rsidRPr="00093E8E">
              <w:t>ollowing</w:t>
            </w:r>
            <w:r w:rsidRPr="00C6440C">
              <w:t xml:space="preserve"> s</w:t>
            </w:r>
            <w:r w:rsidRPr="00093E8E">
              <w:t>i</w:t>
            </w:r>
            <w:r w:rsidRPr="00C6440C">
              <w:t>g</w:t>
            </w:r>
            <w:r w:rsidRPr="00093E8E">
              <w:t>n</w:t>
            </w:r>
            <w:r w:rsidRPr="00C6440C">
              <w:t>a</w:t>
            </w:r>
            <w:r w:rsidRPr="00093E8E">
              <w:t>tu</w:t>
            </w:r>
            <w:r w:rsidRPr="00C6440C">
              <w:t>r</w:t>
            </w:r>
            <w:r w:rsidRPr="00093E8E">
              <w:t>e</w:t>
            </w:r>
            <w:r w:rsidRPr="00C6440C">
              <w:t xml:space="preserve"> alg</w:t>
            </w:r>
            <w:r w:rsidRPr="00093E8E">
              <w:t>o</w:t>
            </w:r>
            <w:r w:rsidRPr="00C6440C">
              <w:t>r</w:t>
            </w:r>
            <w:r w:rsidRPr="00093E8E">
              <w:t>ithms:</w:t>
            </w:r>
          </w:p>
          <w:p w14:paraId="766674CA" w14:textId="77777777" w:rsidR="00215226" w:rsidRPr="00093E8E" w:rsidRDefault="00215226" w:rsidP="00E86119">
            <w:pPr>
              <w:pStyle w:val="Bullet1"/>
            </w:pPr>
            <w:r w:rsidRPr="00093E8E">
              <w:t>sh</w:t>
            </w:r>
            <w:r w:rsidRPr="00C6440C">
              <w:t>a</w:t>
            </w:r>
            <w:r w:rsidRPr="00093E8E">
              <w:t>224</w:t>
            </w:r>
            <w:r w:rsidRPr="00C6440C">
              <w:t>W</w:t>
            </w:r>
            <w:r w:rsidRPr="00093E8E">
              <w:t>ith</w:t>
            </w:r>
            <w:r w:rsidRPr="00C6440C">
              <w:t>RS</w:t>
            </w:r>
            <w:r w:rsidRPr="00093E8E">
              <w:t>AEn</w:t>
            </w:r>
            <w:r w:rsidRPr="00C6440C">
              <w:t>cry</w:t>
            </w:r>
            <w:r w:rsidR="00133C09">
              <w:t>ption {1 2 840 113549 1 1 14}</w:t>
            </w:r>
          </w:p>
          <w:p w14:paraId="539B611E" w14:textId="77777777" w:rsidR="00215226" w:rsidRPr="00093E8E" w:rsidRDefault="00215226" w:rsidP="00E86119">
            <w:pPr>
              <w:pStyle w:val="Bullet1"/>
            </w:pPr>
            <w:r w:rsidRPr="00093E8E">
              <w:t>sh</w:t>
            </w:r>
            <w:r w:rsidRPr="00C6440C">
              <w:t>a</w:t>
            </w:r>
            <w:r w:rsidRPr="00093E8E">
              <w:t>384</w:t>
            </w:r>
            <w:r w:rsidRPr="00C6440C">
              <w:t>W</w:t>
            </w:r>
            <w:r w:rsidRPr="00093E8E">
              <w:t>ith</w:t>
            </w:r>
            <w:r w:rsidRPr="00C6440C">
              <w:t>RS</w:t>
            </w:r>
            <w:r w:rsidRPr="00093E8E">
              <w:t>AEn</w:t>
            </w:r>
            <w:r w:rsidRPr="00C6440C">
              <w:t>cry</w:t>
            </w:r>
            <w:r w:rsidRPr="00093E8E">
              <w:t>ption {1 2 840 113549 1 1 12}</w:t>
            </w:r>
          </w:p>
          <w:p w14:paraId="0AE99FEE" w14:textId="77777777" w:rsidR="00215226" w:rsidRPr="00093E8E" w:rsidRDefault="00215226" w:rsidP="00133C09">
            <w:pPr>
              <w:pStyle w:val="Bullet1"/>
            </w:pPr>
            <w:r w:rsidRPr="00093E8E">
              <w:t>sh</w:t>
            </w:r>
            <w:r w:rsidRPr="00D825A0">
              <w:t>a</w:t>
            </w:r>
            <w:r w:rsidRPr="00093E8E">
              <w:t>512</w:t>
            </w:r>
            <w:r w:rsidRPr="00D825A0">
              <w:t>W</w:t>
            </w:r>
            <w:r w:rsidRPr="00093E8E">
              <w:t>ith</w:t>
            </w:r>
            <w:r w:rsidRPr="00D825A0">
              <w:t>RS</w:t>
            </w:r>
            <w:r w:rsidRPr="00093E8E">
              <w:t>AEn</w:t>
            </w:r>
            <w:r w:rsidRPr="00D825A0">
              <w:t>cry</w:t>
            </w:r>
            <w:r w:rsidRPr="00093E8E">
              <w:t>ption {1 2 840 113549 1 1 13}</w:t>
            </w:r>
          </w:p>
          <w:p w14:paraId="3FA933BE" w14:textId="77777777" w:rsidR="00215226" w:rsidRPr="00093E8E" w:rsidRDefault="00215226" w:rsidP="00133C09">
            <w:pPr>
              <w:pStyle w:val="Bullet1"/>
            </w:pPr>
            <w:r w:rsidRPr="00D825A0">
              <w:t>ec</w:t>
            </w:r>
            <w:r w:rsidRPr="00093E8E">
              <w:t>ds</w:t>
            </w:r>
            <w:r w:rsidRPr="00D825A0">
              <w:t>a-</w:t>
            </w:r>
            <w:r w:rsidRPr="00093E8E">
              <w:t>with</w:t>
            </w:r>
            <w:r w:rsidRPr="00D825A0">
              <w:t>-S</w:t>
            </w:r>
            <w:r w:rsidRPr="00093E8E">
              <w:t xml:space="preserve">HA1 {1 2 </w:t>
            </w:r>
            <w:r w:rsidRPr="00D825A0">
              <w:t>8</w:t>
            </w:r>
            <w:r w:rsidRPr="00093E8E">
              <w:t>40 10045 4 1}</w:t>
            </w:r>
          </w:p>
          <w:p w14:paraId="5932E866" w14:textId="77777777" w:rsidR="00215226" w:rsidRPr="00093E8E" w:rsidRDefault="00215226" w:rsidP="00133C09">
            <w:pPr>
              <w:pStyle w:val="Bullet1"/>
            </w:pPr>
            <w:r w:rsidRPr="00D825A0">
              <w:t>ec</w:t>
            </w:r>
            <w:r w:rsidRPr="00093E8E">
              <w:t>ds</w:t>
            </w:r>
            <w:r w:rsidRPr="00D825A0">
              <w:t>a-</w:t>
            </w:r>
            <w:r w:rsidRPr="00093E8E">
              <w:t>with</w:t>
            </w:r>
            <w:r w:rsidRPr="00D825A0">
              <w:t>-S</w:t>
            </w:r>
            <w:r w:rsidRPr="00093E8E">
              <w:t>HA256 {1 2</w:t>
            </w:r>
            <w:r w:rsidRPr="00D825A0">
              <w:t xml:space="preserve"> </w:t>
            </w:r>
            <w:r w:rsidRPr="00093E8E">
              <w:t>840 10045 4 3 2}</w:t>
            </w:r>
          </w:p>
          <w:p w14:paraId="110A6BDF" w14:textId="77777777" w:rsidR="00215226" w:rsidRPr="00093E8E" w:rsidRDefault="00215226" w:rsidP="00133C09">
            <w:pPr>
              <w:pStyle w:val="Bullet1"/>
            </w:pPr>
            <w:r w:rsidRPr="00D825A0">
              <w:t>ec</w:t>
            </w:r>
            <w:r w:rsidRPr="00093E8E">
              <w:t>ds</w:t>
            </w:r>
            <w:r w:rsidRPr="00D825A0">
              <w:t>a-</w:t>
            </w:r>
            <w:r w:rsidRPr="00093E8E">
              <w:t>with</w:t>
            </w:r>
            <w:r w:rsidRPr="00D825A0">
              <w:t>-S</w:t>
            </w:r>
            <w:r w:rsidRPr="00093E8E">
              <w:t>HA384 {1 2</w:t>
            </w:r>
            <w:r w:rsidRPr="00D825A0">
              <w:t xml:space="preserve"> </w:t>
            </w:r>
            <w:r w:rsidRPr="00093E8E">
              <w:t>840 10045 4 3 3}</w:t>
            </w:r>
          </w:p>
          <w:p w14:paraId="57D9032E" w14:textId="77777777" w:rsidR="00215226" w:rsidRPr="00093E8E" w:rsidRDefault="00215226" w:rsidP="00133C09">
            <w:pPr>
              <w:pStyle w:val="Bullet1"/>
            </w:pPr>
            <w:r w:rsidRPr="00D825A0">
              <w:t>ec</w:t>
            </w:r>
            <w:r w:rsidRPr="00093E8E">
              <w:t>ds</w:t>
            </w:r>
            <w:r w:rsidRPr="00D825A0">
              <w:t>a-</w:t>
            </w:r>
            <w:r w:rsidRPr="00093E8E">
              <w:t>with</w:t>
            </w:r>
            <w:r w:rsidRPr="00D825A0">
              <w:t>-S</w:t>
            </w:r>
            <w:r w:rsidRPr="00093E8E">
              <w:t>HA512 {1 2</w:t>
            </w:r>
            <w:r w:rsidRPr="00D825A0">
              <w:t xml:space="preserve"> </w:t>
            </w:r>
            <w:r w:rsidRPr="00093E8E">
              <w:t>840 10045 4</w:t>
            </w:r>
            <w:r>
              <w:t xml:space="preserve"> </w:t>
            </w:r>
            <w:r w:rsidRPr="00093E8E">
              <w:t>3 4}</w:t>
            </w:r>
          </w:p>
        </w:tc>
      </w:tr>
      <w:tr w:rsidR="00215226" w:rsidRPr="00093E8E" w14:paraId="44587CCB" w14:textId="77777777" w:rsidTr="00133C09">
        <w:trPr>
          <w:trHeight w:val="113"/>
        </w:trPr>
        <w:tc>
          <w:tcPr>
            <w:tcW w:w="1406" w:type="pct"/>
            <w:vMerge w:val="restart"/>
          </w:tcPr>
          <w:p w14:paraId="50834CB5" w14:textId="77777777" w:rsidR="00215226" w:rsidRPr="00093E8E" w:rsidRDefault="00215226" w:rsidP="00133C09">
            <w:pPr>
              <w:pStyle w:val="Normal-TableText"/>
            </w:pPr>
            <w:r w:rsidRPr="00C6440C">
              <w:t>I</w:t>
            </w:r>
            <w:r w:rsidRPr="00093E8E">
              <w:t>ss</w:t>
            </w:r>
            <w:r w:rsidRPr="00C6440C">
              <w:t>ue</w:t>
            </w:r>
            <w:r w:rsidRPr="00093E8E">
              <w:t>r</w:t>
            </w:r>
            <w:r w:rsidRPr="00C6440C">
              <w:t xml:space="preserve"> </w:t>
            </w:r>
            <w:r w:rsidRPr="00093E8E">
              <w:t>Distin</w:t>
            </w:r>
            <w:r w:rsidRPr="00C6440C">
              <w:t>g</w:t>
            </w:r>
            <w:r w:rsidRPr="00093E8E">
              <w:t>uish</w:t>
            </w:r>
            <w:r w:rsidRPr="00C6440C">
              <w:t>e</w:t>
            </w:r>
            <w:r w:rsidRPr="00093E8E">
              <w:t>d</w:t>
            </w:r>
            <w:r w:rsidRPr="00C6440C">
              <w:t xml:space="preserve"> </w:t>
            </w:r>
            <w:r w:rsidRPr="00093E8E">
              <w:t>N</w:t>
            </w:r>
            <w:r w:rsidRPr="00C6440C">
              <w:t>a</w:t>
            </w:r>
            <w:r w:rsidRPr="00093E8E">
              <w:t>me</w:t>
            </w:r>
          </w:p>
        </w:tc>
        <w:tc>
          <w:tcPr>
            <w:tcW w:w="3594" w:type="pct"/>
          </w:tcPr>
          <w:p w14:paraId="5822A673" w14:textId="77777777" w:rsidR="00215226" w:rsidRPr="00093E8E" w:rsidRDefault="00215226" w:rsidP="00133C09">
            <w:pPr>
              <w:pStyle w:val="Normal-TableText"/>
            </w:pPr>
            <w:r w:rsidRPr="00C6440C">
              <w:rPr>
                <w:rStyle w:val="Strong"/>
              </w:rPr>
              <w:t>Required</w:t>
            </w:r>
          </w:p>
        </w:tc>
      </w:tr>
      <w:tr w:rsidR="00215226" w:rsidRPr="00093E8E" w14:paraId="111DE1D2" w14:textId="77777777" w:rsidTr="00133C09">
        <w:trPr>
          <w:trHeight w:val="113"/>
        </w:trPr>
        <w:tc>
          <w:tcPr>
            <w:tcW w:w="1406" w:type="pct"/>
            <w:vMerge/>
          </w:tcPr>
          <w:p w14:paraId="11B84A9F" w14:textId="77777777" w:rsidR="00215226" w:rsidRPr="00093E8E" w:rsidRDefault="00215226" w:rsidP="00133C09">
            <w:pPr>
              <w:pStyle w:val="Normal-TableText"/>
            </w:pPr>
          </w:p>
        </w:tc>
        <w:tc>
          <w:tcPr>
            <w:tcW w:w="3594" w:type="pct"/>
          </w:tcPr>
          <w:p w14:paraId="66136530" w14:textId="77777777" w:rsidR="00215226" w:rsidRPr="00093E8E" w:rsidRDefault="00215226" w:rsidP="00133C09">
            <w:pPr>
              <w:pStyle w:val="Normal-TableText"/>
            </w:pPr>
            <w:r w:rsidRPr="00093E8E">
              <w:t>E</w:t>
            </w:r>
            <w:r w:rsidRPr="00C6440C">
              <w:t>ac</w:t>
            </w:r>
            <w:r w:rsidRPr="00093E8E">
              <w:t xml:space="preserve">h </w:t>
            </w:r>
            <w:r w:rsidRPr="00C6440C">
              <w:t>R</w:t>
            </w:r>
            <w:r w:rsidRPr="00093E8E">
              <w:t>DN is a</w:t>
            </w:r>
            <w:r w:rsidRPr="00C6440C">
              <w:t xml:space="preserve"> </w:t>
            </w:r>
            <w:r w:rsidRPr="00093E8E">
              <w:t>p</w:t>
            </w:r>
            <w:r w:rsidRPr="00C6440C">
              <w:t>r</w:t>
            </w:r>
            <w:r w:rsidRPr="00093E8E">
              <w:t>int</w:t>
            </w:r>
            <w:r w:rsidRPr="00C6440C">
              <w:t>a</w:t>
            </w:r>
            <w:r w:rsidRPr="00093E8E">
              <w:t>b</w:t>
            </w:r>
            <w:r w:rsidRPr="00C6440C">
              <w:t>leS</w:t>
            </w:r>
            <w:r w:rsidRPr="00093E8E">
              <w:t>t</w:t>
            </w:r>
            <w:r w:rsidRPr="00C6440C">
              <w:t>r</w:t>
            </w:r>
            <w:r w:rsidRPr="00093E8E">
              <w:t>ing</w:t>
            </w:r>
            <w:r w:rsidRPr="00C6440C">
              <w:t xml:space="preserve"> a</w:t>
            </w:r>
            <w:r w:rsidRPr="00093E8E">
              <w:t xml:space="preserve">nd </w:t>
            </w:r>
            <w:r w:rsidRPr="00C6440C">
              <w:t>c</w:t>
            </w:r>
            <w:r w:rsidRPr="00093E8E">
              <w:t>ont</w:t>
            </w:r>
            <w:r w:rsidRPr="00C6440C">
              <w:t>a</w:t>
            </w:r>
            <w:r w:rsidRPr="00093E8E">
              <w:t>ins</w:t>
            </w:r>
            <w:r w:rsidRPr="00C6440C">
              <w:t xml:space="preserve"> </w:t>
            </w:r>
            <w:r w:rsidRPr="00093E8E">
              <w:t>a</w:t>
            </w:r>
            <w:r w:rsidRPr="00C6440C">
              <w:t xml:space="preserve"> </w:t>
            </w:r>
            <w:r w:rsidRPr="00093E8E">
              <w:t>sin</w:t>
            </w:r>
            <w:r w:rsidRPr="00C6440C">
              <w:t>g</w:t>
            </w:r>
            <w:r w:rsidRPr="00093E8E">
              <w:t>le</w:t>
            </w:r>
            <w:r w:rsidRPr="00C6440C">
              <w:t xml:space="preserve"> a</w:t>
            </w:r>
            <w:r w:rsidRPr="00093E8E">
              <w:t>tt</w:t>
            </w:r>
            <w:r w:rsidRPr="00C6440C">
              <w:t>r</w:t>
            </w:r>
            <w:r w:rsidRPr="00093E8E">
              <w:t>ibute</w:t>
            </w:r>
            <w:r w:rsidRPr="00C6440C">
              <w:t xml:space="preserve"> typ</w:t>
            </w:r>
            <w:r w:rsidRPr="00093E8E">
              <w:t xml:space="preserve">e </w:t>
            </w:r>
            <w:r w:rsidRPr="00C6440C">
              <w:t>a</w:t>
            </w:r>
            <w:r w:rsidRPr="00093E8E">
              <w:t xml:space="preserve">nd </w:t>
            </w:r>
            <w:r w:rsidRPr="00C6440C">
              <w:t>a</w:t>
            </w:r>
            <w:r w:rsidRPr="00093E8E">
              <w:t>tt</w:t>
            </w:r>
            <w:r w:rsidRPr="00C6440C">
              <w:t>r</w:t>
            </w:r>
            <w:r w:rsidRPr="00093E8E">
              <w:t>ibute</w:t>
            </w:r>
            <w:r w:rsidRPr="00C6440C">
              <w:t xml:space="preserve"> </w:t>
            </w:r>
            <w:r w:rsidRPr="00093E8E">
              <w:t>v</w:t>
            </w:r>
            <w:r w:rsidRPr="00C6440C">
              <w:t>a</w:t>
            </w:r>
            <w:r w:rsidRPr="00093E8E">
              <w:t>lue</w:t>
            </w:r>
            <w:r w:rsidRPr="00C6440C">
              <w:t xml:space="preserve"> </w:t>
            </w:r>
            <w:r w:rsidRPr="00093E8E">
              <w:t>tuple</w:t>
            </w:r>
          </w:p>
        </w:tc>
      </w:tr>
      <w:tr w:rsidR="00215226" w:rsidRPr="00093E8E" w14:paraId="5DB75692" w14:textId="77777777" w:rsidTr="00133C09">
        <w:trPr>
          <w:trHeight w:val="113"/>
        </w:trPr>
        <w:tc>
          <w:tcPr>
            <w:tcW w:w="1406" w:type="pct"/>
            <w:vMerge w:val="restart"/>
          </w:tcPr>
          <w:p w14:paraId="426CE0AC" w14:textId="77777777" w:rsidR="00215226" w:rsidRPr="00093E8E" w:rsidRDefault="00215226" w:rsidP="008A2321">
            <w:pPr>
              <w:pStyle w:val="Normal-TableText"/>
              <w:keepNext/>
            </w:pPr>
            <w:r w:rsidRPr="00093E8E">
              <w:lastRenderedPageBreak/>
              <w:t>V</w:t>
            </w:r>
            <w:r w:rsidRPr="00C6440C">
              <w:t>a</w:t>
            </w:r>
            <w:r w:rsidRPr="00093E8E">
              <w:t>lidi</w:t>
            </w:r>
            <w:r w:rsidRPr="00C6440C">
              <w:t>t</w:t>
            </w:r>
            <w:r w:rsidRPr="00093E8E">
              <w:t>y</w:t>
            </w:r>
            <w:r w:rsidRPr="00C6440C">
              <w:t xml:space="preserve"> Per</w:t>
            </w:r>
            <w:r w:rsidRPr="00093E8E">
              <w:t>iod</w:t>
            </w:r>
          </w:p>
        </w:tc>
        <w:tc>
          <w:tcPr>
            <w:tcW w:w="3594" w:type="pct"/>
          </w:tcPr>
          <w:p w14:paraId="65F406D7" w14:textId="77777777" w:rsidR="00215226" w:rsidRPr="00093E8E" w:rsidRDefault="00215226" w:rsidP="008A2321">
            <w:pPr>
              <w:pStyle w:val="Normal-TableText"/>
              <w:keepNext/>
              <w:keepLines/>
            </w:pPr>
            <w:r w:rsidRPr="00C6440C">
              <w:rPr>
                <w:rStyle w:val="Strong"/>
              </w:rPr>
              <w:t>Required</w:t>
            </w:r>
          </w:p>
        </w:tc>
      </w:tr>
      <w:tr w:rsidR="00215226" w:rsidRPr="00093E8E" w14:paraId="0416CDCB" w14:textId="77777777" w:rsidTr="00133C09">
        <w:trPr>
          <w:trHeight w:val="113"/>
        </w:trPr>
        <w:tc>
          <w:tcPr>
            <w:tcW w:w="1406" w:type="pct"/>
            <w:vMerge/>
          </w:tcPr>
          <w:p w14:paraId="5D811187" w14:textId="77777777" w:rsidR="00215226" w:rsidRPr="00093E8E" w:rsidRDefault="00215226" w:rsidP="00133C09">
            <w:pPr>
              <w:pStyle w:val="Normal-TableText"/>
            </w:pPr>
          </w:p>
        </w:tc>
        <w:tc>
          <w:tcPr>
            <w:tcW w:w="3594" w:type="pct"/>
          </w:tcPr>
          <w:p w14:paraId="3B8A56DD" w14:textId="77777777" w:rsidR="00215226" w:rsidRPr="00093E8E" w:rsidRDefault="00215226" w:rsidP="008A2321">
            <w:pPr>
              <w:pStyle w:val="Normal-TableText"/>
              <w:keepLines/>
            </w:pPr>
            <w:r w:rsidRPr="00093E8E">
              <w:t>Maximum of 20 years from date of issue in UTC format if using 112</w:t>
            </w:r>
            <w:r w:rsidR="004628D5">
              <w:noBreakHyphen/>
            </w:r>
            <w:r w:rsidRPr="00093E8E">
              <w:t>bits of security</w:t>
            </w:r>
          </w:p>
          <w:p w14:paraId="45332890" w14:textId="77777777" w:rsidR="00215226" w:rsidRDefault="00215226" w:rsidP="008A2321">
            <w:pPr>
              <w:pStyle w:val="Normal-TableText"/>
              <w:keepLines/>
            </w:pPr>
            <w:r w:rsidRPr="00093E8E">
              <w:t>M</w:t>
            </w:r>
            <w:r w:rsidRPr="00C6440C">
              <w:t>ax</w:t>
            </w:r>
            <w:r w:rsidRPr="00093E8E">
              <w:t>imum 30</w:t>
            </w:r>
            <w:r w:rsidRPr="00C6440C">
              <w:t xml:space="preserve"> year</w:t>
            </w:r>
            <w:r w:rsidRPr="00093E8E">
              <w:t xml:space="preserve">s </w:t>
            </w:r>
            <w:r w:rsidRPr="00C6440C">
              <w:t>fr</w:t>
            </w:r>
            <w:r w:rsidRPr="00093E8E">
              <w:t xml:space="preserve">om </w:t>
            </w:r>
            <w:r w:rsidRPr="00C6440C">
              <w:t>da</w:t>
            </w:r>
            <w:r w:rsidRPr="00093E8E">
              <w:t>te</w:t>
            </w:r>
            <w:r w:rsidRPr="00C6440C">
              <w:t xml:space="preserve"> </w:t>
            </w:r>
            <w:r w:rsidRPr="00093E8E">
              <w:t>of</w:t>
            </w:r>
            <w:r w:rsidRPr="00C6440C">
              <w:t xml:space="preserve"> </w:t>
            </w:r>
            <w:r w:rsidRPr="00093E8E">
              <w:t>issue</w:t>
            </w:r>
            <w:r w:rsidRPr="00C6440C">
              <w:t xml:space="preserve"> </w:t>
            </w:r>
            <w:r w:rsidRPr="00093E8E">
              <w:t>in UT</w:t>
            </w:r>
            <w:r w:rsidRPr="00C6440C">
              <w:t>C</w:t>
            </w:r>
            <w:r w:rsidRPr="00093E8E">
              <w:t xml:space="preserve"> </w:t>
            </w:r>
            <w:r w:rsidRPr="00C6440C">
              <w:t>f</w:t>
            </w:r>
            <w:r w:rsidRPr="00093E8E">
              <w:t>o</w:t>
            </w:r>
            <w:r w:rsidRPr="00C6440C">
              <w:t>r</w:t>
            </w:r>
            <w:r w:rsidRPr="00093E8E">
              <w:t>m</w:t>
            </w:r>
            <w:r w:rsidRPr="00C6440C">
              <w:t>a</w:t>
            </w:r>
            <w:r w:rsidRPr="00093E8E">
              <w:t>t if using at least 128-bits of security.</w:t>
            </w:r>
          </w:p>
          <w:p w14:paraId="56A7F2B4" w14:textId="77777777" w:rsidR="00215226" w:rsidRPr="00093E8E" w:rsidRDefault="00215226" w:rsidP="008A2321">
            <w:pPr>
              <w:pStyle w:val="Normal-TableText"/>
              <w:keepLines/>
            </w:pPr>
            <w:r w:rsidRPr="00093E8E">
              <w:t>Not</w:t>
            </w:r>
            <w:r w:rsidRPr="00C6440C">
              <w:t>e</w:t>
            </w:r>
            <w:r w:rsidRPr="00093E8E">
              <w:t>: the</w:t>
            </w:r>
            <w:r w:rsidRPr="00C6440C">
              <w:t xml:space="preserve"> </w:t>
            </w:r>
            <w:r w:rsidRPr="00093E8E">
              <w:t>not</w:t>
            </w:r>
            <w:r w:rsidRPr="00C6440C">
              <w:t>Bef</w:t>
            </w:r>
            <w:r w:rsidRPr="00093E8E">
              <w:t>o</w:t>
            </w:r>
            <w:r w:rsidRPr="00C6440C">
              <w:t>r</w:t>
            </w:r>
            <w:r w:rsidRPr="00093E8E">
              <w:t>e</w:t>
            </w:r>
            <w:r w:rsidRPr="00C6440C">
              <w:t xml:space="preserve"> c</w:t>
            </w:r>
            <w:r w:rsidRPr="00093E8E">
              <w:t>ompon</w:t>
            </w:r>
            <w:r w:rsidRPr="00C6440C">
              <w:t>e</w:t>
            </w:r>
            <w:r w:rsidRPr="00093E8E">
              <w:t>nt will be</w:t>
            </w:r>
            <w:r w:rsidRPr="00C6440C">
              <w:t xml:space="preserve"> </w:t>
            </w:r>
            <w:r w:rsidRPr="00093E8E">
              <w:t>the</w:t>
            </w:r>
            <w:r w:rsidRPr="00C6440C">
              <w:t xml:space="preserve"> cer</w:t>
            </w:r>
            <w:r w:rsidRPr="00093E8E">
              <w:t>ti</w:t>
            </w:r>
            <w:r w:rsidRPr="00C6440C">
              <w:t>fica</w:t>
            </w:r>
            <w:r w:rsidRPr="00093E8E">
              <w:t>t</w:t>
            </w:r>
            <w:r w:rsidRPr="00C6440C">
              <w:t>e’</w:t>
            </w:r>
            <w:r w:rsidRPr="00093E8E">
              <w:t>s issue</w:t>
            </w:r>
            <w:r w:rsidRPr="00C6440C">
              <w:t xml:space="preserve"> da</w:t>
            </w:r>
            <w:r w:rsidRPr="00093E8E">
              <w:t>t</w:t>
            </w:r>
            <w:r w:rsidRPr="00C6440C">
              <w:t xml:space="preserve">e. </w:t>
            </w:r>
            <w:r w:rsidRPr="00093E8E">
              <w:t>The</w:t>
            </w:r>
            <w:r w:rsidR="004628D5">
              <w:t> </w:t>
            </w:r>
            <w:r w:rsidRPr="00093E8E">
              <w:t>notA</w:t>
            </w:r>
            <w:r w:rsidRPr="00C6440C">
              <w:t>f</w:t>
            </w:r>
            <w:r w:rsidRPr="00093E8E">
              <w:t>t</w:t>
            </w:r>
            <w:r w:rsidRPr="00C6440C">
              <w:t>e</w:t>
            </w:r>
            <w:r w:rsidRPr="00093E8E">
              <w:t>r</w:t>
            </w:r>
            <w:r w:rsidRPr="00C6440C">
              <w:t xml:space="preserve"> c</w:t>
            </w:r>
            <w:r w:rsidRPr="00093E8E">
              <w:t>ompon</w:t>
            </w:r>
            <w:r w:rsidRPr="00C6440C">
              <w:t>e</w:t>
            </w:r>
            <w:r w:rsidRPr="00093E8E">
              <w:t>nt</w:t>
            </w:r>
            <w:r w:rsidRPr="00C6440C">
              <w:t xml:space="preserve"> </w:t>
            </w:r>
            <w:r w:rsidRPr="00093E8E">
              <w:t>is the</w:t>
            </w:r>
            <w:r w:rsidRPr="00C6440C">
              <w:t xml:space="preserve"> </w:t>
            </w:r>
            <w:r w:rsidRPr="00093E8E">
              <w:t>d</w:t>
            </w:r>
            <w:r w:rsidRPr="00C6440C">
              <w:t>a</w:t>
            </w:r>
            <w:r w:rsidRPr="00093E8E">
              <w:t>y</w:t>
            </w:r>
            <w:r w:rsidRPr="00C6440C">
              <w:t xml:space="preserve"> e</w:t>
            </w:r>
            <w:r w:rsidRPr="00093E8E">
              <w:t>nding</w:t>
            </w:r>
            <w:r w:rsidRPr="00C6440C">
              <w:t xml:space="preserve"> </w:t>
            </w:r>
            <w:r w:rsidRPr="00093E8E">
              <w:t>t</w:t>
            </w:r>
            <w:r w:rsidRPr="00C6440C">
              <w:t>h</w:t>
            </w:r>
            <w:r w:rsidRPr="00093E8E">
              <w:t>e</w:t>
            </w:r>
            <w:r w:rsidRPr="00C6440C">
              <w:t xml:space="preserve"> </w:t>
            </w:r>
            <w:r w:rsidRPr="00093E8E">
              <w:t>v</w:t>
            </w:r>
            <w:r w:rsidRPr="00C6440C">
              <w:t>a</w:t>
            </w:r>
            <w:r w:rsidRPr="00093E8E">
              <w:t>l</w:t>
            </w:r>
            <w:r w:rsidRPr="00C6440C">
              <w:t>i</w:t>
            </w:r>
            <w:r w:rsidRPr="00093E8E">
              <w:t>di</w:t>
            </w:r>
            <w:r w:rsidRPr="00C6440C">
              <w:t>t</w:t>
            </w:r>
            <w:r w:rsidRPr="00093E8E">
              <w:t>y</w:t>
            </w:r>
            <w:r w:rsidRPr="00C6440C">
              <w:t xml:space="preserve"> </w:t>
            </w:r>
            <w:r w:rsidRPr="00093E8E">
              <w:t>p</w:t>
            </w:r>
            <w:r w:rsidRPr="00C6440C">
              <w:t>er</w:t>
            </w:r>
            <w:r w:rsidRPr="00093E8E">
              <w:t>iod.</w:t>
            </w:r>
          </w:p>
        </w:tc>
      </w:tr>
      <w:tr w:rsidR="00215226" w:rsidRPr="00093E8E" w14:paraId="42F742B7" w14:textId="77777777" w:rsidTr="00BD2B67">
        <w:trPr>
          <w:trHeight w:val="113"/>
        </w:trPr>
        <w:tc>
          <w:tcPr>
            <w:tcW w:w="1406" w:type="pct"/>
            <w:vMerge w:val="restart"/>
            <w:shd w:val="clear" w:color="auto" w:fill="auto"/>
          </w:tcPr>
          <w:p w14:paraId="79E19585" w14:textId="342B98E0" w:rsidR="00215226" w:rsidRPr="00093E8E" w:rsidRDefault="00215226" w:rsidP="00133C09">
            <w:pPr>
              <w:pStyle w:val="Normal-TableText"/>
            </w:pPr>
            <w:r w:rsidRPr="00C6440C">
              <w:t>S</w:t>
            </w:r>
            <w:r w:rsidRPr="00093E8E">
              <w:t>ubj</w:t>
            </w:r>
            <w:r w:rsidRPr="00C6440C">
              <w:t>ec</w:t>
            </w:r>
            <w:r w:rsidRPr="00093E8E">
              <w:t>t Distin</w:t>
            </w:r>
            <w:r w:rsidRPr="00C6440C">
              <w:t>g</w:t>
            </w:r>
            <w:r w:rsidRPr="00093E8E">
              <w:t>uish</w:t>
            </w:r>
            <w:r w:rsidRPr="00C6440C">
              <w:t>e</w:t>
            </w:r>
            <w:r w:rsidRPr="00093E8E">
              <w:t>d</w:t>
            </w:r>
            <w:r w:rsidR="00AD4117">
              <w:t xml:space="preserve"> </w:t>
            </w:r>
            <w:r w:rsidRPr="00093E8E">
              <w:t>N</w:t>
            </w:r>
            <w:r w:rsidRPr="00C6440C">
              <w:t>a</w:t>
            </w:r>
            <w:r w:rsidRPr="00093E8E">
              <w:t>me</w:t>
            </w:r>
          </w:p>
        </w:tc>
        <w:tc>
          <w:tcPr>
            <w:tcW w:w="3594" w:type="pct"/>
            <w:shd w:val="clear" w:color="auto" w:fill="auto"/>
          </w:tcPr>
          <w:p w14:paraId="5E321908" w14:textId="77777777" w:rsidR="00215226" w:rsidRPr="00BD2B67" w:rsidRDefault="00215226" w:rsidP="00133C09">
            <w:pPr>
              <w:pStyle w:val="Normal-TableText"/>
              <w:rPr>
                <w:rStyle w:val="Strong"/>
              </w:rPr>
            </w:pPr>
            <w:r w:rsidRPr="00BD2B67">
              <w:rPr>
                <w:rStyle w:val="Strong"/>
              </w:rPr>
              <w:t>Required</w:t>
            </w:r>
          </w:p>
        </w:tc>
      </w:tr>
      <w:tr w:rsidR="00215226" w:rsidRPr="00093E8E" w14:paraId="26F4F58D" w14:textId="77777777" w:rsidTr="00133C09">
        <w:trPr>
          <w:trHeight w:val="113"/>
        </w:trPr>
        <w:tc>
          <w:tcPr>
            <w:tcW w:w="1406" w:type="pct"/>
            <w:vMerge/>
          </w:tcPr>
          <w:p w14:paraId="22C73528" w14:textId="77777777" w:rsidR="00215226" w:rsidRPr="00093E8E" w:rsidRDefault="00215226" w:rsidP="00133C09">
            <w:pPr>
              <w:pStyle w:val="Normal-TableText"/>
            </w:pPr>
          </w:p>
        </w:tc>
        <w:tc>
          <w:tcPr>
            <w:tcW w:w="3594" w:type="pct"/>
          </w:tcPr>
          <w:p w14:paraId="4F4F0EBB" w14:textId="77777777" w:rsidR="00215226" w:rsidRPr="00093E8E" w:rsidRDefault="00215226" w:rsidP="00133C09">
            <w:pPr>
              <w:pStyle w:val="Normal-TableText"/>
            </w:pPr>
            <w:r w:rsidRPr="00093E8E">
              <w:t>E</w:t>
            </w:r>
            <w:r w:rsidRPr="00C6440C">
              <w:t>ac</w:t>
            </w:r>
            <w:r w:rsidRPr="00093E8E">
              <w:t xml:space="preserve">h </w:t>
            </w:r>
            <w:r w:rsidRPr="00C6440C">
              <w:t>R</w:t>
            </w:r>
            <w:r w:rsidRPr="00093E8E">
              <w:t>DN is a</w:t>
            </w:r>
            <w:r w:rsidRPr="00C6440C">
              <w:t xml:space="preserve"> </w:t>
            </w:r>
            <w:r w:rsidRPr="00093E8E">
              <w:t>p</w:t>
            </w:r>
            <w:r w:rsidRPr="00C6440C">
              <w:t>r</w:t>
            </w:r>
            <w:r w:rsidRPr="00093E8E">
              <w:t>int</w:t>
            </w:r>
            <w:r w:rsidRPr="00C6440C">
              <w:t>a</w:t>
            </w:r>
            <w:r w:rsidRPr="00093E8E">
              <w:t>b</w:t>
            </w:r>
            <w:r w:rsidRPr="00C6440C">
              <w:t>leS</w:t>
            </w:r>
            <w:r w:rsidRPr="00093E8E">
              <w:t>t</w:t>
            </w:r>
            <w:r w:rsidRPr="00C6440C">
              <w:t>r</w:t>
            </w:r>
            <w:r w:rsidRPr="00093E8E">
              <w:t>ing</w:t>
            </w:r>
            <w:r w:rsidRPr="00C6440C">
              <w:t xml:space="preserve"> a</w:t>
            </w:r>
            <w:r w:rsidRPr="00093E8E">
              <w:t xml:space="preserve">nd </w:t>
            </w:r>
            <w:r w:rsidRPr="00C6440C">
              <w:t>c</w:t>
            </w:r>
            <w:r w:rsidRPr="00093E8E">
              <w:t>ont</w:t>
            </w:r>
            <w:r w:rsidRPr="00C6440C">
              <w:t>a</w:t>
            </w:r>
            <w:r w:rsidRPr="00093E8E">
              <w:t>ins</w:t>
            </w:r>
            <w:r w:rsidRPr="00C6440C">
              <w:t xml:space="preserve"> </w:t>
            </w:r>
            <w:r w:rsidRPr="00093E8E">
              <w:t>a</w:t>
            </w:r>
            <w:r w:rsidRPr="00C6440C">
              <w:t xml:space="preserve"> </w:t>
            </w:r>
            <w:r w:rsidRPr="00093E8E">
              <w:t>sin</w:t>
            </w:r>
            <w:r w:rsidRPr="00C6440C">
              <w:t>g</w:t>
            </w:r>
            <w:r w:rsidRPr="00093E8E">
              <w:t>le</w:t>
            </w:r>
            <w:r w:rsidRPr="00C6440C">
              <w:t xml:space="preserve"> a</w:t>
            </w:r>
            <w:r w:rsidRPr="00093E8E">
              <w:t>tt</w:t>
            </w:r>
            <w:r w:rsidRPr="00C6440C">
              <w:t>r</w:t>
            </w:r>
            <w:r w:rsidRPr="00093E8E">
              <w:t>ibute</w:t>
            </w:r>
            <w:r w:rsidRPr="00C6440C">
              <w:t xml:space="preserve"> typ</w:t>
            </w:r>
            <w:r w:rsidRPr="00093E8E">
              <w:t xml:space="preserve">e </w:t>
            </w:r>
            <w:r w:rsidRPr="00C6440C">
              <w:t>a</w:t>
            </w:r>
            <w:r w:rsidRPr="00093E8E">
              <w:t xml:space="preserve">nd </w:t>
            </w:r>
            <w:r w:rsidRPr="00C6440C">
              <w:t>a</w:t>
            </w:r>
            <w:r w:rsidRPr="00093E8E">
              <w:t>tt</w:t>
            </w:r>
            <w:r w:rsidRPr="00C6440C">
              <w:t>r</w:t>
            </w:r>
            <w:r w:rsidRPr="00093E8E">
              <w:t>ibute</w:t>
            </w:r>
            <w:r w:rsidRPr="00C6440C">
              <w:t xml:space="preserve"> </w:t>
            </w:r>
            <w:r w:rsidRPr="00093E8E">
              <w:t>v</w:t>
            </w:r>
            <w:r w:rsidRPr="00C6440C">
              <w:t>a</w:t>
            </w:r>
            <w:r w:rsidRPr="00093E8E">
              <w:t>lue</w:t>
            </w:r>
            <w:r w:rsidRPr="00C6440C">
              <w:t xml:space="preserve"> </w:t>
            </w:r>
            <w:r w:rsidRPr="00093E8E">
              <w:t>tuple</w:t>
            </w:r>
          </w:p>
        </w:tc>
      </w:tr>
      <w:tr w:rsidR="00215226" w:rsidRPr="00093E8E" w14:paraId="4945C7DC" w14:textId="77777777" w:rsidTr="00133C09">
        <w:trPr>
          <w:trHeight w:val="113"/>
        </w:trPr>
        <w:tc>
          <w:tcPr>
            <w:tcW w:w="1406" w:type="pct"/>
            <w:vMerge w:val="restart"/>
          </w:tcPr>
          <w:p w14:paraId="1E7CDEFE" w14:textId="77777777" w:rsidR="00215226" w:rsidRPr="00093E8E" w:rsidRDefault="00215226" w:rsidP="00133C09">
            <w:pPr>
              <w:pStyle w:val="Normal-TableText"/>
            </w:pPr>
            <w:r w:rsidRPr="00C6440C">
              <w:t>S</w:t>
            </w:r>
            <w:r w:rsidRPr="00093E8E">
              <w:t>ubj</w:t>
            </w:r>
            <w:r w:rsidRPr="00C6440C">
              <w:t>ec</w:t>
            </w:r>
            <w:r w:rsidRPr="00093E8E">
              <w:t xml:space="preserve">t </w:t>
            </w:r>
            <w:r w:rsidRPr="00C6440C">
              <w:t>P</w:t>
            </w:r>
            <w:r w:rsidRPr="00093E8E">
              <w:t>ublic</w:t>
            </w:r>
            <w:r w:rsidRPr="00C6440C">
              <w:t xml:space="preserve"> </w:t>
            </w:r>
            <w:r w:rsidRPr="00093E8E">
              <w:t>K</w:t>
            </w:r>
            <w:r w:rsidRPr="00C6440C">
              <w:t>e</w:t>
            </w:r>
            <w:r w:rsidRPr="00093E8E">
              <w:t>y</w:t>
            </w:r>
            <w:r w:rsidR="00AD4117">
              <w:t xml:space="preserve"> </w:t>
            </w:r>
            <w:r w:rsidRPr="00C6440C">
              <w:t>Inf</w:t>
            </w:r>
            <w:r w:rsidRPr="00093E8E">
              <w:t>o</w:t>
            </w:r>
            <w:r w:rsidRPr="00C6440C">
              <w:t>r</w:t>
            </w:r>
            <w:r w:rsidRPr="00093E8E">
              <w:t>m</w:t>
            </w:r>
            <w:r w:rsidRPr="00C6440C">
              <w:t>a</w:t>
            </w:r>
            <w:r w:rsidRPr="00093E8E">
              <w:t>tion</w:t>
            </w:r>
          </w:p>
        </w:tc>
        <w:tc>
          <w:tcPr>
            <w:tcW w:w="3594" w:type="pct"/>
          </w:tcPr>
          <w:p w14:paraId="378375AA" w14:textId="77777777" w:rsidR="00215226" w:rsidRPr="00133C09" w:rsidRDefault="00215226" w:rsidP="00133C09">
            <w:pPr>
              <w:pStyle w:val="Normal-TableText"/>
              <w:rPr>
                <w:rStyle w:val="Strong"/>
              </w:rPr>
            </w:pPr>
            <w:r w:rsidRPr="00133C09">
              <w:rPr>
                <w:rStyle w:val="Strong"/>
              </w:rPr>
              <w:t>Required</w:t>
            </w:r>
          </w:p>
        </w:tc>
      </w:tr>
      <w:tr w:rsidR="00215226" w:rsidRPr="00093E8E" w14:paraId="5E5D0007" w14:textId="77777777" w:rsidTr="00133C09">
        <w:trPr>
          <w:trHeight w:val="113"/>
        </w:trPr>
        <w:tc>
          <w:tcPr>
            <w:tcW w:w="1406" w:type="pct"/>
            <w:vMerge/>
          </w:tcPr>
          <w:p w14:paraId="1511193E" w14:textId="77777777" w:rsidR="00215226" w:rsidRPr="00093E8E" w:rsidRDefault="00215226" w:rsidP="00133C09">
            <w:pPr>
              <w:pStyle w:val="Normal-TableText"/>
            </w:pPr>
          </w:p>
        </w:tc>
        <w:tc>
          <w:tcPr>
            <w:tcW w:w="3594" w:type="pct"/>
          </w:tcPr>
          <w:p w14:paraId="4C021C97" w14:textId="77777777" w:rsidR="00215226" w:rsidRPr="00C6440C" w:rsidRDefault="00215226" w:rsidP="00133C09">
            <w:pPr>
              <w:pStyle w:val="Normal-TableText"/>
            </w:pPr>
            <w:r w:rsidRPr="00093E8E">
              <w:t>K</w:t>
            </w:r>
            <w:r w:rsidRPr="00C6440C">
              <w:t>e</w:t>
            </w:r>
            <w:r w:rsidRPr="00093E8E">
              <w:t>y</w:t>
            </w:r>
            <w:r w:rsidRPr="00C6440C">
              <w:t xml:space="preserve"> </w:t>
            </w:r>
            <w:r w:rsidRPr="00093E8E">
              <w:t>si</w:t>
            </w:r>
            <w:r w:rsidRPr="00C6440C">
              <w:t>z</w:t>
            </w:r>
            <w:r w:rsidRPr="00093E8E">
              <w:t>e</w:t>
            </w:r>
            <w:r w:rsidRPr="00C6440C">
              <w:t xml:space="preserve"> </w:t>
            </w:r>
            <w:r w:rsidRPr="00093E8E">
              <w:t>to p</w:t>
            </w:r>
            <w:r w:rsidRPr="00C6440C">
              <w:t>r</w:t>
            </w:r>
            <w:r w:rsidRPr="00093E8E">
              <w:t xml:space="preserve">ovide </w:t>
            </w:r>
            <w:r w:rsidRPr="00C6440C">
              <w:t>a</w:t>
            </w:r>
            <w:r w:rsidRPr="00093E8E">
              <w:t>t least 112 bits of s</w:t>
            </w:r>
            <w:r w:rsidRPr="00C6440C">
              <w:t>ec</w:t>
            </w:r>
            <w:r w:rsidRPr="00093E8E">
              <w:t>u</w:t>
            </w:r>
            <w:r w:rsidRPr="00C6440C">
              <w:t>r</w:t>
            </w:r>
            <w:r w:rsidRPr="00093E8E">
              <w:t>i</w:t>
            </w:r>
            <w:r w:rsidRPr="00C6440C">
              <w:t>t</w:t>
            </w:r>
            <w:r w:rsidRPr="00093E8E">
              <w:t>y strength</w:t>
            </w:r>
            <w:r w:rsidRPr="00C6440C">
              <w:t xml:space="preserve"> </w:t>
            </w:r>
            <w:r w:rsidRPr="00093E8E">
              <w:t xml:space="preserve">or </w:t>
            </w:r>
            <w:r w:rsidRPr="00C6440C">
              <w:t>grea</w:t>
            </w:r>
            <w:r w:rsidRPr="00093E8E">
              <w:t>t</w:t>
            </w:r>
            <w:r w:rsidRPr="00C6440C">
              <w:t>e</w:t>
            </w:r>
            <w:r w:rsidRPr="00093E8E">
              <w:t>r</w:t>
            </w:r>
            <w:r w:rsidRPr="00C6440C">
              <w:t xml:space="preserve"> for certificates with a maximum validity period of 20 years</w:t>
            </w:r>
          </w:p>
          <w:p w14:paraId="080FA81F" w14:textId="77777777" w:rsidR="00215226" w:rsidRPr="00C6440C" w:rsidRDefault="00215226" w:rsidP="00133C09">
            <w:pPr>
              <w:pStyle w:val="Normal-TableText"/>
            </w:pPr>
            <w:r w:rsidRPr="00093E8E">
              <w:t>K</w:t>
            </w:r>
            <w:r w:rsidRPr="00C6440C">
              <w:t>e</w:t>
            </w:r>
            <w:r w:rsidRPr="00093E8E">
              <w:t>y</w:t>
            </w:r>
            <w:r w:rsidRPr="00C6440C">
              <w:t xml:space="preserve"> </w:t>
            </w:r>
            <w:r w:rsidRPr="00093E8E">
              <w:t>si</w:t>
            </w:r>
            <w:r w:rsidRPr="00C6440C">
              <w:t>z</w:t>
            </w:r>
            <w:r w:rsidRPr="00093E8E">
              <w:t>e</w:t>
            </w:r>
            <w:r w:rsidRPr="00C6440C">
              <w:t xml:space="preserve"> </w:t>
            </w:r>
            <w:r w:rsidRPr="00093E8E">
              <w:t>to p</w:t>
            </w:r>
            <w:r w:rsidRPr="00C6440C">
              <w:t>r</w:t>
            </w:r>
            <w:r w:rsidRPr="00093E8E">
              <w:t xml:space="preserve">ovide </w:t>
            </w:r>
            <w:r w:rsidRPr="00C6440C">
              <w:t>a</w:t>
            </w:r>
            <w:r w:rsidRPr="00093E8E">
              <w:t>t least 128 bits of s</w:t>
            </w:r>
            <w:r w:rsidRPr="00C6440C">
              <w:t>ec</w:t>
            </w:r>
            <w:r w:rsidRPr="00093E8E">
              <w:t>u</w:t>
            </w:r>
            <w:r w:rsidRPr="00C6440C">
              <w:t>r</w:t>
            </w:r>
            <w:r w:rsidRPr="00093E8E">
              <w:t>i</w:t>
            </w:r>
            <w:r w:rsidRPr="00C6440C">
              <w:t>t</w:t>
            </w:r>
            <w:r w:rsidRPr="00093E8E">
              <w:t>y strength</w:t>
            </w:r>
            <w:r w:rsidRPr="00C6440C">
              <w:t xml:space="preserve"> </w:t>
            </w:r>
            <w:r w:rsidRPr="00093E8E">
              <w:t xml:space="preserve">or </w:t>
            </w:r>
            <w:r w:rsidRPr="00C6440C">
              <w:t>grea</w:t>
            </w:r>
            <w:r w:rsidRPr="00093E8E">
              <w:t>t</w:t>
            </w:r>
            <w:r w:rsidRPr="00C6440C">
              <w:t>e</w:t>
            </w:r>
            <w:r w:rsidRPr="00093E8E">
              <w:t>r</w:t>
            </w:r>
            <w:r w:rsidRPr="00C6440C">
              <w:t xml:space="preserve"> for certificates with a maximum validity period of 30 years</w:t>
            </w:r>
          </w:p>
          <w:p w14:paraId="5BB169E1" w14:textId="77777777" w:rsidR="00215226" w:rsidRPr="00093E8E" w:rsidRDefault="00215226" w:rsidP="00133C09">
            <w:pPr>
              <w:pStyle w:val="Normal-TableText"/>
            </w:pPr>
            <w:r w:rsidRPr="00093E8E">
              <w:t>The</w:t>
            </w:r>
            <w:r w:rsidRPr="00C6440C">
              <w:t xml:space="preserve"> f</w:t>
            </w:r>
            <w:r w:rsidRPr="00093E8E">
              <w:t xml:space="preserve">ollowing </w:t>
            </w:r>
            <w:r w:rsidRPr="00C6440C">
              <w:t>e</w:t>
            </w:r>
            <w:r w:rsidRPr="00093E8E">
              <w:t>n</w:t>
            </w:r>
            <w:r w:rsidRPr="00C6440C">
              <w:t>cry</w:t>
            </w:r>
            <w:r w:rsidRPr="00093E8E">
              <w:t>ption</w:t>
            </w:r>
            <w:r w:rsidRPr="00C6440C">
              <w:t xml:space="preserve"> a</w:t>
            </w:r>
            <w:r w:rsidRPr="00093E8E">
              <w:t>l</w:t>
            </w:r>
            <w:r w:rsidRPr="00C6440C">
              <w:t>g</w:t>
            </w:r>
            <w:r w:rsidRPr="00093E8E">
              <w:t>o</w:t>
            </w:r>
            <w:r w:rsidRPr="00C6440C">
              <w:t>r</w:t>
            </w:r>
            <w:r w:rsidRPr="00093E8E">
              <w:t xml:space="preserve">ithms </w:t>
            </w:r>
            <w:r w:rsidRPr="00C6440C">
              <w:t>ar</w:t>
            </w:r>
            <w:r w:rsidRPr="00093E8E">
              <w:t>e</w:t>
            </w:r>
            <w:r w:rsidRPr="00C6440C">
              <w:t xml:space="preserve"> acce</w:t>
            </w:r>
            <w:r w:rsidRPr="00093E8E">
              <w:t>p</w:t>
            </w:r>
            <w:r w:rsidRPr="00C6440C">
              <w:t>ta</w:t>
            </w:r>
            <w:r w:rsidRPr="00093E8E">
              <w:t>bl</w:t>
            </w:r>
            <w:r w:rsidRPr="00C6440C">
              <w:t>e:</w:t>
            </w:r>
          </w:p>
          <w:p w14:paraId="4037B48E" w14:textId="77777777" w:rsidR="00215226" w:rsidRPr="00093E8E" w:rsidRDefault="00215226" w:rsidP="00133C09">
            <w:pPr>
              <w:pStyle w:val="Bullet1"/>
            </w:pPr>
            <w:r w:rsidRPr="00D825A0">
              <w:t>R</w:t>
            </w:r>
            <w:r w:rsidRPr="00093E8E">
              <w:t>s</w:t>
            </w:r>
            <w:r w:rsidRPr="00D825A0">
              <w:t>a</w:t>
            </w:r>
            <w:r w:rsidRPr="00093E8E">
              <w:t>En</w:t>
            </w:r>
            <w:r w:rsidRPr="00D825A0">
              <w:t>cry</w:t>
            </w:r>
            <w:r w:rsidRPr="00093E8E">
              <w:t>ption {1 2 840 113549 1 1 1 }</w:t>
            </w:r>
          </w:p>
          <w:p w14:paraId="341680EE" w14:textId="77777777" w:rsidR="00215226" w:rsidRPr="00093E8E" w:rsidRDefault="00215226" w:rsidP="00133C09">
            <w:pPr>
              <w:pStyle w:val="Bullet1"/>
            </w:pPr>
            <w:r w:rsidRPr="00D825A0">
              <w:t>Id-ecP</w:t>
            </w:r>
            <w:r w:rsidRPr="00093E8E">
              <w:t>ubli</w:t>
            </w:r>
            <w:r w:rsidRPr="00D825A0">
              <w:t>cKe</w:t>
            </w:r>
            <w:r w:rsidRPr="00093E8E">
              <w:t>y</w:t>
            </w:r>
            <w:r w:rsidRPr="00D825A0">
              <w:t xml:space="preserve"> </w:t>
            </w:r>
            <w:r w:rsidRPr="00093E8E">
              <w:t>{1 2 840</w:t>
            </w:r>
            <w:r w:rsidRPr="00D825A0">
              <w:t xml:space="preserve"> </w:t>
            </w:r>
            <w:r w:rsidRPr="00093E8E">
              <w:t>10045 2 1}</w:t>
            </w:r>
          </w:p>
        </w:tc>
      </w:tr>
      <w:tr w:rsidR="00215226" w:rsidRPr="00093E8E" w14:paraId="44D39D8C" w14:textId="77777777" w:rsidTr="00133C09">
        <w:trPr>
          <w:trHeight w:val="113"/>
        </w:trPr>
        <w:tc>
          <w:tcPr>
            <w:tcW w:w="1406" w:type="pct"/>
          </w:tcPr>
          <w:p w14:paraId="30D6F704" w14:textId="77777777" w:rsidR="00215226" w:rsidRPr="00093E8E" w:rsidRDefault="00215226" w:rsidP="00133C09">
            <w:pPr>
              <w:pStyle w:val="Normal-TableText"/>
            </w:pPr>
            <w:r w:rsidRPr="00C6440C">
              <w:t>I</w:t>
            </w:r>
            <w:r w:rsidRPr="00093E8E">
              <w:t>ss</w:t>
            </w:r>
            <w:r w:rsidRPr="00C6440C">
              <w:t>ue</w:t>
            </w:r>
            <w:r w:rsidRPr="00093E8E">
              <w:t>r</w:t>
            </w:r>
            <w:r w:rsidRPr="00C6440C">
              <w:t xml:space="preserve"> </w:t>
            </w:r>
            <w:r w:rsidRPr="00093E8E">
              <w:t>Unique</w:t>
            </w:r>
            <w:r w:rsidRPr="00C6440C">
              <w:t xml:space="preserve"> I</w:t>
            </w:r>
            <w:r w:rsidRPr="00093E8E">
              <w:t>d</w:t>
            </w:r>
            <w:r w:rsidRPr="00C6440C">
              <w:t>e</w:t>
            </w:r>
            <w:r w:rsidRPr="00093E8E">
              <w:t>nti</w:t>
            </w:r>
            <w:r w:rsidRPr="00C6440C">
              <w:t>f</w:t>
            </w:r>
            <w:r w:rsidRPr="00093E8E">
              <w:t>i</w:t>
            </w:r>
            <w:r w:rsidRPr="00C6440C">
              <w:t>e</w:t>
            </w:r>
            <w:r w:rsidRPr="00093E8E">
              <w:t>r</w:t>
            </w:r>
          </w:p>
        </w:tc>
        <w:tc>
          <w:tcPr>
            <w:tcW w:w="3594" w:type="pct"/>
          </w:tcPr>
          <w:p w14:paraId="41CF3290" w14:textId="77777777" w:rsidR="00215226" w:rsidRPr="00133C09" w:rsidRDefault="00215226" w:rsidP="00133C09">
            <w:pPr>
              <w:pStyle w:val="Normal-TableText"/>
              <w:rPr>
                <w:rStyle w:val="Strong"/>
              </w:rPr>
            </w:pPr>
            <w:r w:rsidRPr="00133C09">
              <w:rPr>
                <w:rStyle w:val="Strong"/>
              </w:rPr>
              <w:t>Not Used</w:t>
            </w:r>
          </w:p>
        </w:tc>
      </w:tr>
      <w:tr w:rsidR="00215226" w:rsidRPr="00093E8E" w14:paraId="26C93AF7" w14:textId="77777777" w:rsidTr="00133C09">
        <w:trPr>
          <w:trHeight w:val="113"/>
        </w:trPr>
        <w:tc>
          <w:tcPr>
            <w:tcW w:w="1406" w:type="pct"/>
          </w:tcPr>
          <w:p w14:paraId="054FD888" w14:textId="77777777" w:rsidR="00215226" w:rsidRPr="00093E8E" w:rsidRDefault="00215226" w:rsidP="00133C09">
            <w:pPr>
              <w:pStyle w:val="Normal-TableText"/>
            </w:pPr>
            <w:r w:rsidRPr="00C6440C">
              <w:t>S</w:t>
            </w:r>
            <w:r w:rsidRPr="00093E8E">
              <w:t>ubj</w:t>
            </w:r>
            <w:r w:rsidRPr="00C6440C">
              <w:t>ec</w:t>
            </w:r>
            <w:r w:rsidRPr="00093E8E">
              <w:t>t Unique</w:t>
            </w:r>
            <w:r w:rsidRPr="00C6440C">
              <w:t xml:space="preserve"> I</w:t>
            </w:r>
            <w:r w:rsidRPr="00093E8E">
              <w:t>d</w:t>
            </w:r>
            <w:r w:rsidRPr="00C6440C">
              <w:t>e</w:t>
            </w:r>
            <w:r w:rsidRPr="00093E8E">
              <w:t>nti</w:t>
            </w:r>
            <w:r w:rsidRPr="00C6440C">
              <w:t>f</w:t>
            </w:r>
            <w:r w:rsidRPr="00093E8E">
              <w:t>i</w:t>
            </w:r>
            <w:r w:rsidRPr="00C6440C">
              <w:t>e</w:t>
            </w:r>
            <w:r w:rsidRPr="00093E8E">
              <w:t>r</w:t>
            </w:r>
          </w:p>
        </w:tc>
        <w:tc>
          <w:tcPr>
            <w:tcW w:w="3594" w:type="pct"/>
          </w:tcPr>
          <w:p w14:paraId="6332969F" w14:textId="77777777" w:rsidR="00215226" w:rsidRPr="00133C09" w:rsidRDefault="00215226" w:rsidP="00133C09">
            <w:pPr>
              <w:pStyle w:val="Normal-TableText"/>
              <w:rPr>
                <w:rStyle w:val="Strong"/>
              </w:rPr>
            </w:pPr>
            <w:r w:rsidRPr="00133C09">
              <w:rPr>
                <w:rStyle w:val="Strong"/>
              </w:rPr>
              <w:t>Not Used</w:t>
            </w:r>
          </w:p>
        </w:tc>
      </w:tr>
      <w:tr w:rsidR="00215226" w:rsidRPr="00093E8E" w14:paraId="0E359F2E" w14:textId="77777777" w:rsidTr="00133C09">
        <w:trPr>
          <w:trHeight w:val="113"/>
        </w:trPr>
        <w:tc>
          <w:tcPr>
            <w:tcW w:w="1406" w:type="pct"/>
            <w:vMerge w:val="restart"/>
          </w:tcPr>
          <w:p w14:paraId="10E7CA1C" w14:textId="77777777" w:rsidR="00215226" w:rsidRPr="00093E8E" w:rsidRDefault="00215226" w:rsidP="00133C09">
            <w:pPr>
              <w:pStyle w:val="Normal-TableText"/>
            </w:pPr>
            <w:r w:rsidRPr="00C6440C">
              <w:t>I</w:t>
            </w:r>
            <w:r w:rsidRPr="00093E8E">
              <w:t>ss</w:t>
            </w:r>
            <w:r w:rsidRPr="00C6440C">
              <w:t>uer’</w:t>
            </w:r>
            <w:r w:rsidRPr="00093E8E">
              <w:t xml:space="preserve">s </w:t>
            </w:r>
            <w:r w:rsidRPr="00C6440C">
              <w:t>S</w:t>
            </w:r>
            <w:r w:rsidRPr="00093E8E">
              <w:t>i</w:t>
            </w:r>
            <w:r w:rsidRPr="00C6440C">
              <w:t>gna</w:t>
            </w:r>
            <w:r w:rsidRPr="00093E8E">
              <w:t>tu</w:t>
            </w:r>
            <w:r w:rsidRPr="00C6440C">
              <w:t>re</w:t>
            </w:r>
          </w:p>
        </w:tc>
        <w:tc>
          <w:tcPr>
            <w:tcW w:w="3594" w:type="pct"/>
          </w:tcPr>
          <w:p w14:paraId="27414660" w14:textId="77777777" w:rsidR="00215226" w:rsidRPr="00133C09" w:rsidRDefault="00215226" w:rsidP="00133C09">
            <w:pPr>
              <w:pStyle w:val="Normal-TableText"/>
              <w:rPr>
                <w:rStyle w:val="Strong"/>
              </w:rPr>
            </w:pPr>
            <w:r w:rsidRPr="00133C09">
              <w:rPr>
                <w:rStyle w:val="Strong"/>
              </w:rPr>
              <w:t>Required</w:t>
            </w:r>
          </w:p>
        </w:tc>
      </w:tr>
      <w:tr w:rsidR="00215226" w:rsidRPr="00093E8E" w14:paraId="2F72C047" w14:textId="77777777" w:rsidTr="00133C09">
        <w:trPr>
          <w:trHeight w:val="113"/>
        </w:trPr>
        <w:tc>
          <w:tcPr>
            <w:tcW w:w="1406" w:type="pct"/>
            <w:vMerge/>
          </w:tcPr>
          <w:p w14:paraId="3A285412" w14:textId="77777777" w:rsidR="00215226" w:rsidRPr="00093E8E" w:rsidRDefault="00215226" w:rsidP="00133C09">
            <w:pPr>
              <w:pStyle w:val="Normal-TableText"/>
            </w:pPr>
          </w:p>
        </w:tc>
        <w:tc>
          <w:tcPr>
            <w:tcW w:w="3594" w:type="pct"/>
          </w:tcPr>
          <w:p w14:paraId="382DFE65" w14:textId="77777777" w:rsidR="00215226" w:rsidRPr="00093E8E" w:rsidRDefault="00215226" w:rsidP="00133C09">
            <w:pPr>
              <w:pStyle w:val="Normal-TableText"/>
            </w:pPr>
            <w:r w:rsidRPr="00093E8E">
              <w:t>A</w:t>
            </w:r>
            <w:r w:rsidRPr="00C6440C">
              <w:t>S</w:t>
            </w:r>
            <w:r w:rsidRPr="00093E8E">
              <w:t>N.1 DER</w:t>
            </w:r>
            <w:r w:rsidRPr="00C6440C">
              <w:t xml:space="preserve"> e</w:t>
            </w:r>
            <w:r w:rsidRPr="00093E8E">
              <w:t>n</w:t>
            </w:r>
            <w:r w:rsidRPr="00C6440C">
              <w:t>c</w:t>
            </w:r>
            <w:r w:rsidRPr="00093E8E">
              <w:t>od</w:t>
            </w:r>
            <w:r w:rsidRPr="00C6440C">
              <w:t>e</w:t>
            </w:r>
            <w:r w:rsidRPr="00093E8E">
              <w:t>d</w:t>
            </w:r>
            <w:r w:rsidRPr="00C6440C">
              <w:t xml:space="preserve"> cer</w:t>
            </w:r>
            <w:r w:rsidRPr="00093E8E">
              <w:t>ti</w:t>
            </w:r>
            <w:r w:rsidRPr="00C6440C">
              <w:t>f</w:t>
            </w:r>
            <w:r w:rsidRPr="00093E8E">
              <w:t>i</w:t>
            </w:r>
            <w:r w:rsidRPr="00C6440C">
              <w:t>ca</w:t>
            </w:r>
            <w:r w:rsidRPr="00093E8E">
              <w:t>te</w:t>
            </w:r>
            <w:r w:rsidRPr="00C6440C">
              <w:t xml:space="preserve"> </w:t>
            </w:r>
            <w:r w:rsidRPr="00093E8E">
              <w:t>si</w:t>
            </w:r>
            <w:r w:rsidRPr="00C6440C">
              <w:t>gna</w:t>
            </w:r>
            <w:r w:rsidRPr="00093E8E">
              <w:t>tu</w:t>
            </w:r>
            <w:r w:rsidRPr="00C6440C">
              <w:t>r</w:t>
            </w:r>
            <w:r w:rsidRPr="00093E8E">
              <w:t>e</w:t>
            </w:r>
            <w:r w:rsidRPr="00C6440C">
              <w:t xml:space="preserve"> va</w:t>
            </w:r>
            <w:r w:rsidRPr="00093E8E">
              <w:t>lue</w:t>
            </w:r>
            <w:r w:rsidRPr="00C6440C">
              <w:t xml:space="preserve"> c</w:t>
            </w:r>
            <w:r w:rsidRPr="00093E8E">
              <w:t>o</w:t>
            </w:r>
            <w:r w:rsidRPr="00C6440C">
              <w:t>rre</w:t>
            </w:r>
            <w:r w:rsidRPr="00093E8E">
              <w:t>spondi</w:t>
            </w:r>
            <w:r w:rsidRPr="00C6440C">
              <w:t>n</w:t>
            </w:r>
            <w:r w:rsidRPr="00093E8E">
              <w:t>g</w:t>
            </w:r>
            <w:r w:rsidRPr="00C6440C">
              <w:t xml:space="preserve"> </w:t>
            </w:r>
            <w:r w:rsidRPr="00093E8E">
              <w:t>to</w:t>
            </w:r>
          </w:p>
          <w:p w14:paraId="578549F2" w14:textId="77777777" w:rsidR="00215226" w:rsidRPr="00093E8E" w:rsidRDefault="00215226" w:rsidP="00133C09">
            <w:pPr>
              <w:pStyle w:val="Normal-TableText"/>
            </w:pPr>
            <w:r w:rsidRPr="00C6440C">
              <w:t>I</w:t>
            </w:r>
            <w:r w:rsidRPr="00093E8E">
              <w:t>ss</w:t>
            </w:r>
            <w:r w:rsidRPr="00C6440C">
              <w:t>ue</w:t>
            </w:r>
            <w:r w:rsidRPr="00093E8E">
              <w:t>r</w:t>
            </w:r>
            <w:r w:rsidRPr="00C6440C">
              <w:t xml:space="preserve"> </w:t>
            </w:r>
            <w:r w:rsidRPr="00093E8E">
              <w:t>s</w:t>
            </w:r>
            <w:r w:rsidRPr="00C6440C">
              <w:t>ig</w:t>
            </w:r>
            <w:r w:rsidRPr="00093E8E">
              <w:t>n</w:t>
            </w:r>
            <w:r w:rsidRPr="00C6440C">
              <w:t>a</w:t>
            </w:r>
            <w:r w:rsidRPr="00093E8E">
              <w:t>tu</w:t>
            </w:r>
            <w:r w:rsidRPr="00C6440C">
              <w:t>r</w:t>
            </w:r>
            <w:r w:rsidRPr="00093E8E">
              <w:t>e</w:t>
            </w:r>
            <w:r w:rsidRPr="00C6440C">
              <w:t xml:space="preserve"> alg</w:t>
            </w:r>
            <w:r w:rsidRPr="00093E8E">
              <w:t>o</w:t>
            </w:r>
            <w:r w:rsidRPr="00C6440C">
              <w:t>r</w:t>
            </w:r>
            <w:r w:rsidRPr="00093E8E">
              <w:t>ithm</w:t>
            </w:r>
          </w:p>
        </w:tc>
      </w:tr>
      <w:tr w:rsidR="00215226" w:rsidRPr="00093E8E" w14:paraId="1717A143" w14:textId="77777777" w:rsidTr="00133C09">
        <w:trPr>
          <w:trHeight w:val="113"/>
        </w:trPr>
        <w:tc>
          <w:tcPr>
            <w:tcW w:w="1406" w:type="pct"/>
            <w:vMerge w:val="restart"/>
          </w:tcPr>
          <w:p w14:paraId="604724D4" w14:textId="77777777" w:rsidR="00215226" w:rsidRPr="00093E8E" w:rsidRDefault="00215226" w:rsidP="00133C09">
            <w:pPr>
              <w:pStyle w:val="Normal-TableText"/>
            </w:pPr>
            <w:r w:rsidRPr="00093E8E">
              <w:t>Autho</w:t>
            </w:r>
            <w:r w:rsidRPr="00C6440C">
              <w:t>r</w:t>
            </w:r>
            <w:r w:rsidRPr="00093E8E">
              <w:t>i</w:t>
            </w:r>
            <w:r w:rsidRPr="00C6440C">
              <w:t>t</w:t>
            </w:r>
            <w:r w:rsidRPr="00093E8E">
              <w:t>y</w:t>
            </w:r>
            <w:r w:rsidRPr="00C6440C">
              <w:t xml:space="preserve"> Ke</w:t>
            </w:r>
            <w:r w:rsidRPr="00093E8E">
              <w:t>y</w:t>
            </w:r>
            <w:r w:rsidRPr="00C6440C">
              <w:t xml:space="preserve"> I</w:t>
            </w:r>
            <w:r w:rsidRPr="00093E8E">
              <w:t>d</w:t>
            </w:r>
            <w:r w:rsidRPr="00C6440C">
              <w:t>e</w:t>
            </w:r>
            <w:r w:rsidRPr="00093E8E">
              <w:t>nti</w:t>
            </w:r>
            <w:r w:rsidRPr="00C6440C">
              <w:t>f</w:t>
            </w:r>
            <w:r w:rsidRPr="00093E8E">
              <w:t>i</w:t>
            </w:r>
            <w:r w:rsidRPr="00C6440C">
              <w:t>e</w:t>
            </w:r>
            <w:r w:rsidRPr="00093E8E">
              <w:t>r</w:t>
            </w:r>
          </w:p>
        </w:tc>
        <w:tc>
          <w:tcPr>
            <w:tcW w:w="3594" w:type="pct"/>
          </w:tcPr>
          <w:p w14:paraId="245CCC55" w14:textId="77777777" w:rsidR="00215226" w:rsidRPr="00133C09" w:rsidRDefault="00215226" w:rsidP="00133C09">
            <w:pPr>
              <w:pStyle w:val="Normal-TableText"/>
              <w:rPr>
                <w:rStyle w:val="Strong"/>
              </w:rPr>
            </w:pPr>
            <w:r w:rsidRPr="00133C09">
              <w:rPr>
                <w:rStyle w:val="Strong"/>
              </w:rPr>
              <w:t>Optional</w:t>
            </w:r>
          </w:p>
        </w:tc>
      </w:tr>
      <w:tr w:rsidR="00215226" w:rsidRPr="00093E8E" w14:paraId="6E314571" w14:textId="77777777" w:rsidTr="00133C09">
        <w:trPr>
          <w:trHeight w:val="113"/>
        </w:trPr>
        <w:tc>
          <w:tcPr>
            <w:tcW w:w="1406" w:type="pct"/>
            <w:vMerge/>
          </w:tcPr>
          <w:p w14:paraId="00924CA7" w14:textId="77777777" w:rsidR="00215226" w:rsidRPr="00093E8E" w:rsidRDefault="00215226" w:rsidP="00133C09">
            <w:pPr>
              <w:pStyle w:val="Normal-TableText"/>
            </w:pPr>
          </w:p>
        </w:tc>
        <w:tc>
          <w:tcPr>
            <w:tcW w:w="3594" w:type="pct"/>
          </w:tcPr>
          <w:p w14:paraId="079356D2" w14:textId="77777777" w:rsidR="00215226" w:rsidRPr="00093E8E" w:rsidRDefault="00215226" w:rsidP="00133C09">
            <w:pPr>
              <w:pStyle w:val="Normal-TableText"/>
            </w:pPr>
            <w:r w:rsidRPr="00093E8E">
              <w:t>k</w:t>
            </w:r>
            <w:r w:rsidRPr="00C6440C">
              <w:t>eyID</w:t>
            </w:r>
            <w:r w:rsidRPr="00093E8E">
              <w:t xml:space="preserve">, </w:t>
            </w:r>
            <w:r w:rsidRPr="00C6440C">
              <w:t>Oc</w:t>
            </w:r>
            <w:r w:rsidRPr="00093E8E">
              <w:t>t</w:t>
            </w:r>
            <w:r w:rsidRPr="00C6440C">
              <w:t>e</w:t>
            </w:r>
            <w:r w:rsidRPr="00093E8E">
              <w:t xml:space="preserve">t </w:t>
            </w:r>
            <w:r w:rsidRPr="00C6440C">
              <w:t>S</w:t>
            </w:r>
            <w:r w:rsidRPr="00093E8E">
              <w:t>t</w:t>
            </w:r>
            <w:r w:rsidRPr="00C6440C">
              <w:t>r</w:t>
            </w:r>
            <w:r w:rsidRPr="00093E8E">
              <w:t>ing</w:t>
            </w:r>
          </w:p>
          <w:p w14:paraId="3A7679F3" w14:textId="77777777" w:rsidR="00215226" w:rsidRPr="00093E8E" w:rsidRDefault="00215226" w:rsidP="00133C09">
            <w:pPr>
              <w:pStyle w:val="Normal-TableText"/>
            </w:pPr>
            <w:r w:rsidRPr="00C6440C">
              <w:t>Rec</w:t>
            </w:r>
            <w:r w:rsidRPr="00093E8E">
              <w:t>omm</w:t>
            </w:r>
            <w:r w:rsidRPr="00C6440C">
              <w:t>e</w:t>
            </w:r>
            <w:r w:rsidRPr="00093E8E">
              <w:t>nd</w:t>
            </w:r>
            <w:r w:rsidRPr="00C6440C">
              <w:t>e</w:t>
            </w:r>
            <w:r w:rsidRPr="00093E8E">
              <w:t>d th</w:t>
            </w:r>
            <w:r w:rsidRPr="00C6440C">
              <w:t>a</w:t>
            </w:r>
            <w:r w:rsidRPr="00093E8E">
              <w:t>t th</w:t>
            </w:r>
            <w:r w:rsidRPr="00C6440C">
              <w:t>a</w:t>
            </w:r>
            <w:r w:rsidRPr="00093E8E">
              <w:t xml:space="preserve">t </w:t>
            </w:r>
            <w:r w:rsidRPr="00C6440C">
              <w:t>t</w:t>
            </w:r>
            <w:r w:rsidRPr="00093E8E">
              <w:t>he</w:t>
            </w:r>
            <w:r w:rsidRPr="00C6440C">
              <w:t xml:space="preserve"> </w:t>
            </w:r>
            <w:r w:rsidRPr="00093E8E">
              <w:t>o</w:t>
            </w:r>
            <w:r w:rsidRPr="00C6440C">
              <w:t>c</w:t>
            </w:r>
            <w:r w:rsidRPr="00093E8E">
              <w:t>t</w:t>
            </w:r>
            <w:r w:rsidRPr="00C6440C">
              <w:t>e</w:t>
            </w:r>
            <w:r w:rsidRPr="00093E8E">
              <w:t>t st</w:t>
            </w:r>
            <w:r w:rsidRPr="00C6440C">
              <w:t>r</w:t>
            </w:r>
            <w:r w:rsidRPr="00093E8E">
              <w:t>i</w:t>
            </w:r>
            <w:r w:rsidRPr="00C6440C">
              <w:t>n</w:t>
            </w:r>
            <w:r w:rsidRPr="00093E8E">
              <w:t>g</w:t>
            </w:r>
            <w:r w:rsidRPr="00C6440C">
              <w:t xml:space="preserve"> c</w:t>
            </w:r>
            <w:r w:rsidRPr="00093E8E">
              <w:t>ont</w:t>
            </w:r>
            <w:r w:rsidRPr="00C6440C">
              <w:t>a</w:t>
            </w:r>
            <w:r w:rsidRPr="00093E8E">
              <w:t>in t</w:t>
            </w:r>
            <w:r w:rsidRPr="00C6440C">
              <w:t>h</w:t>
            </w:r>
            <w:r w:rsidRPr="00093E8E">
              <w:t>e</w:t>
            </w:r>
            <w:r w:rsidRPr="00C6440C">
              <w:t xml:space="preserve"> </w:t>
            </w:r>
            <w:r w:rsidRPr="00093E8E">
              <w:t xml:space="preserve">20 </w:t>
            </w:r>
            <w:r w:rsidRPr="00C6440C">
              <w:t>byt</w:t>
            </w:r>
            <w:r w:rsidRPr="00093E8E">
              <w:t>e</w:t>
            </w:r>
            <w:r w:rsidRPr="00C6440C">
              <w:t xml:space="preserve"> S</w:t>
            </w:r>
            <w:r w:rsidRPr="00093E8E">
              <w:t>HA</w:t>
            </w:r>
            <w:r w:rsidRPr="00C6440C">
              <w:t>–1</w:t>
            </w:r>
            <w:r w:rsidRPr="00093E8E">
              <w:t xml:space="preserve"> h</w:t>
            </w:r>
            <w:r w:rsidRPr="00C6440C">
              <w:t>a</w:t>
            </w:r>
            <w:r w:rsidRPr="00093E8E">
              <w:t>sh of</w:t>
            </w:r>
            <w:r w:rsidRPr="00C6440C">
              <w:t xml:space="preserve"> </w:t>
            </w:r>
            <w:r w:rsidRPr="00093E8E">
              <w:t>the</w:t>
            </w:r>
            <w:r w:rsidRPr="00C6440C">
              <w:t xml:space="preserve"> </w:t>
            </w:r>
            <w:r w:rsidRPr="00093E8E">
              <w:t>bin</w:t>
            </w:r>
            <w:r w:rsidRPr="00C6440C">
              <w:t>ar</w:t>
            </w:r>
            <w:r w:rsidRPr="00093E8E">
              <w:t>y</w:t>
            </w:r>
            <w:r w:rsidRPr="00C6440C">
              <w:t xml:space="preserve"> </w:t>
            </w:r>
            <w:r w:rsidRPr="00093E8E">
              <w:t>DER</w:t>
            </w:r>
            <w:r w:rsidRPr="00C6440C">
              <w:t xml:space="preserve"> e</w:t>
            </w:r>
            <w:r w:rsidRPr="00093E8E">
              <w:t>n</w:t>
            </w:r>
            <w:r w:rsidRPr="00C6440C">
              <w:t>c</w:t>
            </w:r>
            <w:r w:rsidRPr="00093E8E">
              <w:t>oding</w:t>
            </w:r>
            <w:r w:rsidRPr="00C6440C">
              <w:t xml:space="preserve"> o</w:t>
            </w:r>
            <w:r w:rsidRPr="00093E8E">
              <w:t>f</w:t>
            </w:r>
            <w:r w:rsidRPr="00C6440C">
              <w:t xml:space="preserve"> </w:t>
            </w:r>
            <w:r w:rsidRPr="00093E8E">
              <w:t>the</w:t>
            </w:r>
            <w:r w:rsidRPr="00C6440C">
              <w:t xml:space="preserve"> </w:t>
            </w:r>
            <w:r w:rsidRPr="00093E8E">
              <w:t>subj</w:t>
            </w:r>
            <w:r w:rsidRPr="00C6440C">
              <w:t>ec</w:t>
            </w:r>
            <w:r w:rsidRPr="00093E8E">
              <w:t xml:space="preserve">t </w:t>
            </w:r>
            <w:r w:rsidRPr="00C6440C">
              <w:t>C</w:t>
            </w:r>
            <w:r w:rsidRPr="00093E8E">
              <w:t>A</w:t>
            </w:r>
            <w:r w:rsidRPr="00C6440C">
              <w:t>’</w:t>
            </w:r>
            <w:r w:rsidRPr="00093E8E">
              <w:t>s public</w:t>
            </w:r>
            <w:r w:rsidRPr="00C6440C">
              <w:t xml:space="preserve"> </w:t>
            </w:r>
            <w:r w:rsidRPr="00093E8E">
              <w:t>k</w:t>
            </w:r>
            <w:r w:rsidRPr="00C6440C">
              <w:t>e</w:t>
            </w:r>
            <w:r w:rsidRPr="00093E8E">
              <w:t>y in</w:t>
            </w:r>
            <w:r w:rsidRPr="00C6440C">
              <w:t>f</w:t>
            </w:r>
            <w:r w:rsidRPr="00093E8E">
              <w:t>o</w:t>
            </w:r>
            <w:r w:rsidRPr="00C6440C">
              <w:t>r</w:t>
            </w:r>
            <w:r w:rsidRPr="00093E8E">
              <w:t>m</w:t>
            </w:r>
            <w:r w:rsidRPr="00C6440C">
              <w:t>a</w:t>
            </w:r>
            <w:r w:rsidRPr="00093E8E">
              <w:t>tion</w:t>
            </w:r>
          </w:p>
        </w:tc>
      </w:tr>
      <w:tr w:rsidR="00215226" w:rsidRPr="00093E8E" w14:paraId="14E31DAC" w14:textId="77777777" w:rsidTr="00133C09">
        <w:trPr>
          <w:trHeight w:val="113"/>
        </w:trPr>
        <w:tc>
          <w:tcPr>
            <w:tcW w:w="1406" w:type="pct"/>
            <w:vMerge/>
          </w:tcPr>
          <w:p w14:paraId="7341E042" w14:textId="77777777" w:rsidR="00215226" w:rsidRPr="00093E8E" w:rsidRDefault="00215226" w:rsidP="00133C09">
            <w:pPr>
              <w:pStyle w:val="Normal-TableText"/>
            </w:pPr>
          </w:p>
        </w:tc>
        <w:tc>
          <w:tcPr>
            <w:tcW w:w="3594" w:type="pct"/>
          </w:tcPr>
          <w:p w14:paraId="41452682" w14:textId="77777777" w:rsidR="00215226" w:rsidRPr="00133C09" w:rsidRDefault="00215226" w:rsidP="00133C09">
            <w:pPr>
              <w:pStyle w:val="Normal-TableText"/>
              <w:rPr>
                <w:rStyle w:val="Strong"/>
              </w:rPr>
            </w:pPr>
            <w:r w:rsidRPr="00133C09">
              <w:rPr>
                <w:rStyle w:val="Strong"/>
              </w:rPr>
              <w:t>Not Used</w:t>
            </w:r>
          </w:p>
        </w:tc>
      </w:tr>
      <w:tr w:rsidR="00215226" w:rsidRPr="00093E8E" w14:paraId="778EA454" w14:textId="77777777" w:rsidTr="00133C09">
        <w:trPr>
          <w:trHeight w:val="113"/>
        </w:trPr>
        <w:tc>
          <w:tcPr>
            <w:tcW w:w="1406" w:type="pct"/>
            <w:vMerge/>
          </w:tcPr>
          <w:p w14:paraId="67F61E28" w14:textId="77777777" w:rsidR="00215226" w:rsidRPr="00093E8E" w:rsidRDefault="00215226" w:rsidP="00133C09">
            <w:pPr>
              <w:pStyle w:val="Normal-TableText"/>
            </w:pPr>
          </w:p>
        </w:tc>
        <w:tc>
          <w:tcPr>
            <w:tcW w:w="3594" w:type="pct"/>
          </w:tcPr>
          <w:p w14:paraId="67EFDA17" w14:textId="77777777" w:rsidR="00215226" w:rsidRPr="00093E8E" w:rsidRDefault="00215226" w:rsidP="00133C09">
            <w:pPr>
              <w:pStyle w:val="Normal-TableText"/>
            </w:pPr>
            <w:r w:rsidRPr="00C6440C">
              <w:t>I</w:t>
            </w:r>
            <w:r w:rsidRPr="00093E8E">
              <w:t>ss</w:t>
            </w:r>
            <w:r w:rsidRPr="00C6440C">
              <w:t>ue</w:t>
            </w:r>
            <w:r w:rsidRPr="00093E8E">
              <w:t>r</w:t>
            </w:r>
            <w:r w:rsidRPr="00C6440C">
              <w:t xml:space="preserve"> </w:t>
            </w:r>
            <w:r w:rsidRPr="00093E8E">
              <w:t xml:space="preserve">DN, </w:t>
            </w:r>
            <w:r w:rsidRPr="00C6440C">
              <w:t>Ser</w:t>
            </w:r>
            <w:r w:rsidRPr="00093E8E">
              <w:t>i</w:t>
            </w:r>
            <w:r w:rsidRPr="00C6440C">
              <w:t>a</w:t>
            </w:r>
            <w:r w:rsidRPr="00093E8E">
              <w:t>l Numb</w:t>
            </w:r>
            <w:r w:rsidRPr="00C6440C">
              <w:t>e</w:t>
            </w:r>
            <w:r w:rsidRPr="00093E8E">
              <w:t>r</w:t>
            </w:r>
            <w:r w:rsidRPr="00C6440C">
              <w:t xml:space="preserve"> </w:t>
            </w:r>
            <w:r w:rsidRPr="00093E8E">
              <w:t>tuple</w:t>
            </w:r>
          </w:p>
        </w:tc>
      </w:tr>
      <w:tr w:rsidR="00215226" w:rsidRPr="00093E8E" w14:paraId="688119A7" w14:textId="77777777" w:rsidTr="00133C09">
        <w:trPr>
          <w:trHeight w:val="113"/>
        </w:trPr>
        <w:tc>
          <w:tcPr>
            <w:tcW w:w="1406" w:type="pct"/>
            <w:vMerge w:val="restart"/>
          </w:tcPr>
          <w:p w14:paraId="36433403" w14:textId="77777777" w:rsidR="00215226" w:rsidRPr="00093E8E" w:rsidRDefault="00215226" w:rsidP="00133C09">
            <w:pPr>
              <w:pStyle w:val="Normal-TableText"/>
            </w:pPr>
            <w:r w:rsidRPr="00C6440C">
              <w:t>S</w:t>
            </w:r>
            <w:r w:rsidRPr="00093E8E">
              <w:t>ubj</w:t>
            </w:r>
            <w:r w:rsidRPr="00C6440C">
              <w:t>ec</w:t>
            </w:r>
            <w:r w:rsidRPr="00093E8E">
              <w:t>t K</w:t>
            </w:r>
            <w:r w:rsidRPr="00C6440C">
              <w:t>e</w:t>
            </w:r>
            <w:r w:rsidRPr="00093E8E">
              <w:t>y</w:t>
            </w:r>
            <w:r w:rsidRPr="00C6440C">
              <w:t xml:space="preserve"> I</w:t>
            </w:r>
            <w:r w:rsidRPr="00093E8E">
              <w:t>d</w:t>
            </w:r>
            <w:r w:rsidRPr="00C6440C">
              <w:t>e</w:t>
            </w:r>
            <w:r w:rsidRPr="00093E8E">
              <w:t>nti</w:t>
            </w:r>
            <w:r w:rsidRPr="00C6440C">
              <w:t>f</w:t>
            </w:r>
            <w:r w:rsidRPr="00093E8E">
              <w:t>i</w:t>
            </w:r>
            <w:r w:rsidRPr="00C6440C">
              <w:t>e</w:t>
            </w:r>
            <w:r w:rsidRPr="00093E8E">
              <w:t>r</w:t>
            </w:r>
          </w:p>
        </w:tc>
        <w:tc>
          <w:tcPr>
            <w:tcW w:w="3594" w:type="pct"/>
          </w:tcPr>
          <w:p w14:paraId="4B2F168E" w14:textId="77777777" w:rsidR="00215226" w:rsidRPr="006F49DA" w:rsidRDefault="00215226" w:rsidP="00133C09">
            <w:pPr>
              <w:pStyle w:val="Normal-TableText"/>
              <w:rPr>
                <w:rStyle w:val="Strong"/>
              </w:rPr>
            </w:pPr>
            <w:r w:rsidRPr="006F49DA">
              <w:rPr>
                <w:rStyle w:val="Strong"/>
              </w:rPr>
              <w:t>Required</w:t>
            </w:r>
          </w:p>
        </w:tc>
      </w:tr>
      <w:tr w:rsidR="00215226" w:rsidRPr="00093E8E" w14:paraId="4622E11E" w14:textId="77777777" w:rsidTr="00133C09">
        <w:trPr>
          <w:trHeight w:val="113"/>
        </w:trPr>
        <w:tc>
          <w:tcPr>
            <w:tcW w:w="1406" w:type="pct"/>
            <w:vMerge/>
          </w:tcPr>
          <w:p w14:paraId="3BC2143A" w14:textId="77777777" w:rsidR="00215226" w:rsidRPr="00093E8E" w:rsidRDefault="00215226" w:rsidP="00133C09">
            <w:pPr>
              <w:pStyle w:val="Normal-TableText"/>
            </w:pPr>
          </w:p>
        </w:tc>
        <w:tc>
          <w:tcPr>
            <w:tcW w:w="3594" w:type="pct"/>
          </w:tcPr>
          <w:p w14:paraId="1F8ED8E1" w14:textId="77777777" w:rsidR="00215226" w:rsidRPr="00093E8E" w:rsidRDefault="00215226" w:rsidP="00133C09">
            <w:pPr>
              <w:pStyle w:val="Normal-TableText"/>
            </w:pPr>
            <w:r w:rsidRPr="00C6440C">
              <w:t>Rec</w:t>
            </w:r>
            <w:r w:rsidRPr="00093E8E">
              <w:t>omm</w:t>
            </w:r>
            <w:r w:rsidRPr="00C6440C">
              <w:t>e</w:t>
            </w:r>
            <w:r w:rsidRPr="00093E8E">
              <w:t>nd</w:t>
            </w:r>
            <w:r w:rsidRPr="00C6440C">
              <w:t>e</w:t>
            </w:r>
            <w:r w:rsidRPr="00093E8E">
              <w:t>d th</w:t>
            </w:r>
            <w:r w:rsidRPr="00C6440C">
              <w:t>a</w:t>
            </w:r>
            <w:r w:rsidRPr="00093E8E">
              <w:t>t the</w:t>
            </w:r>
            <w:r w:rsidRPr="00C6440C">
              <w:t xml:space="preserve"> oc</w:t>
            </w:r>
            <w:r w:rsidRPr="00093E8E">
              <w:t>t</w:t>
            </w:r>
            <w:r w:rsidRPr="00C6440C">
              <w:t>e</w:t>
            </w:r>
            <w:r w:rsidRPr="00093E8E">
              <w:t>t st</w:t>
            </w:r>
            <w:r w:rsidRPr="00C6440C">
              <w:t>r</w:t>
            </w:r>
            <w:r w:rsidRPr="00093E8E">
              <w:t xml:space="preserve">ing </w:t>
            </w:r>
            <w:r w:rsidRPr="00C6440C">
              <w:t>c</w:t>
            </w:r>
            <w:r w:rsidRPr="00093E8E">
              <w:t>ont</w:t>
            </w:r>
            <w:r w:rsidRPr="00C6440C">
              <w:t>a</w:t>
            </w:r>
            <w:r w:rsidRPr="00093E8E">
              <w:t>in the</w:t>
            </w:r>
            <w:r w:rsidRPr="00C6440C">
              <w:t xml:space="preserve"> </w:t>
            </w:r>
            <w:r w:rsidRPr="00093E8E">
              <w:t>20</w:t>
            </w:r>
            <w:r w:rsidRPr="00C6440C">
              <w:t xml:space="preserve"> by</w:t>
            </w:r>
            <w:r w:rsidRPr="00093E8E">
              <w:t>te</w:t>
            </w:r>
            <w:r w:rsidRPr="00C6440C">
              <w:t xml:space="preserve"> S</w:t>
            </w:r>
            <w:r w:rsidRPr="00093E8E">
              <w:t>H</w:t>
            </w:r>
            <w:r w:rsidRPr="00C6440C">
              <w:t>A–1</w:t>
            </w:r>
            <w:r w:rsidRPr="00093E8E">
              <w:t xml:space="preserve"> h</w:t>
            </w:r>
            <w:r w:rsidRPr="00C6440C">
              <w:t>a</w:t>
            </w:r>
            <w:r w:rsidRPr="00093E8E">
              <w:t>sh of</w:t>
            </w:r>
            <w:r w:rsidRPr="00C6440C">
              <w:t xml:space="preserve"> </w:t>
            </w:r>
            <w:r w:rsidRPr="00093E8E">
              <w:t>the</w:t>
            </w:r>
            <w:r w:rsidRPr="00C6440C">
              <w:t xml:space="preserve"> </w:t>
            </w:r>
            <w:r w:rsidRPr="00093E8E">
              <w:t>bin</w:t>
            </w:r>
            <w:r w:rsidRPr="00C6440C">
              <w:t>ar</w:t>
            </w:r>
            <w:r w:rsidRPr="00093E8E">
              <w:t>y</w:t>
            </w:r>
            <w:r w:rsidRPr="00C6440C">
              <w:t xml:space="preserve"> </w:t>
            </w:r>
            <w:r w:rsidRPr="00093E8E">
              <w:t>DER</w:t>
            </w:r>
            <w:r w:rsidRPr="00C6440C">
              <w:t xml:space="preserve"> enc</w:t>
            </w:r>
            <w:r w:rsidRPr="00093E8E">
              <w:t>o</w:t>
            </w:r>
            <w:r w:rsidRPr="00C6440C">
              <w:t>d</w:t>
            </w:r>
            <w:r w:rsidRPr="00093E8E">
              <w:t>ing</w:t>
            </w:r>
            <w:r w:rsidRPr="00C6440C">
              <w:t xml:space="preserve"> </w:t>
            </w:r>
            <w:r w:rsidRPr="00093E8E">
              <w:t>of</w:t>
            </w:r>
            <w:r w:rsidRPr="00C6440C">
              <w:t xml:space="preserve"> </w:t>
            </w:r>
            <w:r w:rsidRPr="00093E8E">
              <w:t>the</w:t>
            </w:r>
            <w:r w:rsidRPr="00C6440C">
              <w:t xml:space="preserve"> </w:t>
            </w:r>
            <w:r w:rsidRPr="00093E8E">
              <w:t>subj</w:t>
            </w:r>
            <w:r w:rsidRPr="00C6440C">
              <w:t>ec</w:t>
            </w:r>
            <w:r w:rsidRPr="00093E8E">
              <w:t xml:space="preserve">t </w:t>
            </w:r>
            <w:r w:rsidRPr="00C6440C">
              <w:t>C</w:t>
            </w:r>
            <w:r w:rsidRPr="00093E8E">
              <w:t>A</w:t>
            </w:r>
            <w:r w:rsidRPr="00C6440C">
              <w:t>’</w:t>
            </w:r>
            <w:r w:rsidRPr="00093E8E">
              <w:t xml:space="preserve">s </w:t>
            </w:r>
            <w:r w:rsidRPr="00C6440C">
              <w:t>p</w:t>
            </w:r>
            <w:r w:rsidRPr="00093E8E">
              <w:t>ublic</w:t>
            </w:r>
            <w:r w:rsidRPr="00C6440C">
              <w:t xml:space="preserve"> </w:t>
            </w:r>
            <w:r w:rsidRPr="00093E8E">
              <w:t>k</w:t>
            </w:r>
            <w:r w:rsidRPr="00C6440C">
              <w:t>e</w:t>
            </w:r>
            <w:r w:rsidRPr="00093E8E">
              <w:t>y in</w:t>
            </w:r>
            <w:r w:rsidRPr="00C6440C">
              <w:t>f</w:t>
            </w:r>
            <w:r w:rsidRPr="00093E8E">
              <w:t>o</w:t>
            </w:r>
            <w:r w:rsidRPr="00C6440C">
              <w:t>r</w:t>
            </w:r>
            <w:r w:rsidRPr="00093E8E">
              <w:t>m</w:t>
            </w:r>
            <w:r w:rsidRPr="00C6440C">
              <w:t>a</w:t>
            </w:r>
            <w:r w:rsidRPr="00093E8E">
              <w:t>tion</w:t>
            </w:r>
          </w:p>
        </w:tc>
      </w:tr>
      <w:tr w:rsidR="00215226" w:rsidRPr="00093E8E" w14:paraId="5D036144" w14:textId="77777777" w:rsidTr="00133C09">
        <w:trPr>
          <w:trHeight w:val="113"/>
        </w:trPr>
        <w:tc>
          <w:tcPr>
            <w:tcW w:w="1406" w:type="pct"/>
            <w:vMerge w:val="restart"/>
          </w:tcPr>
          <w:p w14:paraId="43230A46" w14:textId="77777777" w:rsidR="00215226" w:rsidRPr="00093E8E" w:rsidRDefault="00215226" w:rsidP="00133C09">
            <w:pPr>
              <w:pStyle w:val="Normal-TableText"/>
            </w:pPr>
            <w:r w:rsidRPr="00093E8E">
              <w:lastRenderedPageBreak/>
              <w:t>K</w:t>
            </w:r>
            <w:r w:rsidRPr="00C6440C">
              <w:t>e</w:t>
            </w:r>
            <w:r w:rsidRPr="00093E8E">
              <w:t>y</w:t>
            </w:r>
            <w:r w:rsidRPr="00C6440C">
              <w:t xml:space="preserve"> </w:t>
            </w:r>
            <w:r w:rsidRPr="00093E8E">
              <w:t>Us</w:t>
            </w:r>
            <w:r w:rsidRPr="00C6440C">
              <w:t>a</w:t>
            </w:r>
            <w:r w:rsidRPr="00093E8E">
              <w:t>ge</w:t>
            </w:r>
          </w:p>
        </w:tc>
        <w:tc>
          <w:tcPr>
            <w:tcW w:w="3594" w:type="pct"/>
          </w:tcPr>
          <w:p w14:paraId="324DF91F" w14:textId="77777777" w:rsidR="00215226" w:rsidRPr="006F49DA" w:rsidRDefault="00215226" w:rsidP="00133C09">
            <w:pPr>
              <w:pStyle w:val="Normal-TableText"/>
              <w:rPr>
                <w:rStyle w:val="Strong"/>
              </w:rPr>
            </w:pPr>
            <w:r w:rsidRPr="006F49DA">
              <w:rPr>
                <w:rStyle w:val="Strong"/>
              </w:rPr>
              <w:t>Required</w:t>
            </w:r>
          </w:p>
          <w:p w14:paraId="745ADDFE" w14:textId="77777777" w:rsidR="00215226" w:rsidRPr="00093E8E" w:rsidRDefault="00215226" w:rsidP="00133C09">
            <w:pPr>
              <w:pStyle w:val="Normal-TableText"/>
            </w:pPr>
            <w:r w:rsidRPr="006F49DA">
              <w:rPr>
                <w:rStyle w:val="Strong"/>
              </w:rPr>
              <w:t>Critical</w:t>
            </w:r>
          </w:p>
        </w:tc>
      </w:tr>
      <w:tr w:rsidR="00215226" w:rsidRPr="00093E8E" w14:paraId="01FA49F7" w14:textId="77777777" w:rsidTr="00133C09">
        <w:trPr>
          <w:trHeight w:val="113"/>
        </w:trPr>
        <w:tc>
          <w:tcPr>
            <w:tcW w:w="1406" w:type="pct"/>
            <w:vMerge/>
          </w:tcPr>
          <w:p w14:paraId="65B7619D" w14:textId="77777777" w:rsidR="00215226" w:rsidRPr="00093E8E" w:rsidRDefault="00215226" w:rsidP="00133C09">
            <w:pPr>
              <w:pStyle w:val="Normal-TableText"/>
            </w:pPr>
          </w:p>
        </w:tc>
        <w:tc>
          <w:tcPr>
            <w:tcW w:w="3594" w:type="pct"/>
          </w:tcPr>
          <w:p w14:paraId="4728C42A" w14:textId="77777777" w:rsidR="00215226" w:rsidRPr="00093E8E" w:rsidRDefault="00215226" w:rsidP="00133C09">
            <w:pPr>
              <w:pStyle w:val="Normal-TableText"/>
            </w:pPr>
            <w:r w:rsidRPr="00093E8E">
              <w:t>k</w:t>
            </w:r>
            <w:r w:rsidRPr="00C6440C">
              <w:t>eyCer</w:t>
            </w:r>
            <w:r w:rsidRPr="00093E8E">
              <w:t>t</w:t>
            </w:r>
            <w:r w:rsidRPr="00C6440C">
              <w:t>S</w:t>
            </w:r>
            <w:r w:rsidRPr="00093E8E">
              <w:t>i</w:t>
            </w:r>
            <w:r w:rsidRPr="00C6440C">
              <w:t>g</w:t>
            </w:r>
            <w:r w:rsidRPr="00093E8E">
              <w:t xml:space="preserve">n, </w:t>
            </w:r>
            <w:r w:rsidRPr="00C6440C">
              <w:t>CRLSig</w:t>
            </w:r>
            <w:r w:rsidRPr="00093E8E">
              <w:t>n</w:t>
            </w:r>
          </w:p>
        </w:tc>
      </w:tr>
      <w:tr w:rsidR="00215226" w:rsidRPr="00093E8E" w14:paraId="47B8A2DE" w14:textId="77777777" w:rsidTr="00133C09">
        <w:trPr>
          <w:trHeight w:val="113"/>
        </w:trPr>
        <w:tc>
          <w:tcPr>
            <w:tcW w:w="1406" w:type="pct"/>
            <w:vMerge w:val="restart"/>
          </w:tcPr>
          <w:p w14:paraId="79F43FE0" w14:textId="77777777" w:rsidR="00215226" w:rsidRPr="00093E8E" w:rsidRDefault="00215226" w:rsidP="00133C09">
            <w:pPr>
              <w:pStyle w:val="Normal-TableText"/>
            </w:pPr>
            <w:r w:rsidRPr="00C6440C">
              <w:t>Ba</w:t>
            </w:r>
            <w:r w:rsidRPr="00093E8E">
              <w:t>sic</w:t>
            </w:r>
            <w:r w:rsidRPr="00C6440C">
              <w:t xml:space="preserve"> C</w:t>
            </w:r>
            <w:r w:rsidRPr="00093E8E">
              <w:t>onst</w:t>
            </w:r>
            <w:r w:rsidRPr="00C6440C">
              <w:t>ra</w:t>
            </w:r>
            <w:r w:rsidRPr="00093E8E">
              <w:t>ints</w:t>
            </w:r>
          </w:p>
        </w:tc>
        <w:tc>
          <w:tcPr>
            <w:tcW w:w="3594" w:type="pct"/>
          </w:tcPr>
          <w:p w14:paraId="2A436898" w14:textId="77777777" w:rsidR="00215226" w:rsidRPr="006F49DA" w:rsidRDefault="00215226" w:rsidP="00133C09">
            <w:pPr>
              <w:pStyle w:val="Normal-TableText"/>
              <w:rPr>
                <w:rStyle w:val="Strong"/>
              </w:rPr>
            </w:pPr>
            <w:r w:rsidRPr="006F49DA">
              <w:rPr>
                <w:rStyle w:val="Strong"/>
              </w:rPr>
              <w:t>Required</w:t>
            </w:r>
          </w:p>
          <w:p w14:paraId="77104F21" w14:textId="77777777" w:rsidR="00215226" w:rsidRPr="00093E8E" w:rsidRDefault="00215226" w:rsidP="00133C09">
            <w:pPr>
              <w:pStyle w:val="Normal-TableText"/>
            </w:pPr>
            <w:r w:rsidRPr="006F49DA">
              <w:rPr>
                <w:rStyle w:val="Strong"/>
              </w:rPr>
              <w:t>Critical</w:t>
            </w:r>
          </w:p>
        </w:tc>
      </w:tr>
      <w:tr w:rsidR="00215226" w:rsidRPr="00093E8E" w14:paraId="0AFC0746" w14:textId="77777777" w:rsidTr="00133C09">
        <w:trPr>
          <w:trHeight w:val="113"/>
        </w:trPr>
        <w:tc>
          <w:tcPr>
            <w:tcW w:w="1406" w:type="pct"/>
            <w:vMerge/>
          </w:tcPr>
          <w:p w14:paraId="114CFE7C" w14:textId="77777777" w:rsidR="00215226" w:rsidRPr="00093E8E" w:rsidRDefault="00215226" w:rsidP="00133C09">
            <w:pPr>
              <w:pStyle w:val="Normal-TableText"/>
            </w:pPr>
          </w:p>
        </w:tc>
        <w:tc>
          <w:tcPr>
            <w:tcW w:w="3594" w:type="pct"/>
          </w:tcPr>
          <w:p w14:paraId="51CB9ABC" w14:textId="77777777" w:rsidR="00215226" w:rsidRPr="00093E8E" w:rsidRDefault="00215226" w:rsidP="00133C09">
            <w:pPr>
              <w:pStyle w:val="Normal-TableText"/>
            </w:pPr>
            <w:r w:rsidRPr="00C6440C">
              <w:t>c</w:t>
            </w:r>
            <w:r w:rsidRPr="00093E8E">
              <w:t>A T</w:t>
            </w:r>
            <w:r w:rsidRPr="00C6440C">
              <w:t>r</w:t>
            </w:r>
            <w:r w:rsidRPr="00093E8E">
              <w:t>u</w:t>
            </w:r>
            <w:r w:rsidRPr="00C6440C">
              <w:t>e</w:t>
            </w:r>
            <w:r w:rsidRPr="00093E8E">
              <w:t xml:space="preserve">; </w:t>
            </w:r>
            <w:r w:rsidRPr="00C6440C">
              <w:t>pa</w:t>
            </w:r>
            <w:r w:rsidRPr="00093E8E">
              <w:t>th l</w:t>
            </w:r>
            <w:r w:rsidRPr="00C6440C">
              <w:t>eng</w:t>
            </w:r>
            <w:r w:rsidRPr="00093E8E">
              <w:t xml:space="preserve">th </w:t>
            </w:r>
            <w:r w:rsidRPr="00C6440C">
              <w:t>c</w:t>
            </w:r>
            <w:r w:rsidRPr="00093E8E">
              <w:t>o</w:t>
            </w:r>
            <w:r w:rsidRPr="00C6440C">
              <w:t>n</w:t>
            </w:r>
            <w:r w:rsidRPr="00093E8E">
              <w:t>st</w:t>
            </w:r>
            <w:r w:rsidRPr="00C6440C">
              <w:t>ra</w:t>
            </w:r>
            <w:r w:rsidRPr="00093E8E">
              <w:t xml:space="preserve">int </w:t>
            </w:r>
            <w:r w:rsidRPr="00C6440C">
              <w:t>a</w:t>
            </w:r>
            <w:r w:rsidRPr="00093E8E">
              <w:t>bs</w:t>
            </w:r>
            <w:r w:rsidRPr="00C6440C">
              <w:t>e</w:t>
            </w:r>
            <w:r w:rsidRPr="00093E8E">
              <w:t>nt or</w:t>
            </w:r>
            <w:r w:rsidRPr="00C6440C">
              <w:t xml:space="preserve"> </w:t>
            </w:r>
            <w:r w:rsidRPr="00093E8E">
              <w:t>v</w:t>
            </w:r>
            <w:r w:rsidRPr="00C6440C">
              <w:t>a</w:t>
            </w:r>
            <w:r w:rsidRPr="00093E8E">
              <w:t>lue</w:t>
            </w:r>
            <w:r w:rsidRPr="00C6440C">
              <w:t xml:space="preserve"> pe</w:t>
            </w:r>
            <w:r w:rsidRPr="00093E8E">
              <w:t>r</w:t>
            </w:r>
            <w:r w:rsidRPr="00C6440C">
              <w:t xml:space="preserve"> PK</w:t>
            </w:r>
            <w:r w:rsidRPr="00093E8E">
              <w:t>I</w:t>
            </w:r>
            <w:r w:rsidRPr="00C6440C">
              <w:t xml:space="preserve"> </w:t>
            </w:r>
            <w:r w:rsidRPr="00093E8E">
              <w:t>h</w:t>
            </w:r>
            <w:r w:rsidRPr="00C6440C">
              <w:t>ierarch</w:t>
            </w:r>
            <w:r w:rsidRPr="00093E8E">
              <w:t>y</w:t>
            </w:r>
          </w:p>
        </w:tc>
      </w:tr>
      <w:tr w:rsidR="00215226" w:rsidRPr="00093E8E" w14:paraId="2A04B53F" w14:textId="77777777" w:rsidTr="00133C09">
        <w:trPr>
          <w:trHeight w:val="113"/>
        </w:trPr>
        <w:tc>
          <w:tcPr>
            <w:tcW w:w="1406" w:type="pct"/>
          </w:tcPr>
          <w:p w14:paraId="01AFCE44" w14:textId="77777777" w:rsidR="00215226" w:rsidRPr="00093E8E" w:rsidRDefault="00215226" w:rsidP="00133C09">
            <w:pPr>
              <w:pStyle w:val="Normal-TableText"/>
            </w:pPr>
            <w:r w:rsidRPr="00093E8E">
              <w:t>E</w:t>
            </w:r>
            <w:r w:rsidRPr="00C6440C">
              <w:t>x</w:t>
            </w:r>
            <w:r w:rsidRPr="00093E8E">
              <w:t>t</w:t>
            </w:r>
            <w:r w:rsidRPr="00C6440C">
              <w:t>e</w:t>
            </w:r>
            <w:r w:rsidRPr="00093E8E">
              <w:t>nd</w:t>
            </w:r>
            <w:r w:rsidRPr="00C6440C">
              <w:t>e</w:t>
            </w:r>
            <w:r w:rsidRPr="00093E8E">
              <w:t>d K</w:t>
            </w:r>
            <w:r w:rsidRPr="00C6440C">
              <w:t>e</w:t>
            </w:r>
            <w:r w:rsidRPr="00093E8E">
              <w:t>y</w:t>
            </w:r>
            <w:r w:rsidRPr="00C6440C">
              <w:t xml:space="preserve"> </w:t>
            </w:r>
            <w:r w:rsidRPr="00093E8E">
              <w:t>Us</w:t>
            </w:r>
            <w:r w:rsidRPr="00C6440C">
              <w:t>ag</w:t>
            </w:r>
            <w:r w:rsidRPr="00093E8E">
              <w:t>e</w:t>
            </w:r>
          </w:p>
        </w:tc>
        <w:tc>
          <w:tcPr>
            <w:tcW w:w="3594" w:type="pct"/>
          </w:tcPr>
          <w:p w14:paraId="5088C544" w14:textId="77777777" w:rsidR="00215226" w:rsidRPr="006F49DA" w:rsidRDefault="00215226" w:rsidP="00133C09">
            <w:pPr>
              <w:pStyle w:val="Normal-TableText"/>
              <w:rPr>
                <w:rStyle w:val="Strong"/>
              </w:rPr>
            </w:pPr>
            <w:r w:rsidRPr="006F49DA">
              <w:rPr>
                <w:rStyle w:val="Strong"/>
              </w:rPr>
              <w:t>Not Used</w:t>
            </w:r>
          </w:p>
        </w:tc>
      </w:tr>
      <w:tr w:rsidR="00215226" w:rsidRPr="00093E8E" w14:paraId="230A4F4D" w14:textId="77777777" w:rsidTr="00133C09">
        <w:trPr>
          <w:trHeight w:val="113"/>
        </w:trPr>
        <w:tc>
          <w:tcPr>
            <w:tcW w:w="1406" w:type="pct"/>
          </w:tcPr>
          <w:p w14:paraId="11A9FFD1" w14:textId="77777777" w:rsidR="00215226" w:rsidRPr="00093E8E" w:rsidRDefault="00215226" w:rsidP="00133C09">
            <w:pPr>
              <w:pStyle w:val="Normal-TableText"/>
            </w:pPr>
            <w:r w:rsidRPr="00C6440C">
              <w:t>Pr</w:t>
            </w:r>
            <w:r w:rsidRPr="00093E8E">
              <w:t>iv</w:t>
            </w:r>
            <w:r w:rsidRPr="00C6440C">
              <w:t>a</w:t>
            </w:r>
            <w:r w:rsidRPr="00093E8E">
              <w:t>te</w:t>
            </w:r>
            <w:r w:rsidRPr="00C6440C">
              <w:t xml:space="preserve"> </w:t>
            </w:r>
            <w:r w:rsidRPr="00093E8E">
              <w:t>K</w:t>
            </w:r>
            <w:r w:rsidRPr="00C6440C">
              <w:t>e</w:t>
            </w:r>
            <w:r w:rsidRPr="00093E8E">
              <w:t>y</w:t>
            </w:r>
            <w:r w:rsidRPr="00C6440C">
              <w:t xml:space="preserve"> </w:t>
            </w:r>
            <w:r w:rsidRPr="00093E8E">
              <w:t>Us</w:t>
            </w:r>
            <w:r w:rsidRPr="00C6440C">
              <w:t>a</w:t>
            </w:r>
            <w:r w:rsidRPr="00093E8E">
              <w:t>ge</w:t>
            </w:r>
            <w:r w:rsidRPr="00C6440C">
              <w:t xml:space="preserve"> Per</w:t>
            </w:r>
            <w:r w:rsidRPr="00093E8E">
              <w:t>i</w:t>
            </w:r>
            <w:r w:rsidRPr="00C6440C">
              <w:t>o</w:t>
            </w:r>
            <w:r w:rsidRPr="00093E8E">
              <w:t>d</w:t>
            </w:r>
          </w:p>
        </w:tc>
        <w:tc>
          <w:tcPr>
            <w:tcW w:w="3594" w:type="pct"/>
          </w:tcPr>
          <w:p w14:paraId="41C7A4CE" w14:textId="77777777" w:rsidR="00215226" w:rsidRPr="006F49DA" w:rsidRDefault="00215226" w:rsidP="00133C09">
            <w:pPr>
              <w:pStyle w:val="Normal-TableText"/>
              <w:rPr>
                <w:rStyle w:val="Strong"/>
              </w:rPr>
            </w:pPr>
            <w:r w:rsidRPr="006F49DA">
              <w:rPr>
                <w:rStyle w:val="Strong"/>
              </w:rPr>
              <w:t>Not Used</w:t>
            </w:r>
          </w:p>
        </w:tc>
      </w:tr>
      <w:tr w:rsidR="00215226" w:rsidRPr="00093E8E" w14:paraId="534DDA13" w14:textId="77777777" w:rsidTr="00133C09">
        <w:trPr>
          <w:trHeight w:val="113"/>
        </w:trPr>
        <w:tc>
          <w:tcPr>
            <w:tcW w:w="1406" w:type="pct"/>
            <w:vMerge w:val="restart"/>
          </w:tcPr>
          <w:p w14:paraId="5D90F5FE" w14:textId="77777777" w:rsidR="00215226" w:rsidRPr="00093E8E" w:rsidRDefault="00215226" w:rsidP="00133C09">
            <w:pPr>
              <w:pStyle w:val="Normal-TableText"/>
            </w:pPr>
            <w:r w:rsidRPr="00C6440C">
              <w:t>Cer</w:t>
            </w:r>
            <w:r w:rsidRPr="00093E8E">
              <w:t>ti</w:t>
            </w:r>
            <w:r w:rsidRPr="00C6440C">
              <w:t>f</w:t>
            </w:r>
            <w:r w:rsidRPr="00093E8E">
              <w:t>i</w:t>
            </w:r>
            <w:r w:rsidRPr="00C6440C">
              <w:t>ca</w:t>
            </w:r>
            <w:r w:rsidRPr="00093E8E">
              <w:t>te</w:t>
            </w:r>
            <w:r w:rsidRPr="00C6440C">
              <w:t xml:space="preserve"> P</w:t>
            </w:r>
            <w:r w:rsidRPr="00093E8E">
              <w:t>oli</w:t>
            </w:r>
            <w:r w:rsidRPr="00C6440C">
              <w:t>c</w:t>
            </w:r>
            <w:r w:rsidRPr="00093E8E">
              <w:t>i</w:t>
            </w:r>
            <w:r w:rsidRPr="00C6440C">
              <w:t>es</w:t>
            </w:r>
          </w:p>
        </w:tc>
        <w:tc>
          <w:tcPr>
            <w:tcW w:w="3594" w:type="pct"/>
          </w:tcPr>
          <w:p w14:paraId="1D39F3E2" w14:textId="77777777" w:rsidR="00215226" w:rsidRPr="006F49DA" w:rsidRDefault="00215226" w:rsidP="00133C09">
            <w:pPr>
              <w:pStyle w:val="Normal-TableText"/>
              <w:rPr>
                <w:rStyle w:val="Strong"/>
              </w:rPr>
            </w:pPr>
            <w:r w:rsidRPr="006F49DA">
              <w:rPr>
                <w:rStyle w:val="Strong"/>
              </w:rPr>
              <w:t>Required</w:t>
            </w:r>
          </w:p>
        </w:tc>
      </w:tr>
      <w:tr w:rsidR="00215226" w:rsidRPr="00093E8E" w14:paraId="7BD85A9E" w14:textId="77777777" w:rsidTr="00133C09">
        <w:trPr>
          <w:trHeight w:val="113"/>
        </w:trPr>
        <w:tc>
          <w:tcPr>
            <w:tcW w:w="1406" w:type="pct"/>
            <w:vMerge/>
          </w:tcPr>
          <w:p w14:paraId="6CB3F4D9" w14:textId="77777777" w:rsidR="00215226" w:rsidRPr="00093E8E" w:rsidRDefault="00215226" w:rsidP="00133C09">
            <w:pPr>
              <w:pStyle w:val="Normal-TableText"/>
              <w:rPr>
                <w:rFonts w:ascii="Cambria" w:hAnsi="Cambria"/>
                <w:sz w:val="22"/>
              </w:rPr>
            </w:pPr>
          </w:p>
        </w:tc>
        <w:tc>
          <w:tcPr>
            <w:tcW w:w="3594" w:type="pct"/>
          </w:tcPr>
          <w:p w14:paraId="4EC522E4" w14:textId="77777777" w:rsidR="00215226" w:rsidRPr="00093E8E" w:rsidRDefault="00215226" w:rsidP="00133C09">
            <w:pPr>
              <w:pStyle w:val="Normal-TableText"/>
              <w:rPr>
                <w:rFonts w:ascii="Cambria" w:hAnsi="Cambria"/>
                <w:sz w:val="22"/>
              </w:rPr>
            </w:pPr>
            <w:r w:rsidRPr="00C6440C">
              <w:t>Se</w:t>
            </w:r>
            <w:r w:rsidRPr="00E64190">
              <w:t>qu</w:t>
            </w:r>
            <w:r w:rsidRPr="00C6440C">
              <w:t>e</w:t>
            </w:r>
            <w:r w:rsidRPr="00E64190">
              <w:t>n</w:t>
            </w:r>
            <w:r w:rsidRPr="00C6440C">
              <w:t>c</w:t>
            </w:r>
            <w:r w:rsidRPr="00E64190">
              <w:t>e</w:t>
            </w:r>
            <w:r w:rsidRPr="00C6440C">
              <w:t xml:space="preserve"> </w:t>
            </w:r>
            <w:r w:rsidRPr="00E64190">
              <w:t>of</w:t>
            </w:r>
            <w:r w:rsidRPr="00C6440C">
              <w:t xml:space="preserve"> o</w:t>
            </w:r>
            <w:r w:rsidRPr="00E64190">
              <w:t>ne</w:t>
            </w:r>
            <w:r w:rsidRPr="00C6440C">
              <w:t xml:space="preserve"> </w:t>
            </w:r>
            <w:r w:rsidRPr="00E64190">
              <w:t>or</w:t>
            </w:r>
            <w:r w:rsidRPr="00C6440C">
              <w:t xml:space="preserve"> </w:t>
            </w:r>
            <w:r w:rsidRPr="00E64190">
              <w:t>mo</w:t>
            </w:r>
            <w:r w:rsidRPr="00C6440C">
              <w:t>r</w:t>
            </w:r>
            <w:r w:rsidRPr="00E64190">
              <w:t>e</w:t>
            </w:r>
            <w:r w:rsidRPr="00C6440C">
              <w:t xml:space="preserve"> </w:t>
            </w:r>
            <w:r w:rsidRPr="00E64190">
              <w:t>poli</w:t>
            </w:r>
            <w:r w:rsidRPr="00C6440C">
              <w:t>c</w:t>
            </w:r>
            <w:r w:rsidRPr="00E64190">
              <w:t>y in</w:t>
            </w:r>
            <w:r w:rsidRPr="00C6440C">
              <w:t>f</w:t>
            </w:r>
            <w:r w:rsidRPr="00E64190">
              <w:t>o</w:t>
            </w:r>
            <w:r w:rsidRPr="00C6440C">
              <w:t>rma</w:t>
            </w:r>
            <w:r w:rsidRPr="00E64190">
              <w:t>tion t</w:t>
            </w:r>
            <w:r w:rsidRPr="00C6440C">
              <w:t>er</w:t>
            </w:r>
            <w:r w:rsidRPr="00E64190">
              <w:t xml:space="preserve">ms, </w:t>
            </w:r>
            <w:r w:rsidRPr="00C6440C">
              <w:t>eac</w:t>
            </w:r>
            <w:r w:rsidRPr="00E64190">
              <w:t>h of</w:t>
            </w:r>
            <w:r w:rsidRPr="00C6440C">
              <w:t xml:space="preserve"> </w:t>
            </w:r>
            <w:r w:rsidRPr="00E64190">
              <w:t>whi</w:t>
            </w:r>
            <w:r w:rsidRPr="00C6440C">
              <w:t>c</w:t>
            </w:r>
            <w:r w:rsidRPr="00E64190">
              <w:t xml:space="preserve">h </w:t>
            </w:r>
            <w:r w:rsidRPr="00C6440C">
              <w:t>c</w:t>
            </w:r>
            <w:r w:rsidRPr="00E64190">
              <w:t>onsists of</w:t>
            </w:r>
            <w:r w:rsidRPr="00C6440C">
              <w:t xml:space="preserve"> a</w:t>
            </w:r>
            <w:r w:rsidRPr="00E64190">
              <w:t>n obj</w:t>
            </w:r>
            <w:r w:rsidRPr="00C6440C">
              <w:t>ec</w:t>
            </w:r>
            <w:r w:rsidRPr="00E64190">
              <w:t>t id</w:t>
            </w:r>
            <w:r w:rsidRPr="00C6440C">
              <w:t>en</w:t>
            </w:r>
            <w:r w:rsidRPr="00E64190">
              <w:t>ti</w:t>
            </w:r>
            <w:r w:rsidRPr="00C6440C">
              <w:t>f</w:t>
            </w:r>
            <w:r w:rsidRPr="00E64190">
              <w:t>i</w:t>
            </w:r>
            <w:r w:rsidRPr="00C6440C">
              <w:t>e</w:t>
            </w:r>
            <w:r w:rsidRPr="00E64190">
              <w:t>r OI</w:t>
            </w:r>
            <w:r w:rsidRPr="00C6440C">
              <w:t>D a</w:t>
            </w:r>
            <w:r w:rsidRPr="00E64190">
              <w:t>nd option</w:t>
            </w:r>
            <w:r w:rsidRPr="00C6440C">
              <w:t>a</w:t>
            </w:r>
            <w:r w:rsidRPr="00E64190">
              <w:t>l</w:t>
            </w:r>
            <w:r w:rsidRPr="00C6440C">
              <w:t>l</w:t>
            </w:r>
            <w:r w:rsidRPr="00E64190">
              <w:t>y id</w:t>
            </w:r>
            <w:r w:rsidRPr="00C6440C">
              <w:t>-</w:t>
            </w:r>
            <w:r w:rsidRPr="00E64190">
              <w:t>qt</w:t>
            </w:r>
            <w:r w:rsidRPr="00C6440C">
              <w:t>-c</w:t>
            </w:r>
            <w:r w:rsidRPr="00E64190">
              <w:t>ps</w:t>
            </w:r>
            <w:r w:rsidRPr="00C6440C">
              <w:t xml:space="preserve"> </w:t>
            </w:r>
            <w:r w:rsidRPr="00E64190">
              <w:t>| id- qt</w:t>
            </w:r>
            <w:r w:rsidRPr="00C6440C">
              <w:t>-</w:t>
            </w:r>
            <w:r w:rsidRPr="00E64190">
              <w:t>unoti</w:t>
            </w:r>
            <w:r w:rsidRPr="00C6440C">
              <w:t>c</w:t>
            </w:r>
            <w:r w:rsidRPr="00E64190">
              <w:t>e</w:t>
            </w:r>
            <w:r w:rsidRPr="00C6440C">
              <w:t xml:space="preserve"> </w:t>
            </w:r>
            <w:r w:rsidRPr="00E64190">
              <w:t>qu</w:t>
            </w:r>
            <w:r w:rsidRPr="00C6440C">
              <w:t>a</w:t>
            </w:r>
            <w:r w:rsidRPr="00E64190">
              <w:t>li</w:t>
            </w:r>
            <w:r w:rsidRPr="00C6440C">
              <w:t>f</w:t>
            </w:r>
            <w:r w:rsidRPr="00E64190">
              <w:t>i</w:t>
            </w:r>
            <w:r w:rsidRPr="00C6440C">
              <w:t>er</w:t>
            </w:r>
            <w:r w:rsidRPr="00E64190">
              <w:t>s</w:t>
            </w:r>
          </w:p>
        </w:tc>
      </w:tr>
      <w:tr w:rsidR="00DC2AE0" w:rsidRPr="00093E8E" w14:paraId="3440B94A" w14:textId="77777777" w:rsidTr="002A216F">
        <w:trPr>
          <w:trHeight w:val="113"/>
          <w:tblHeader/>
        </w:trPr>
        <w:tc>
          <w:tcPr>
            <w:tcW w:w="1406" w:type="pct"/>
          </w:tcPr>
          <w:p w14:paraId="5C0F490E" w14:textId="77777777" w:rsidR="00DC2AE0" w:rsidRPr="00093E8E" w:rsidRDefault="00DC2AE0" w:rsidP="002A216F">
            <w:pPr>
              <w:pStyle w:val="Normal-TableText"/>
            </w:pPr>
            <w:r w:rsidRPr="00C6440C">
              <w:rPr>
                <w:rStyle w:val="Strong"/>
              </w:rPr>
              <w:t>F</w:t>
            </w:r>
            <w:r w:rsidRPr="00093E8E">
              <w:t>i</w:t>
            </w:r>
            <w:r w:rsidRPr="00C6440C">
              <w:rPr>
                <w:rStyle w:val="Strong"/>
              </w:rPr>
              <w:t>e</w:t>
            </w:r>
            <w:r w:rsidRPr="00093E8E">
              <w:t>l</w:t>
            </w:r>
            <w:r w:rsidRPr="00C6440C">
              <w:rPr>
                <w:rStyle w:val="Strong"/>
              </w:rPr>
              <w:t>d</w:t>
            </w:r>
            <w:r w:rsidRPr="00093E8E">
              <w:t xml:space="preserve">/ </w:t>
            </w:r>
            <w:r w:rsidRPr="00C6440C">
              <w:rPr>
                <w:rStyle w:val="Strong"/>
              </w:rPr>
              <w:t>E</w:t>
            </w:r>
            <w:r w:rsidRPr="00093E8E">
              <w:t>x</w:t>
            </w:r>
            <w:r w:rsidRPr="00C6440C">
              <w:rPr>
                <w:rStyle w:val="Strong"/>
              </w:rPr>
              <w:t>ten</w:t>
            </w:r>
            <w:r w:rsidRPr="00093E8E">
              <w:t>sion</w:t>
            </w:r>
          </w:p>
        </w:tc>
        <w:tc>
          <w:tcPr>
            <w:tcW w:w="3594" w:type="pct"/>
          </w:tcPr>
          <w:p w14:paraId="51729812" w14:textId="77777777" w:rsidR="00DC2AE0" w:rsidRPr="00093E8E" w:rsidRDefault="00DC2AE0" w:rsidP="002A216F">
            <w:pPr>
              <w:pStyle w:val="Normal-TableText"/>
            </w:pPr>
            <w:r w:rsidRPr="00093E8E">
              <w:t>Root CA Certificate</w:t>
            </w:r>
          </w:p>
        </w:tc>
      </w:tr>
      <w:tr w:rsidR="00215226" w:rsidRPr="00093E8E" w14:paraId="2434C1FE" w14:textId="77777777" w:rsidTr="00930082">
        <w:trPr>
          <w:trHeight w:val="113"/>
        </w:trPr>
        <w:tc>
          <w:tcPr>
            <w:tcW w:w="1406" w:type="pct"/>
            <w:vMerge w:val="restart"/>
            <w:shd w:val="clear" w:color="auto" w:fill="auto"/>
          </w:tcPr>
          <w:p w14:paraId="36195EC7" w14:textId="0472F1BE" w:rsidR="00215226" w:rsidRPr="00093E8E" w:rsidRDefault="00215226" w:rsidP="00133C09">
            <w:pPr>
              <w:pStyle w:val="Normal-TableText"/>
              <w:rPr>
                <w:rFonts w:ascii="Cambria" w:hAnsi="Cambria"/>
                <w:sz w:val="22"/>
              </w:rPr>
            </w:pPr>
            <w:r w:rsidRPr="00C6440C">
              <w:t>P</w:t>
            </w:r>
            <w:r w:rsidRPr="00E64190">
              <w:t>oli</w:t>
            </w:r>
            <w:r w:rsidRPr="00C6440C">
              <w:t>c</w:t>
            </w:r>
            <w:r w:rsidRPr="00E64190">
              <w:t>y M</w:t>
            </w:r>
            <w:r w:rsidRPr="00C6440C">
              <w:t>a</w:t>
            </w:r>
            <w:r w:rsidRPr="00E64190">
              <w:t>ppi</w:t>
            </w:r>
            <w:r w:rsidRPr="00C6440C">
              <w:t>n</w:t>
            </w:r>
            <w:r w:rsidRPr="00E64190">
              <w:t>gs</w:t>
            </w:r>
          </w:p>
        </w:tc>
        <w:tc>
          <w:tcPr>
            <w:tcW w:w="3594" w:type="pct"/>
            <w:shd w:val="clear" w:color="auto" w:fill="auto"/>
          </w:tcPr>
          <w:p w14:paraId="0655CA0B" w14:textId="77777777" w:rsidR="00215226" w:rsidRPr="00F962D8" w:rsidRDefault="00215226" w:rsidP="00133C09">
            <w:pPr>
              <w:pStyle w:val="Normal-TableText"/>
              <w:rPr>
                <w:rStyle w:val="Strong"/>
                <w:b w:val="0"/>
              </w:rPr>
            </w:pPr>
            <w:r w:rsidRPr="00F962D8">
              <w:rPr>
                <w:rStyle w:val="Strong"/>
                <w:b w:val="0"/>
              </w:rPr>
              <w:t>Optional</w:t>
            </w:r>
          </w:p>
        </w:tc>
      </w:tr>
      <w:tr w:rsidR="00215226" w:rsidRPr="00093E8E" w14:paraId="0D55AE9C" w14:textId="77777777" w:rsidTr="00133C09">
        <w:trPr>
          <w:trHeight w:val="113"/>
        </w:trPr>
        <w:tc>
          <w:tcPr>
            <w:tcW w:w="1406" w:type="pct"/>
            <w:vMerge/>
          </w:tcPr>
          <w:p w14:paraId="1702F761" w14:textId="77777777" w:rsidR="00215226" w:rsidRPr="00093E8E" w:rsidRDefault="00215226" w:rsidP="00133C09">
            <w:pPr>
              <w:pStyle w:val="Normal-TableText"/>
              <w:rPr>
                <w:rFonts w:ascii="Cambria" w:hAnsi="Cambria"/>
                <w:sz w:val="22"/>
              </w:rPr>
            </w:pPr>
          </w:p>
        </w:tc>
        <w:tc>
          <w:tcPr>
            <w:tcW w:w="3594" w:type="pct"/>
          </w:tcPr>
          <w:p w14:paraId="67D9105D" w14:textId="77777777" w:rsidR="00215226" w:rsidRPr="00093E8E" w:rsidRDefault="00215226" w:rsidP="00133C09">
            <w:pPr>
              <w:pStyle w:val="Normal-TableText"/>
              <w:rPr>
                <w:rFonts w:ascii="Cambria" w:hAnsi="Cambria"/>
                <w:sz w:val="22"/>
              </w:rPr>
            </w:pPr>
            <w:r w:rsidRPr="00C6440C">
              <w:t>Se</w:t>
            </w:r>
            <w:r w:rsidRPr="00E64190">
              <w:t>qu</w:t>
            </w:r>
            <w:r w:rsidRPr="00C6440C">
              <w:t>e</w:t>
            </w:r>
            <w:r w:rsidRPr="00E64190">
              <w:t>n</w:t>
            </w:r>
            <w:r w:rsidRPr="00C6440C">
              <w:t>c</w:t>
            </w:r>
            <w:r w:rsidRPr="00E64190">
              <w:t>e</w:t>
            </w:r>
            <w:r w:rsidRPr="00C6440C">
              <w:t xml:space="preserve"> </w:t>
            </w:r>
            <w:r w:rsidRPr="00E64190">
              <w:t>of</w:t>
            </w:r>
            <w:r w:rsidRPr="00C6440C">
              <w:t xml:space="preserve"> o</w:t>
            </w:r>
            <w:r w:rsidRPr="00E64190">
              <w:t>ne</w:t>
            </w:r>
            <w:r w:rsidRPr="00C6440C">
              <w:t xml:space="preserve"> </w:t>
            </w:r>
            <w:r w:rsidRPr="00E64190">
              <w:t>or</w:t>
            </w:r>
            <w:r w:rsidRPr="00C6440C">
              <w:t xml:space="preserve"> </w:t>
            </w:r>
            <w:r w:rsidRPr="00E64190">
              <w:t>mo</w:t>
            </w:r>
            <w:r w:rsidRPr="00C6440C">
              <w:t>r</w:t>
            </w:r>
            <w:r w:rsidRPr="00E64190">
              <w:t>e</w:t>
            </w:r>
            <w:r w:rsidRPr="00C6440C">
              <w:t xml:space="preserve"> </w:t>
            </w:r>
            <w:r w:rsidRPr="00E64190">
              <w:t>p</w:t>
            </w:r>
            <w:r w:rsidRPr="00C6440C">
              <w:t>a</w:t>
            </w:r>
            <w:r w:rsidRPr="00E64190">
              <w:t>i</w:t>
            </w:r>
            <w:r w:rsidRPr="00C6440C">
              <w:t>r</w:t>
            </w:r>
            <w:r w:rsidRPr="00E64190">
              <w:t>s of</w:t>
            </w:r>
            <w:r w:rsidRPr="00C6440C">
              <w:t xml:space="preserve"> O</w:t>
            </w:r>
            <w:r w:rsidRPr="00E64190">
              <w:t>IDs;</w:t>
            </w:r>
            <w:r w:rsidRPr="00C6440C">
              <w:t xml:space="preserve"> eac</w:t>
            </w:r>
            <w:r w:rsidRPr="00E64190">
              <w:t xml:space="preserve">h </w:t>
            </w:r>
            <w:r w:rsidRPr="00C6440C">
              <w:t>pa</w:t>
            </w:r>
            <w:r w:rsidRPr="00E64190">
              <w:t>ir</w:t>
            </w:r>
            <w:r w:rsidRPr="00C6440C">
              <w:t xml:space="preserve"> </w:t>
            </w:r>
            <w:r w:rsidRPr="00E64190">
              <w:t>in</w:t>
            </w:r>
            <w:r w:rsidRPr="00C6440C">
              <w:t>c</w:t>
            </w:r>
            <w:r w:rsidRPr="00E64190">
              <w:t>lud</w:t>
            </w:r>
            <w:r w:rsidRPr="00C6440C">
              <w:t>e</w:t>
            </w:r>
            <w:r w:rsidRPr="00E64190">
              <w:t xml:space="preserve">s </w:t>
            </w:r>
            <w:r w:rsidRPr="00C6440C">
              <w:t>a</w:t>
            </w:r>
            <w:r w:rsidRPr="00E64190">
              <w:t>n issu</w:t>
            </w:r>
            <w:r w:rsidRPr="00C6440C">
              <w:t>er</w:t>
            </w:r>
            <w:r w:rsidRPr="00E64190">
              <w:t>Dom</w:t>
            </w:r>
            <w:r w:rsidRPr="00C6440C">
              <w:t>a</w:t>
            </w:r>
            <w:r w:rsidRPr="00E64190">
              <w:t>in</w:t>
            </w:r>
            <w:r w:rsidRPr="00C6440C">
              <w:t>P</w:t>
            </w:r>
            <w:r w:rsidRPr="00E64190">
              <w:t>oli</w:t>
            </w:r>
            <w:r w:rsidRPr="00C6440C">
              <w:t>c</w:t>
            </w:r>
            <w:r w:rsidRPr="00E64190">
              <w:t xml:space="preserve">y </w:t>
            </w:r>
            <w:r w:rsidRPr="00C6440C">
              <w:t>a</w:t>
            </w:r>
            <w:r w:rsidRPr="00E64190">
              <w:t>nd</w:t>
            </w:r>
            <w:r w:rsidRPr="00C6440C">
              <w:t xml:space="preserve"> </w:t>
            </w:r>
            <w:r w:rsidRPr="00E64190">
              <w:t>a</w:t>
            </w:r>
            <w:r w:rsidRPr="00C6440C">
              <w:t xml:space="preserve"> </w:t>
            </w:r>
            <w:r w:rsidRPr="00E64190">
              <w:t>subj</w:t>
            </w:r>
            <w:r w:rsidRPr="00C6440C">
              <w:t>ec</w:t>
            </w:r>
            <w:r w:rsidRPr="00E64190">
              <w:t>tDom</w:t>
            </w:r>
            <w:r w:rsidRPr="00C6440C">
              <w:t>a</w:t>
            </w:r>
            <w:r w:rsidRPr="00E64190">
              <w:t>in</w:t>
            </w:r>
            <w:r w:rsidRPr="00C6440C">
              <w:t>P</w:t>
            </w:r>
            <w:r w:rsidRPr="00E64190">
              <w:t>oli</w:t>
            </w:r>
            <w:r w:rsidRPr="00C6440C">
              <w:t>c</w:t>
            </w:r>
            <w:r w:rsidRPr="00E64190">
              <w:t>y</w:t>
            </w:r>
          </w:p>
        </w:tc>
      </w:tr>
      <w:tr w:rsidR="00215226" w:rsidRPr="00093E8E" w14:paraId="3335F480" w14:textId="77777777" w:rsidTr="00133C09">
        <w:trPr>
          <w:trHeight w:val="113"/>
        </w:trPr>
        <w:tc>
          <w:tcPr>
            <w:tcW w:w="1406" w:type="pct"/>
          </w:tcPr>
          <w:p w14:paraId="2B183C96" w14:textId="77777777" w:rsidR="00215226" w:rsidRPr="00093E8E" w:rsidRDefault="00215226" w:rsidP="00133C09">
            <w:pPr>
              <w:pStyle w:val="Normal-TableText"/>
              <w:rPr>
                <w:rFonts w:ascii="Cambria" w:hAnsi="Cambria"/>
                <w:sz w:val="22"/>
              </w:rPr>
            </w:pPr>
            <w:r w:rsidRPr="00C6440C">
              <w:t>S</w:t>
            </w:r>
            <w:r w:rsidRPr="00E64190">
              <w:t>ubj</w:t>
            </w:r>
            <w:r w:rsidRPr="00C6440C">
              <w:t>ec</w:t>
            </w:r>
            <w:r w:rsidRPr="00E64190">
              <w:t>t Alt</w:t>
            </w:r>
            <w:r w:rsidRPr="00C6440C">
              <w:t>er</w:t>
            </w:r>
            <w:r w:rsidRPr="00E64190">
              <w:t>n</w:t>
            </w:r>
            <w:r w:rsidRPr="00C6440C">
              <w:t>a</w:t>
            </w:r>
            <w:r w:rsidRPr="00E64190">
              <w:t>tive</w:t>
            </w:r>
            <w:r w:rsidRPr="00C6440C">
              <w:t xml:space="preserve"> </w:t>
            </w:r>
            <w:r w:rsidRPr="00E64190">
              <w:t>N</w:t>
            </w:r>
            <w:r w:rsidRPr="00C6440C">
              <w:t>am</w:t>
            </w:r>
            <w:r w:rsidRPr="00E64190">
              <w:t>e</w:t>
            </w:r>
          </w:p>
        </w:tc>
        <w:tc>
          <w:tcPr>
            <w:tcW w:w="3594" w:type="pct"/>
          </w:tcPr>
          <w:p w14:paraId="5BD91CE2" w14:textId="77777777" w:rsidR="00215226" w:rsidRPr="006F49DA" w:rsidRDefault="00215226" w:rsidP="00133C09">
            <w:pPr>
              <w:pStyle w:val="Normal-TableText"/>
              <w:rPr>
                <w:rStyle w:val="Strong"/>
              </w:rPr>
            </w:pPr>
            <w:r w:rsidRPr="006F49DA">
              <w:rPr>
                <w:rStyle w:val="Strong"/>
              </w:rPr>
              <w:t>Not Used</w:t>
            </w:r>
          </w:p>
        </w:tc>
      </w:tr>
      <w:tr w:rsidR="00215226" w:rsidRPr="00093E8E" w14:paraId="74D3341E" w14:textId="77777777" w:rsidTr="00133C09">
        <w:trPr>
          <w:trHeight w:val="113"/>
        </w:trPr>
        <w:tc>
          <w:tcPr>
            <w:tcW w:w="1406" w:type="pct"/>
          </w:tcPr>
          <w:p w14:paraId="37F1A9A4" w14:textId="77777777" w:rsidR="00215226" w:rsidRPr="00093E8E" w:rsidRDefault="00215226" w:rsidP="00133C09">
            <w:pPr>
              <w:pStyle w:val="Normal-TableText"/>
              <w:rPr>
                <w:rFonts w:ascii="Cambria" w:hAnsi="Cambria"/>
                <w:sz w:val="22"/>
              </w:rPr>
            </w:pPr>
            <w:r w:rsidRPr="00E64190">
              <w:t>Iss</w:t>
            </w:r>
            <w:r w:rsidRPr="00C6440C">
              <w:t>ue</w:t>
            </w:r>
            <w:r w:rsidRPr="00E64190">
              <w:t>r</w:t>
            </w:r>
            <w:r w:rsidRPr="00C6440C">
              <w:t xml:space="preserve"> </w:t>
            </w:r>
            <w:r w:rsidRPr="00E64190">
              <w:t>Alt</w:t>
            </w:r>
            <w:r w:rsidRPr="00C6440C">
              <w:t>erna</w:t>
            </w:r>
            <w:r w:rsidRPr="00E64190">
              <w:t>tive</w:t>
            </w:r>
            <w:r w:rsidRPr="00C6440C">
              <w:t xml:space="preserve"> </w:t>
            </w:r>
            <w:r w:rsidRPr="00E64190">
              <w:t>N</w:t>
            </w:r>
            <w:r w:rsidRPr="00C6440C">
              <w:t>a</w:t>
            </w:r>
            <w:r w:rsidRPr="00E64190">
              <w:t>me</w:t>
            </w:r>
          </w:p>
        </w:tc>
        <w:tc>
          <w:tcPr>
            <w:tcW w:w="3594" w:type="pct"/>
          </w:tcPr>
          <w:p w14:paraId="4D05DBEF" w14:textId="77777777" w:rsidR="00215226" w:rsidRPr="006F49DA" w:rsidRDefault="00215226" w:rsidP="00133C09">
            <w:pPr>
              <w:pStyle w:val="Normal-TableText"/>
              <w:rPr>
                <w:rStyle w:val="Strong"/>
              </w:rPr>
            </w:pPr>
            <w:r w:rsidRPr="006F49DA">
              <w:rPr>
                <w:rStyle w:val="Strong"/>
              </w:rPr>
              <w:t>Not Used</w:t>
            </w:r>
          </w:p>
        </w:tc>
      </w:tr>
      <w:tr w:rsidR="00215226" w:rsidRPr="00093E8E" w14:paraId="0CBB8756" w14:textId="77777777" w:rsidTr="00133C09">
        <w:trPr>
          <w:trHeight w:val="113"/>
        </w:trPr>
        <w:tc>
          <w:tcPr>
            <w:tcW w:w="1406" w:type="pct"/>
          </w:tcPr>
          <w:p w14:paraId="658349FF" w14:textId="77777777" w:rsidR="00215226" w:rsidRPr="00E64190" w:rsidRDefault="00215226" w:rsidP="00133C09">
            <w:pPr>
              <w:pStyle w:val="Normal-TableText"/>
            </w:pPr>
            <w:r w:rsidRPr="00C6440C">
              <w:t>S</w:t>
            </w:r>
            <w:r w:rsidRPr="00E64190">
              <w:t>ubj</w:t>
            </w:r>
            <w:r w:rsidRPr="00C6440C">
              <w:t>ec</w:t>
            </w:r>
            <w:r w:rsidRPr="00E64190">
              <w:t>t Di</w:t>
            </w:r>
            <w:r w:rsidRPr="00C6440C">
              <w:t>rec</w:t>
            </w:r>
            <w:r w:rsidRPr="00E64190">
              <w:t>to</w:t>
            </w:r>
            <w:r w:rsidRPr="00C6440C">
              <w:t>r</w:t>
            </w:r>
            <w:r w:rsidRPr="00E64190">
              <w:t>y</w:t>
            </w:r>
          </w:p>
          <w:p w14:paraId="78BAB970" w14:textId="77777777" w:rsidR="00215226" w:rsidRPr="00093E8E" w:rsidRDefault="00215226" w:rsidP="00133C09">
            <w:pPr>
              <w:pStyle w:val="Normal-TableText"/>
              <w:rPr>
                <w:rFonts w:ascii="Cambria" w:hAnsi="Cambria"/>
                <w:sz w:val="22"/>
              </w:rPr>
            </w:pPr>
            <w:r w:rsidRPr="00E64190">
              <w:t>Att</w:t>
            </w:r>
            <w:r w:rsidRPr="00C6440C">
              <w:t>r</w:t>
            </w:r>
            <w:r w:rsidRPr="00E64190">
              <w:t>ibut</w:t>
            </w:r>
            <w:r w:rsidRPr="00C6440C">
              <w:t>e</w:t>
            </w:r>
            <w:r w:rsidRPr="00E64190">
              <w:t>s</w:t>
            </w:r>
          </w:p>
        </w:tc>
        <w:tc>
          <w:tcPr>
            <w:tcW w:w="3594" w:type="pct"/>
          </w:tcPr>
          <w:p w14:paraId="2E68FCEB" w14:textId="77777777" w:rsidR="00215226" w:rsidRPr="006F49DA" w:rsidRDefault="00215226" w:rsidP="00133C09">
            <w:pPr>
              <w:pStyle w:val="Normal-TableText"/>
              <w:rPr>
                <w:rStyle w:val="Strong"/>
              </w:rPr>
            </w:pPr>
            <w:r w:rsidRPr="006F49DA">
              <w:rPr>
                <w:rStyle w:val="Strong"/>
              </w:rPr>
              <w:t>Not Used</w:t>
            </w:r>
          </w:p>
        </w:tc>
      </w:tr>
      <w:tr w:rsidR="00215226" w:rsidRPr="00093E8E" w14:paraId="01200274" w14:textId="77777777" w:rsidTr="00133C09">
        <w:trPr>
          <w:trHeight w:val="113"/>
        </w:trPr>
        <w:tc>
          <w:tcPr>
            <w:tcW w:w="1406" w:type="pct"/>
            <w:vMerge w:val="restart"/>
          </w:tcPr>
          <w:p w14:paraId="1143980E" w14:textId="77777777" w:rsidR="00215226" w:rsidRPr="00093E8E" w:rsidRDefault="00215226" w:rsidP="00133C09">
            <w:pPr>
              <w:pStyle w:val="Normal-TableText"/>
              <w:rPr>
                <w:rFonts w:ascii="Cambria" w:hAnsi="Cambria"/>
                <w:sz w:val="22"/>
              </w:rPr>
            </w:pPr>
            <w:r w:rsidRPr="00E64190">
              <w:t>N</w:t>
            </w:r>
            <w:r w:rsidRPr="00C6440C">
              <w:t>a</w:t>
            </w:r>
            <w:r w:rsidRPr="00E64190">
              <w:t>me</w:t>
            </w:r>
            <w:r w:rsidRPr="00C6440C">
              <w:t xml:space="preserve"> C</w:t>
            </w:r>
            <w:r w:rsidRPr="00E64190">
              <w:t>onst</w:t>
            </w:r>
            <w:r w:rsidRPr="00C6440C">
              <w:t>ra</w:t>
            </w:r>
            <w:r w:rsidRPr="00E64190">
              <w:t>ints</w:t>
            </w:r>
          </w:p>
        </w:tc>
        <w:tc>
          <w:tcPr>
            <w:tcW w:w="3594" w:type="pct"/>
          </w:tcPr>
          <w:p w14:paraId="692D1232" w14:textId="77777777" w:rsidR="00215226" w:rsidRPr="006F49DA" w:rsidRDefault="00215226" w:rsidP="00133C09">
            <w:pPr>
              <w:pStyle w:val="Normal-TableText"/>
              <w:rPr>
                <w:rStyle w:val="Strong"/>
              </w:rPr>
            </w:pPr>
            <w:r w:rsidRPr="006F49DA">
              <w:rPr>
                <w:rStyle w:val="Strong"/>
              </w:rPr>
              <w:t>Optional</w:t>
            </w:r>
          </w:p>
        </w:tc>
      </w:tr>
      <w:tr w:rsidR="00215226" w:rsidRPr="00093E8E" w14:paraId="2B4420E2" w14:textId="77777777" w:rsidTr="00133C09">
        <w:trPr>
          <w:trHeight w:val="113"/>
        </w:trPr>
        <w:tc>
          <w:tcPr>
            <w:tcW w:w="1406" w:type="pct"/>
            <w:vMerge/>
          </w:tcPr>
          <w:p w14:paraId="440ABA09" w14:textId="77777777" w:rsidR="00215226" w:rsidRPr="00093E8E" w:rsidRDefault="00215226" w:rsidP="00133C09">
            <w:pPr>
              <w:pStyle w:val="Normal-TableText"/>
              <w:rPr>
                <w:rFonts w:ascii="Cambria" w:hAnsi="Cambria"/>
                <w:sz w:val="22"/>
              </w:rPr>
            </w:pPr>
          </w:p>
        </w:tc>
        <w:tc>
          <w:tcPr>
            <w:tcW w:w="3594" w:type="pct"/>
          </w:tcPr>
          <w:p w14:paraId="6A8FD751" w14:textId="77777777" w:rsidR="00215226" w:rsidRPr="00093E8E" w:rsidRDefault="00215226" w:rsidP="00133C09">
            <w:pPr>
              <w:pStyle w:val="Normal-TableText"/>
              <w:rPr>
                <w:rFonts w:ascii="Cambria" w:hAnsi="Cambria"/>
                <w:sz w:val="22"/>
              </w:rPr>
            </w:pPr>
            <w:r w:rsidRPr="00E64190">
              <w:t>If</w:t>
            </w:r>
            <w:r w:rsidRPr="00C6440C">
              <w:t xml:space="preserve"> </w:t>
            </w:r>
            <w:r w:rsidRPr="00E64190">
              <w:t>in</w:t>
            </w:r>
            <w:r w:rsidRPr="00C6440C">
              <w:t>c</w:t>
            </w:r>
            <w:r w:rsidRPr="00E64190">
              <w:t>lud</w:t>
            </w:r>
            <w:r w:rsidRPr="00C6440C">
              <w:t>e</w:t>
            </w:r>
            <w:r w:rsidRPr="00E64190">
              <w:t>d, it sh</w:t>
            </w:r>
            <w:r w:rsidRPr="00C6440C">
              <w:t>a</w:t>
            </w:r>
            <w:r w:rsidRPr="00E64190">
              <w:t xml:space="preserve">ll </w:t>
            </w:r>
            <w:r w:rsidRPr="00C6440C">
              <w:t>c</w:t>
            </w:r>
            <w:r w:rsidRPr="00E64190">
              <w:t>ont</w:t>
            </w:r>
            <w:r w:rsidRPr="00C6440C">
              <w:t>a</w:t>
            </w:r>
            <w:r w:rsidRPr="00E64190">
              <w:t>in p</w:t>
            </w:r>
            <w:r w:rsidRPr="00C6440C">
              <w:t>er</w:t>
            </w:r>
            <w:r w:rsidRPr="00E64190">
              <w:t>mitt</w:t>
            </w:r>
            <w:r w:rsidRPr="00C6440C">
              <w:t>e</w:t>
            </w:r>
            <w:r w:rsidRPr="00E64190">
              <w:t>d</w:t>
            </w:r>
            <w:r w:rsidRPr="00C6440C">
              <w:t>S</w:t>
            </w:r>
            <w:r w:rsidRPr="00E64190">
              <w:t>ubt</w:t>
            </w:r>
            <w:r w:rsidRPr="00C6440C">
              <w:t>ree</w:t>
            </w:r>
            <w:r w:rsidRPr="00E64190">
              <w:t>s or</w:t>
            </w:r>
            <w:r w:rsidRPr="00C6440C">
              <w:t xml:space="preserve"> exc</w:t>
            </w:r>
            <w:r w:rsidRPr="00E64190">
              <w:t>lud</w:t>
            </w:r>
            <w:r w:rsidRPr="00C6440C">
              <w:t>e</w:t>
            </w:r>
            <w:r w:rsidRPr="00E64190">
              <w:t>d</w:t>
            </w:r>
            <w:r w:rsidRPr="00C6440C">
              <w:t>S</w:t>
            </w:r>
            <w:r w:rsidRPr="00E64190">
              <w:t>ubt</w:t>
            </w:r>
            <w:r w:rsidRPr="00C6440C">
              <w:t>rees f</w:t>
            </w:r>
            <w:r w:rsidRPr="00E64190">
              <w:t>i</w:t>
            </w:r>
            <w:r w:rsidRPr="00C6440C">
              <w:t>e</w:t>
            </w:r>
            <w:r w:rsidRPr="00E64190">
              <w:t xml:space="preserve">ld. </w:t>
            </w:r>
            <w:r w:rsidRPr="00C6440C">
              <w:t>Rec</w:t>
            </w:r>
            <w:r w:rsidRPr="00E64190">
              <w:t>omm</w:t>
            </w:r>
            <w:r w:rsidRPr="00C6440C">
              <w:t>e</w:t>
            </w:r>
            <w:r w:rsidRPr="00E64190">
              <w:t>nd th</w:t>
            </w:r>
            <w:r w:rsidRPr="00C6440C">
              <w:t>a</w:t>
            </w:r>
            <w:r w:rsidRPr="00E64190">
              <w:t>t if</w:t>
            </w:r>
            <w:r w:rsidRPr="00C6440C">
              <w:t xml:space="preserve"> a</w:t>
            </w:r>
            <w:r w:rsidRPr="00E64190">
              <w:t>ss</w:t>
            </w:r>
            <w:r w:rsidRPr="00C6440C">
              <w:t>er</w:t>
            </w:r>
            <w:r w:rsidRPr="00E64190">
              <w:t>t</w:t>
            </w:r>
            <w:r w:rsidRPr="00C6440C">
              <w:t>e</w:t>
            </w:r>
            <w:r w:rsidRPr="00E64190">
              <w:t>d it be</w:t>
            </w:r>
            <w:r w:rsidRPr="00C6440C">
              <w:t xml:space="preserve"> </w:t>
            </w:r>
            <w:r w:rsidRPr="00E64190">
              <w:t>m</w:t>
            </w:r>
            <w:r w:rsidRPr="00C6440C">
              <w:t>ar</w:t>
            </w:r>
            <w:r w:rsidRPr="00E64190">
              <w:t>k</w:t>
            </w:r>
            <w:r w:rsidRPr="00C6440C">
              <w:t>e</w:t>
            </w:r>
            <w:r w:rsidRPr="00E64190">
              <w:t xml:space="preserve">d </w:t>
            </w:r>
            <w:r w:rsidRPr="00C6440C">
              <w:t>cr</w:t>
            </w:r>
            <w:r w:rsidRPr="00E64190">
              <w:t>iti</w:t>
            </w:r>
            <w:r w:rsidRPr="00C6440C">
              <w:t>ca</w:t>
            </w:r>
            <w:r w:rsidRPr="00E64190">
              <w:t>l.</w:t>
            </w:r>
          </w:p>
        </w:tc>
      </w:tr>
      <w:tr w:rsidR="00215226" w:rsidRPr="00093E8E" w14:paraId="0CCADC40" w14:textId="77777777" w:rsidTr="00133C09">
        <w:trPr>
          <w:trHeight w:val="113"/>
        </w:trPr>
        <w:tc>
          <w:tcPr>
            <w:tcW w:w="1406" w:type="pct"/>
            <w:vMerge w:val="restart"/>
          </w:tcPr>
          <w:p w14:paraId="6FAE4B80" w14:textId="77777777" w:rsidR="00215226" w:rsidRPr="00093E8E" w:rsidRDefault="00215226" w:rsidP="00133C09">
            <w:pPr>
              <w:pStyle w:val="Normal-TableText"/>
              <w:rPr>
                <w:rFonts w:ascii="Cambria" w:hAnsi="Cambria"/>
                <w:sz w:val="22"/>
              </w:rPr>
            </w:pPr>
            <w:r w:rsidRPr="00C6440C">
              <w:t>P</w:t>
            </w:r>
            <w:r w:rsidRPr="00E64190">
              <w:t>oli</w:t>
            </w:r>
            <w:r w:rsidRPr="00C6440C">
              <w:t>c</w:t>
            </w:r>
            <w:r w:rsidRPr="00E64190">
              <w:t xml:space="preserve">y </w:t>
            </w:r>
            <w:r w:rsidRPr="00C6440C">
              <w:t>C</w:t>
            </w:r>
            <w:r w:rsidRPr="00E64190">
              <w:t>onst</w:t>
            </w:r>
            <w:r w:rsidRPr="00C6440C">
              <w:t>ra</w:t>
            </w:r>
            <w:r w:rsidRPr="00E64190">
              <w:t>ints</w:t>
            </w:r>
          </w:p>
        </w:tc>
        <w:tc>
          <w:tcPr>
            <w:tcW w:w="3594" w:type="pct"/>
          </w:tcPr>
          <w:p w14:paraId="0C935FB2" w14:textId="77777777" w:rsidR="00215226" w:rsidRPr="006F49DA" w:rsidRDefault="00215226" w:rsidP="00133C09">
            <w:pPr>
              <w:pStyle w:val="Normal-TableText"/>
              <w:rPr>
                <w:rStyle w:val="Strong"/>
              </w:rPr>
            </w:pPr>
            <w:r w:rsidRPr="006F49DA">
              <w:rPr>
                <w:rStyle w:val="Strong"/>
              </w:rPr>
              <w:t>Optional</w:t>
            </w:r>
          </w:p>
        </w:tc>
      </w:tr>
      <w:tr w:rsidR="00215226" w:rsidRPr="00093E8E" w14:paraId="4ED6F8A6" w14:textId="77777777" w:rsidTr="00133C09">
        <w:trPr>
          <w:trHeight w:val="113"/>
        </w:trPr>
        <w:tc>
          <w:tcPr>
            <w:tcW w:w="1406" w:type="pct"/>
            <w:vMerge/>
          </w:tcPr>
          <w:p w14:paraId="5D7039A5" w14:textId="77777777" w:rsidR="00215226" w:rsidRPr="00093E8E" w:rsidRDefault="00215226" w:rsidP="00133C09">
            <w:pPr>
              <w:pStyle w:val="Normal-TableText"/>
              <w:rPr>
                <w:rFonts w:ascii="Cambria" w:hAnsi="Cambria"/>
                <w:sz w:val="22"/>
              </w:rPr>
            </w:pPr>
          </w:p>
        </w:tc>
        <w:tc>
          <w:tcPr>
            <w:tcW w:w="3594" w:type="pct"/>
          </w:tcPr>
          <w:p w14:paraId="35606A33" w14:textId="77777777" w:rsidR="00215226" w:rsidRPr="00093E8E" w:rsidRDefault="00215226" w:rsidP="00133C09">
            <w:pPr>
              <w:pStyle w:val="Normal-TableText"/>
              <w:rPr>
                <w:rFonts w:ascii="Cambria" w:hAnsi="Cambria"/>
                <w:sz w:val="22"/>
              </w:rPr>
            </w:pPr>
            <w:r w:rsidRPr="00E64190">
              <w:t>inhibit</w:t>
            </w:r>
            <w:r w:rsidRPr="00C6440C">
              <w:t>P</w:t>
            </w:r>
            <w:r w:rsidRPr="00E64190">
              <w:t>oli</w:t>
            </w:r>
            <w:r w:rsidRPr="00C6440C">
              <w:t>c</w:t>
            </w:r>
            <w:r w:rsidRPr="00E64190">
              <w:t>yM</w:t>
            </w:r>
            <w:r w:rsidRPr="00C6440C">
              <w:t>a</w:t>
            </w:r>
            <w:r w:rsidRPr="00E64190">
              <w:t>ppi</w:t>
            </w:r>
            <w:r w:rsidRPr="00C6440C">
              <w:t>n</w:t>
            </w:r>
            <w:r w:rsidRPr="00E64190">
              <w:t>g w</w:t>
            </w:r>
            <w:r w:rsidRPr="00C6440C">
              <w:t>i</w:t>
            </w:r>
            <w:r w:rsidRPr="00E64190">
              <w:t>th skip</w:t>
            </w:r>
            <w:r w:rsidRPr="00C6440C">
              <w:t>cer</w:t>
            </w:r>
            <w:r w:rsidRPr="00E64190">
              <w:t>ts</w:t>
            </w:r>
            <w:r w:rsidRPr="00C6440C">
              <w:t>=</w:t>
            </w:r>
            <w:r w:rsidRPr="00E64190">
              <w:t>0</w:t>
            </w:r>
          </w:p>
        </w:tc>
      </w:tr>
      <w:tr w:rsidR="00215226" w:rsidRPr="00093E8E" w14:paraId="3A6F688D" w14:textId="77777777" w:rsidTr="00133C09">
        <w:trPr>
          <w:trHeight w:val="113"/>
        </w:trPr>
        <w:tc>
          <w:tcPr>
            <w:tcW w:w="1406" w:type="pct"/>
            <w:vMerge w:val="restart"/>
          </w:tcPr>
          <w:p w14:paraId="280DD525" w14:textId="77777777" w:rsidR="00215226" w:rsidRPr="00093E8E" w:rsidRDefault="00215226" w:rsidP="00133C09">
            <w:pPr>
              <w:pStyle w:val="Normal-TableText"/>
              <w:rPr>
                <w:rFonts w:ascii="Cambria" w:hAnsi="Cambria"/>
                <w:sz w:val="22"/>
              </w:rPr>
            </w:pPr>
            <w:r w:rsidRPr="00E64190">
              <w:br w:type="page"/>
              <w:t>Autho</w:t>
            </w:r>
            <w:r w:rsidRPr="00C6440C">
              <w:t>r</w:t>
            </w:r>
            <w:r w:rsidRPr="00E64190">
              <w:t>i</w:t>
            </w:r>
            <w:r w:rsidRPr="00C6440C">
              <w:t>t</w:t>
            </w:r>
            <w:r w:rsidRPr="00E64190">
              <w:t>y I</w:t>
            </w:r>
            <w:r w:rsidRPr="00C6440C">
              <w:t>nf</w:t>
            </w:r>
            <w:r w:rsidRPr="00E64190">
              <w:t>o</w:t>
            </w:r>
            <w:r w:rsidRPr="00C6440C">
              <w:t>r</w:t>
            </w:r>
            <w:r w:rsidRPr="00E64190">
              <w:t>m</w:t>
            </w:r>
            <w:r w:rsidRPr="00C6440C">
              <w:t>a</w:t>
            </w:r>
            <w:r w:rsidRPr="00E64190">
              <w:t>tion</w:t>
            </w:r>
            <w:r w:rsidR="00AD4117" w:rsidRPr="00E64190">
              <w:t xml:space="preserve"> </w:t>
            </w:r>
            <w:r w:rsidRPr="00E64190">
              <w:t>A</w:t>
            </w:r>
            <w:r w:rsidRPr="00C6440C">
              <w:t>cce</w:t>
            </w:r>
            <w:r w:rsidRPr="00E64190">
              <w:t>ss</w:t>
            </w:r>
          </w:p>
        </w:tc>
        <w:tc>
          <w:tcPr>
            <w:tcW w:w="3594" w:type="pct"/>
          </w:tcPr>
          <w:p w14:paraId="35B6A1F1" w14:textId="77777777" w:rsidR="00215226" w:rsidRPr="006F49DA" w:rsidRDefault="00215226" w:rsidP="00133C09">
            <w:pPr>
              <w:pStyle w:val="Normal-TableText"/>
              <w:rPr>
                <w:rStyle w:val="Strong"/>
              </w:rPr>
            </w:pPr>
            <w:r w:rsidRPr="006F49DA">
              <w:rPr>
                <w:rStyle w:val="Strong"/>
              </w:rPr>
              <w:t>Required</w:t>
            </w:r>
          </w:p>
        </w:tc>
      </w:tr>
      <w:tr w:rsidR="00215226" w:rsidRPr="00093E8E" w14:paraId="206C0D9C" w14:textId="77777777" w:rsidTr="00133C09">
        <w:trPr>
          <w:trHeight w:val="113"/>
        </w:trPr>
        <w:tc>
          <w:tcPr>
            <w:tcW w:w="1406" w:type="pct"/>
            <w:vMerge/>
          </w:tcPr>
          <w:p w14:paraId="5F0AC66F" w14:textId="77777777" w:rsidR="00215226" w:rsidRPr="00093E8E" w:rsidRDefault="00215226" w:rsidP="00133C09">
            <w:pPr>
              <w:pStyle w:val="Normal-TableText"/>
              <w:rPr>
                <w:rFonts w:ascii="Cambria" w:hAnsi="Cambria"/>
                <w:sz w:val="22"/>
              </w:rPr>
            </w:pPr>
          </w:p>
        </w:tc>
        <w:tc>
          <w:tcPr>
            <w:tcW w:w="3594" w:type="pct"/>
          </w:tcPr>
          <w:p w14:paraId="3B6B68AA" w14:textId="77777777" w:rsidR="00215226" w:rsidRPr="00E64190" w:rsidRDefault="00215226" w:rsidP="00133C09">
            <w:pPr>
              <w:pStyle w:val="Normal-TableText"/>
            </w:pPr>
            <w:r w:rsidRPr="00E64190">
              <w:t>id</w:t>
            </w:r>
            <w:r w:rsidRPr="00C6440C">
              <w:t>-a</w:t>
            </w:r>
            <w:r w:rsidRPr="00E64190">
              <w:t>d</w:t>
            </w:r>
            <w:r w:rsidRPr="00C6440C">
              <w:t>-ca</w:t>
            </w:r>
            <w:r w:rsidRPr="00E64190">
              <w:t>Issu</w:t>
            </w:r>
            <w:r w:rsidRPr="00C6440C">
              <w:t>er</w:t>
            </w:r>
            <w:r w:rsidRPr="00E64190">
              <w:t>s</w:t>
            </w:r>
          </w:p>
          <w:p w14:paraId="229B2185" w14:textId="77777777" w:rsidR="00215226" w:rsidRPr="00E64190" w:rsidRDefault="00215226" w:rsidP="00133C09">
            <w:pPr>
              <w:pStyle w:val="Normal-TableText"/>
            </w:pPr>
            <w:r w:rsidRPr="00C6440C">
              <w:t>Pr</w:t>
            </w:r>
            <w:r w:rsidRPr="00E64190">
              <w:t>im</w:t>
            </w:r>
            <w:r w:rsidRPr="00C6440C">
              <w:t>ar</w:t>
            </w:r>
            <w:r w:rsidRPr="00E64190">
              <w:t xml:space="preserve">y </w:t>
            </w:r>
            <w:r w:rsidRPr="00C6440C">
              <w:t>H</w:t>
            </w:r>
            <w:r w:rsidRPr="00E64190">
              <w:t>TTP</w:t>
            </w:r>
            <w:r w:rsidRPr="00C6440C">
              <w:t xml:space="preserve"> </w:t>
            </w:r>
            <w:r w:rsidRPr="00E64190">
              <w:t>U</w:t>
            </w:r>
            <w:r w:rsidRPr="00C6440C">
              <w:t>R</w:t>
            </w:r>
            <w:r w:rsidRPr="00E64190">
              <w:t xml:space="preserve">I </w:t>
            </w:r>
            <w:r w:rsidRPr="00C6440C">
              <w:t>man</w:t>
            </w:r>
            <w:r w:rsidRPr="00E64190">
              <w:t>d</w:t>
            </w:r>
            <w:r w:rsidRPr="00C6440C">
              <w:t>a</w:t>
            </w:r>
            <w:r w:rsidRPr="00E64190">
              <w:t>to</w:t>
            </w:r>
            <w:r w:rsidRPr="00C6440C">
              <w:t>r</w:t>
            </w:r>
            <w:r w:rsidRPr="00E64190">
              <w:t>y</w:t>
            </w:r>
          </w:p>
          <w:p w14:paraId="3461A40A" w14:textId="77777777" w:rsidR="00215226" w:rsidRPr="00E64190" w:rsidRDefault="00215226" w:rsidP="00133C09">
            <w:pPr>
              <w:pStyle w:val="Normal-TableText"/>
            </w:pPr>
            <w:r w:rsidRPr="00C6440C">
              <w:t>Sec</w:t>
            </w:r>
            <w:r w:rsidRPr="00E64190">
              <w:t>ond</w:t>
            </w:r>
            <w:r w:rsidRPr="00C6440C">
              <w:t>ar</w:t>
            </w:r>
            <w:r w:rsidRPr="00E64190">
              <w:t>y L</w:t>
            </w:r>
            <w:r w:rsidRPr="00C6440C">
              <w:t>D</w:t>
            </w:r>
            <w:r w:rsidRPr="00E64190">
              <w:t>A</w:t>
            </w:r>
            <w:r w:rsidRPr="00C6440C">
              <w:t xml:space="preserve">P </w:t>
            </w:r>
            <w:r w:rsidRPr="00E64190">
              <w:t>U</w:t>
            </w:r>
            <w:r w:rsidRPr="00C6440C">
              <w:t>R</w:t>
            </w:r>
            <w:r w:rsidRPr="00E64190">
              <w:t>I</w:t>
            </w:r>
          </w:p>
          <w:p w14:paraId="20DEDA5E" w14:textId="77777777" w:rsidR="00215226" w:rsidRPr="00093E8E" w:rsidRDefault="00215226" w:rsidP="00133C09">
            <w:pPr>
              <w:pStyle w:val="Normal-TableText"/>
              <w:rPr>
                <w:rFonts w:ascii="Cambria" w:hAnsi="Cambria"/>
                <w:sz w:val="22"/>
              </w:rPr>
            </w:pPr>
            <w:r w:rsidRPr="00E64190">
              <w:t>option</w:t>
            </w:r>
            <w:r w:rsidRPr="00C6440C">
              <w:t>a</w:t>
            </w:r>
            <w:r w:rsidRPr="00E64190">
              <w:t>l</w:t>
            </w:r>
          </w:p>
        </w:tc>
      </w:tr>
      <w:tr w:rsidR="00215226" w:rsidRPr="00093E8E" w14:paraId="0586E4C2" w14:textId="77777777" w:rsidTr="00133C09">
        <w:trPr>
          <w:trHeight w:val="113"/>
        </w:trPr>
        <w:tc>
          <w:tcPr>
            <w:tcW w:w="1406" w:type="pct"/>
            <w:vMerge/>
          </w:tcPr>
          <w:p w14:paraId="6C52DBC2" w14:textId="77777777" w:rsidR="00215226" w:rsidRPr="00093E8E" w:rsidRDefault="00215226" w:rsidP="00133C09">
            <w:pPr>
              <w:pStyle w:val="Normal-TableText"/>
              <w:rPr>
                <w:rFonts w:ascii="Cambria" w:hAnsi="Cambria"/>
                <w:sz w:val="22"/>
              </w:rPr>
            </w:pPr>
          </w:p>
        </w:tc>
        <w:tc>
          <w:tcPr>
            <w:tcW w:w="3594" w:type="pct"/>
          </w:tcPr>
          <w:p w14:paraId="41C58342" w14:textId="77777777" w:rsidR="00215226" w:rsidRPr="00E64190" w:rsidRDefault="00215226" w:rsidP="00133C09">
            <w:pPr>
              <w:pStyle w:val="Normal-TableText"/>
            </w:pPr>
            <w:r w:rsidRPr="00E64190">
              <w:t>id</w:t>
            </w:r>
            <w:r w:rsidRPr="00C6440C">
              <w:t>-a</w:t>
            </w:r>
            <w:r w:rsidRPr="00E64190">
              <w:t>d</w:t>
            </w:r>
            <w:r w:rsidRPr="00C6440C">
              <w:t>-</w:t>
            </w:r>
            <w:r w:rsidRPr="00E64190">
              <w:t>o</w:t>
            </w:r>
            <w:r w:rsidRPr="00C6440C">
              <w:t>c</w:t>
            </w:r>
            <w:r w:rsidRPr="00E64190">
              <w:t>sp</w:t>
            </w:r>
          </w:p>
          <w:p w14:paraId="51495677" w14:textId="77777777" w:rsidR="00215226" w:rsidRPr="00093E8E" w:rsidRDefault="00215226" w:rsidP="00133C09">
            <w:pPr>
              <w:pStyle w:val="Normal-TableText"/>
              <w:rPr>
                <w:rFonts w:ascii="Cambria" w:hAnsi="Cambria"/>
                <w:sz w:val="22"/>
              </w:rPr>
            </w:pPr>
            <w:r w:rsidRPr="00E64190">
              <w:t>Option</w:t>
            </w:r>
            <w:r w:rsidRPr="00C6440C">
              <w:t>a</w:t>
            </w:r>
            <w:r w:rsidRPr="00E64190">
              <w:t>l</w:t>
            </w:r>
          </w:p>
        </w:tc>
      </w:tr>
      <w:tr w:rsidR="00215226" w:rsidRPr="00093E8E" w14:paraId="2AC52672" w14:textId="77777777" w:rsidTr="00133C09">
        <w:trPr>
          <w:trHeight w:val="113"/>
        </w:trPr>
        <w:tc>
          <w:tcPr>
            <w:tcW w:w="1406" w:type="pct"/>
            <w:vMerge w:val="restart"/>
          </w:tcPr>
          <w:p w14:paraId="23028B91" w14:textId="77777777" w:rsidR="00215226" w:rsidRPr="00093E8E" w:rsidRDefault="00215226" w:rsidP="00133C09">
            <w:pPr>
              <w:pStyle w:val="Normal-TableText"/>
              <w:rPr>
                <w:rFonts w:ascii="Cambria" w:hAnsi="Cambria"/>
                <w:sz w:val="22"/>
              </w:rPr>
            </w:pPr>
            <w:r w:rsidRPr="00C6440C">
              <w:t>CR</w:t>
            </w:r>
            <w:r w:rsidRPr="00E64190">
              <w:t>L Dist</w:t>
            </w:r>
            <w:r w:rsidRPr="00C6440C">
              <w:t>r</w:t>
            </w:r>
            <w:r w:rsidRPr="00E64190">
              <w:t xml:space="preserve">ibution </w:t>
            </w:r>
            <w:r w:rsidRPr="00C6440C">
              <w:t>P</w:t>
            </w:r>
            <w:r w:rsidRPr="00E64190">
              <w:t>oints</w:t>
            </w:r>
          </w:p>
        </w:tc>
        <w:tc>
          <w:tcPr>
            <w:tcW w:w="3594" w:type="pct"/>
          </w:tcPr>
          <w:p w14:paraId="33B11025" w14:textId="77777777" w:rsidR="00215226" w:rsidRPr="006F49DA" w:rsidRDefault="00215226" w:rsidP="00133C09">
            <w:pPr>
              <w:pStyle w:val="Normal-TableText"/>
              <w:rPr>
                <w:rStyle w:val="Strong"/>
              </w:rPr>
            </w:pPr>
            <w:r w:rsidRPr="006F49DA">
              <w:rPr>
                <w:rStyle w:val="Strong"/>
              </w:rPr>
              <w:t>Optional</w:t>
            </w:r>
          </w:p>
        </w:tc>
      </w:tr>
      <w:tr w:rsidR="00215226" w:rsidRPr="00093E8E" w14:paraId="505E336B" w14:textId="77777777" w:rsidTr="00133C09">
        <w:trPr>
          <w:trHeight w:val="113"/>
        </w:trPr>
        <w:tc>
          <w:tcPr>
            <w:tcW w:w="1406" w:type="pct"/>
            <w:vMerge/>
          </w:tcPr>
          <w:p w14:paraId="6860B66F" w14:textId="77777777" w:rsidR="00215226" w:rsidRPr="00093E8E" w:rsidRDefault="00215226" w:rsidP="00133C09">
            <w:pPr>
              <w:pStyle w:val="Normal-TableText"/>
              <w:rPr>
                <w:rFonts w:ascii="Cambria" w:hAnsi="Cambria"/>
                <w:sz w:val="22"/>
              </w:rPr>
            </w:pPr>
          </w:p>
        </w:tc>
        <w:tc>
          <w:tcPr>
            <w:tcW w:w="3594" w:type="pct"/>
          </w:tcPr>
          <w:p w14:paraId="6143A40D" w14:textId="77777777" w:rsidR="00215226" w:rsidRPr="00E64190" w:rsidRDefault="00215226" w:rsidP="00133C09">
            <w:pPr>
              <w:pStyle w:val="Normal-TableText"/>
            </w:pPr>
            <w:r w:rsidRPr="00C6440C">
              <w:t>Pr</w:t>
            </w:r>
            <w:r w:rsidRPr="00E64190">
              <w:t>im</w:t>
            </w:r>
            <w:r w:rsidRPr="00C6440C">
              <w:t>ar</w:t>
            </w:r>
            <w:r w:rsidRPr="00E64190">
              <w:t xml:space="preserve">y </w:t>
            </w:r>
            <w:r w:rsidRPr="00C6440C">
              <w:t>H</w:t>
            </w:r>
            <w:r w:rsidRPr="00E64190">
              <w:t>TTP</w:t>
            </w:r>
            <w:r w:rsidRPr="00C6440C">
              <w:t xml:space="preserve"> </w:t>
            </w:r>
            <w:r w:rsidRPr="00E64190">
              <w:t>U</w:t>
            </w:r>
            <w:r w:rsidRPr="00C6440C">
              <w:t>R</w:t>
            </w:r>
            <w:r w:rsidRPr="00E64190">
              <w:t xml:space="preserve">I </w:t>
            </w:r>
            <w:r w:rsidRPr="00C6440C">
              <w:t>man</w:t>
            </w:r>
            <w:r w:rsidRPr="00E64190">
              <w:t>d</w:t>
            </w:r>
            <w:r w:rsidRPr="00C6440C">
              <w:t>a</w:t>
            </w:r>
            <w:r w:rsidRPr="00E64190">
              <w:t>to</w:t>
            </w:r>
            <w:r w:rsidRPr="00C6440C">
              <w:t>r</w:t>
            </w:r>
            <w:r w:rsidRPr="00E64190">
              <w:t>y</w:t>
            </w:r>
          </w:p>
          <w:p w14:paraId="7AF97DDB" w14:textId="77777777" w:rsidR="00215226" w:rsidRPr="00093E8E" w:rsidRDefault="00215226" w:rsidP="00133C09">
            <w:pPr>
              <w:pStyle w:val="Normal-TableText"/>
              <w:rPr>
                <w:rFonts w:ascii="Cambria" w:hAnsi="Cambria"/>
                <w:sz w:val="22"/>
              </w:rPr>
            </w:pPr>
            <w:r w:rsidRPr="00C6440C">
              <w:t>Sec</w:t>
            </w:r>
            <w:r w:rsidRPr="00E64190">
              <w:t>ond</w:t>
            </w:r>
            <w:r w:rsidRPr="00C6440C">
              <w:t>ar</w:t>
            </w:r>
            <w:r w:rsidRPr="00E64190">
              <w:t>y L</w:t>
            </w:r>
            <w:r w:rsidRPr="00C6440C">
              <w:t>D</w:t>
            </w:r>
            <w:r w:rsidRPr="00E64190">
              <w:t>AP</w:t>
            </w:r>
            <w:r w:rsidRPr="00C6440C">
              <w:t xml:space="preserve"> </w:t>
            </w:r>
            <w:r w:rsidRPr="00E64190">
              <w:t>U</w:t>
            </w:r>
            <w:r w:rsidRPr="00C6440C">
              <w:t>R</w:t>
            </w:r>
            <w:r w:rsidRPr="00E64190">
              <w:t xml:space="preserve">I </w:t>
            </w:r>
            <w:r w:rsidRPr="00C6440C">
              <w:t>o</w:t>
            </w:r>
            <w:r w:rsidRPr="00E64190">
              <w:t>ption</w:t>
            </w:r>
            <w:r w:rsidRPr="00C6440C">
              <w:t>a</w:t>
            </w:r>
            <w:r w:rsidRPr="00E64190">
              <w:t>l</w:t>
            </w:r>
          </w:p>
        </w:tc>
      </w:tr>
      <w:tr w:rsidR="00215226" w:rsidRPr="00093E8E" w14:paraId="43B56F6E" w14:textId="77777777" w:rsidTr="00133C09">
        <w:trPr>
          <w:trHeight w:val="113"/>
        </w:trPr>
        <w:tc>
          <w:tcPr>
            <w:tcW w:w="1406" w:type="pct"/>
            <w:vMerge w:val="restart"/>
          </w:tcPr>
          <w:p w14:paraId="48E76943" w14:textId="77777777" w:rsidR="00215226" w:rsidRPr="00093E8E" w:rsidRDefault="00215226" w:rsidP="00133C09">
            <w:pPr>
              <w:pStyle w:val="Normal-TableText"/>
              <w:rPr>
                <w:rFonts w:ascii="Cambria" w:hAnsi="Cambria"/>
                <w:sz w:val="22"/>
              </w:rPr>
            </w:pPr>
            <w:r w:rsidRPr="00C6440C">
              <w:t>S</w:t>
            </w:r>
            <w:r w:rsidRPr="00E64190">
              <w:t>ubj</w:t>
            </w:r>
            <w:r w:rsidRPr="00C6440C">
              <w:t>ec</w:t>
            </w:r>
            <w:r w:rsidRPr="00E64190">
              <w:t>t</w:t>
            </w:r>
            <w:r w:rsidRPr="00C6440C">
              <w:t xml:space="preserve"> </w:t>
            </w:r>
            <w:r w:rsidRPr="00E64190">
              <w:t>I</w:t>
            </w:r>
            <w:r w:rsidRPr="00C6440C">
              <w:t>nf</w:t>
            </w:r>
            <w:r w:rsidRPr="00E64190">
              <w:t>o</w:t>
            </w:r>
            <w:r w:rsidRPr="00C6440C">
              <w:t>r</w:t>
            </w:r>
            <w:r w:rsidRPr="00E64190">
              <w:t>m</w:t>
            </w:r>
            <w:r w:rsidRPr="00C6440C">
              <w:t>a</w:t>
            </w:r>
            <w:r w:rsidRPr="00E64190">
              <w:t>tion A</w:t>
            </w:r>
            <w:r w:rsidRPr="00C6440C">
              <w:t>cce</w:t>
            </w:r>
            <w:r w:rsidRPr="00E64190">
              <w:t>ss</w:t>
            </w:r>
          </w:p>
        </w:tc>
        <w:tc>
          <w:tcPr>
            <w:tcW w:w="3594" w:type="pct"/>
          </w:tcPr>
          <w:p w14:paraId="70BDFD90" w14:textId="77777777" w:rsidR="00215226" w:rsidRPr="006F49DA" w:rsidRDefault="00215226" w:rsidP="00133C09">
            <w:pPr>
              <w:pStyle w:val="Normal-TableText"/>
              <w:rPr>
                <w:rStyle w:val="Strong"/>
              </w:rPr>
            </w:pPr>
            <w:r w:rsidRPr="006F49DA">
              <w:rPr>
                <w:rStyle w:val="Strong"/>
              </w:rPr>
              <w:t>Optional</w:t>
            </w:r>
          </w:p>
        </w:tc>
      </w:tr>
      <w:tr w:rsidR="00215226" w:rsidRPr="00093E8E" w14:paraId="03CDCD2B" w14:textId="77777777" w:rsidTr="00133C09">
        <w:trPr>
          <w:trHeight w:val="113"/>
        </w:trPr>
        <w:tc>
          <w:tcPr>
            <w:tcW w:w="1406" w:type="pct"/>
            <w:vMerge/>
          </w:tcPr>
          <w:p w14:paraId="22809B04" w14:textId="77777777" w:rsidR="00215226" w:rsidRPr="00093E8E" w:rsidRDefault="00215226" w:rsidP="00133C09">
            <w:pPr>
              <w:pStyle w:val="Normal-TableText"/>
              <w:rPr>
                <w:rFonts w:ascii="Cambria" w:hAnsi="Cambria"/>
                <w:sz w:val="22"/>
              </w:rPr>
            </w:pPr>
          </w:p>
        </w:tc>
        <w:tc>
          <w:tcPr>
            <w:tcW w:w="3594" w:type="pct"/>
          </w:tcPr>
          <w:p w14:paraId="3AC7A9F1" w14:textId="77777777" w:rsidR="00215226" w:rsidRPr="00E64190" w:rsidRDefault="00215226" w:rsidP="00133C09">
            <w:pPr>
              <w:pStyle w:val="Normal-TableText"/>
            </w:pPr>
            <w:r w:rsidRPr="00E64190">
              <w:t>I</w:t>
            </w:r>
            <w:r w:rsidRPr="00C6440C">
              <w:t>d-a</w:t>
            </w:r>
            <w:r w:rsidRPr="00E64190">
              <w:t>d</w:t>
            </w:r>
            <w:r w:rsidRPr="00C6440C">
              <w:t>-care</w:t>
            </w:r>
            <w:r w:rsidRPr="00E64190">
              <w:t>posito</w:t>
            </w:r>
            <w:r w:rsidRPr="00C6440C">
              <w:t>r</w:t>
            </w:r>
            <w:r w:rsidRPr="00E64190">
              <w:t>y</w:t>
            </w:r>
          </w:p>
          <w:p w14:paraId="18CF52F4" w14:textId="77777777" w:rsidR="00215226" w:rsidRPr="00E64190" w:rsidRDefault="00215226" w:rsidP="00133C09">
            <w:pPr>
              <w:pStyle w:val="Normal-TableText"/>
            </w:pPr>
            <w:r w:rsidRPr="00C6440C">
              <w:t>Pr</w:t>
            </w:r>
            <w:r w:rsidRPr="00E64190">
              <w:t>im</w:t>
            </w:r>
            <w:r w:rsidRPr="00C6440C">
              <w:t>ar</w:t>
            </w:r>
            <w:r w:rsidRPr="00E64190">
              <w:t xml:space="preserve">y </w:t>
            </w:r>
            <w:r w:rsidRPr="00C6440C">
              <w:t>H</w:t>
            </w:r>
            <w:r w:rsidRPr="00E64190">
              <w:t>TTP</w:t>
            </w:r>
            <w:r w:rsidRPr="00C6440C">
              <w:t xml:space="preserve"> </w:t>
            </w:r>
            <w:r w:rsidRPr="00E64190">
              <w:t>U</w:t>
            </w:r>
            <w:r w:rsidRPr="00C6440C">
              <w:t>R</w:t>
            </w:r>
            <w:r w:rsidRPr="00E64190">
              <w:t xml:space="preserve">I </w:t>
            </w:r>
            <w:r w:rsidRPr="00C6440C">
              <w:t>man</w:t>
            </w:r>
            <w:r w:rsidRPr="00E64190">
              <w:t>d</w:t>
            </w:r>
            <w:r w:rsidRPr="00C6440C">
              <w:t>a</w:t>
            </w:r>
            <w:r w:rsidRPr="00E64190">
              <w:t>to</w:t>
            </w:r>
            <w:r w:rsidRPr="00C6440C">
              <w:t>r</w:t>
            </w:r>
            <w:r w:rsidRPr="00E64190">
              <w:t xml:space="preserve">y </w:t>
            </w:r>
            <w:r w:rsidRPr="00C6440C">
              <w:t>i</w:t>
            </w:r>
            <w:r w:rsidRPr="00E64190">
              <w:t>f</w:t>
            </w:r>
            <w:r w:rsidRPr="00C6440C">
              <w:t xml:space="preserve"> ex</w:t>
            </w:r>
            <w:r w:rsidRPr="00E64190">
              <w:t>t</w:t>
            </w:r>
            <w:r w:rsidRPr="00C6440C">
              <w:t>e</w:t>
            </w:r>
            <w:r w:rsidRPr="00E64190">
              <w:t>nsion is p</w:t>
            </w:r>
            <w:r w:rsidRPr="00C6440C">
              <w:t>re</w:t>
            </w:r>
            <w:r w:rsidRPr="00E64190">
              <w:t>s</w:t>
            </w:r>
            <w:r w:rsidRPr="00C6440C">
              <w:t>e</w:t>
            </w:r>
            <w:r w:rsidRPr="00E64190">
              <w:t>nt</w:t>
            </w:r>
          </w:p>
          <w:p w14:paraId="64AE0A4B" w14:textId="77777777" w:rsidR="00215226" w:rsidRPr="00093E8E" w:rsidRDefault="00215226" w:rsidP="00133C09">
            <w:pPr>
              <w:pStyle w:val="Normal-TableText"/>
              <w:rPr>
                <w:rFonts w:ascii="Cambria" w:hAnsi="Cambria"/>
                <w:sz w:val="22"/>
              </w:rPr>
            </w:pPr>
            <w:r w:rsidRPr="00C6440C">
              <w:t>Sec</w:t>
            </w:r>
            <w:r w:rsidRPr="00E64190">
              <w:t>ond</w:t>
            </w:r>
            <w:r w:rsidRPr="00C6440C">
              <w:t>ar</w:t>
            </w:r>
            <w:r w:rsidRPr="00E64190">
              <w:t>y L</w:t>
            </w:r>
            <w:r w:rsidRPr="00C6440C">
              <w:t>D</w:t>
            </w:r>
            <w:r w:rsidRPr="00E64190">
              <w:t>AP</w:t>
            </w:r>
            <w:r w:rsidRPr="00C6440C">
              <w:t xml:space="preserve"> </w:t>
            </w:r>
            <w:r w:rsidRPr="00E64190">
              <w:t>U</w:t>
            </w:r>
            <w:r w:rsidRPr="00C6440C">
              <w:t>R</w:t>
            </w:r>
            <w:r w:rsidRPr="00E64190">
              <w:t xml:space="preserve">I </w:t>
            </w:r>
            <w:r w:rsidRPr="00C6440C">
              <w:t>o</w:t>
            </w:r>
            <w:r w:rsidRPr="00E64190">
              <w:t>ption</w:t>
            </w:r>
            <w:r w:rsidRPr="00C6440C">
              <w:t>a</w:t>
            </w:r>
            <w:r w:rsidRPr="00E64190">
              <w:t>l</w:t>
            </w:r>
          </w:p>
        </w:tc>
      </w:tr>
      <w:tr w:rsidR="00215226" w:rsidRPr="00093E8E" w14:paraId="2AD0FF5F" w14:textId="77777777" w:rsidTr="00133C09">
        <w:trPr>
          <w:trHeight w:val="113"/>
        </w:trPr>
        <w:tc>
          <w:tcPr>
            <w:tcW w:w="1406" w:type="pct"/>
          </w:tcPr>
          <w:p w14:paraId="0944B002" w14:textId="77777777" w:rsidR="00215226" w:rsidRPr="00093E8E" w:rsidRDefault="00215226" w:rsidP="00133C09">
            <w:pPr>
              <w:pStyle w:val="Normal-TableText"/>
              <w:rPr>
                <w:rFonts w:ascii="Cambria" w:hAnsi="Cambria"/>
                <w:sz w:val="22"/>
              </w:rPr>
            </w:pPr>
            <w:r w:rsidRPr="00C6440C">
              <w:t>Fre</w:t>
            </w:r>
            <w:r w:rsidRPr="00E64190">
              <w:t>s</w:t>
            </w:r>
            <w:r w:rsidRPr="00C6440C">
              <w:t>he</w:t>
            </w:r>
            <w:r w:rsidRPr="00E64190">
              <w:t xml:space="preserve">st </w:t>
            </w:r>
            <w:r w:rsidRPr="00C6440C">
              <w:t>CR</w:t>
            </w:r>
            <w:r w:rsidRPr="00E64190">
              <w:t>L</w:t>
            </w:r>
          </w:p>
        </w:tc>
        <w:tc>
          <w:tcPr>
            <w:tcW w:w="3594" w:type="pct"/>
          </w:tcPr>
          <w:p w14:paraId="2B20F7D9" w14:textId="77777777" w:rsidR="00215226" w:rsidRPr="006F49DA" w:rsidRDefault="00215226" w:rsidP="00133C09">
            <w:pPr>
              <w:pStyle w:val="Normal-TableText"/>
              <w:rPr>
                <w:rStyle w:val="Strong"/>
              </w:rPr>
            </w:pPr>
            <w:r w:rsidRPr="006F49DA">
              <w:rPr>
                <w:rStyle w:val="Strong"/>
              </w:rPr>
              <w:t>Not Used</w:t>
            </w:r>
          </w:p>
        </w:tc>
      </w:tr>
      <w:tr w:rsidR="00215226" w:rsidRPr="00093E8E" w14:paraId="3B7324CA" w14:textId="77777777" w:rsidTr="00133C09">
        <w:trPr>
          <w:trHeight w:val="113"/>
        </w:trPr>
        <w:tc>
          <w:tcPr>
            <w:tcW w:w="1406" w:type="pct"/>
            <w:vMerge w:val="restart"/>
          </w:tcPr>
          <w:p w14:paraId="2EE1BA8D" w14:textId="77777777" w:rsidR="00215226" w:rsidRPr="00093E8E" w:rsidRDefault="00215226" w:rsidP="00133C09">
            <w:pPr>
              <w:pStyle w:val="Normal-TableText"/>
              <w:rPr>
                <w:rFonts w:ascii="Cambria" w:hAnsi="Cambria"/>
                <w:sz w:val="22"/>
              </w:rPr>
            </w:pPr>
            <w:r w:rsidRPr="00E64190">
              <w:t>Inhibit A</w:t>
            </w:r>
            <w:r w:rsidRPr="00C6440C">
              <w:t>n</w:t>
            </w:r>
            <w:r w:rsidRPr="00E64190">
              <w:t xml:space="preserve">y </w:t>
            </w:r>
            <w:r w:rsidRPr="00C6440C">
              <w:t>P</w:t>
            </w:r>
            <w:r w:rsidRPr="00E64190">
              <w:t>oli</w:t>
            </w:r>
            <w:r w:rsidRPr="00C6440C">
              <w:t>c</w:t>
            </w:r>
            <w:r w:rsidRPr="00E64190">
              <w:t>y</w:t>
            </w:r>
          </w:p>
        </w:tc>
        <w:tc>
          <w:tcPr>
            <w:tcW w:w="3594" w:type="pct"/>
          </w:tcPr>
          <w:p w14:paraId="24BE814D" w14:textId="77777777" w:rsidR="00215226" w:rsidRPr="00093E8E" w:rsidRDefault="00215226" w:rsidP="00133C09">
            <w:pPr>
              <w:pStyle w:val="Normal-TableText"/>
              <w:rPr>
                <w:rFonts w:ascii="Cambria" w:hAnsi="Cambria"/>
                <w:sz w:val="22"/>
              </w:rPr>
            </w:pPr>
            <w:r w:rsidRPr="006F49DA">
              <w:rPr>
                <w:rStyle w:val="Strong"/>
              </w:rPr>
              <w:t>Optional</w:t>
            </w:r>
            <w:r w:rsidRPr="00E64190" w:rsidDel="00BA6C63">
              <w:t xml:space="preserve"> </w:t>
            </w:r>
            <w:r w:rsidRPr="00E64190">
              <w:rPr>
                <w:rStyle w:val="FootnoteReference"/>
              </w:rPr>
              <w:footnoteReference w:id="33"/>
            </w:r>
          </w:p>
        </w:tc>
      </w:tr>
      <w:tr w:rsidR="00215226" w:rsidRPr="00093E8E" w14:paraId="6402D3D3" w14:textId="77777777" w:rsidTr="00133C09">
        <w:trPr>
          <w:trHeight w:val="113"/>
        </w:trPr>
        <w:tc>
          <w:tcPr>
            <w:tcW w:w="1406" w:type="pct"/>
            <w:vMerge/>
          </w:tcPr>
          <w:p w14:paraId="4B572D9A" w14:textId="77777777" w:rsidR="00215226" w:rsidRPr="00093E8E" w:rsidRDefault="00215226" w:rsidP="00133C09">
            <w:pPr>
              <w:pStyle w:val="Normal-TableText"/>
              <w:rPr>
                <w:rFonts w:ascii="Cambria" w:hAnsi="Cambria"/>
                <w:sz w:val="22"/>
              </w:rPr>
            </w:pPr>
          </w:p>
        </w:tc>
        <w:tc>
          <w:tcPr>
            <w:tcW w:w="3594" w:type="pct"/>
          </w:tcPr>
          <w:p w14:paraId="6A7D4D13" w14:textId="77777777" w:rsidR="00215226" w:rsidRPr="00093E8E" w:rsidRDefault="00215226" w:rsidP="00133C09">
            <w:pPr>
              <w:pStyle w:val="Normal-TableText"/>
              <w:rPr>
                <w:rFonts w:ascii="Cambria" w:hAnsi="Cambria"/>
                <w:sz w:val="22"/>
              </w:rPr>
            </w:pPr>
            <w:r w:rsidRPr="00E64190">
              <w:t>skip</w:t>
            </w:r>
            <w:r w:rsidRPr="00C6440C">
              <w:t>cer</w:t>
            </w:r>
            <w:r w:rsidRPr="00E64190">
              <w:t>ts</w:t>
            </w:r>
            <w:r w:rsidRPr="00C6440C">
              <w:t>=0</w:t>
            </w:r>
          </w:p>
        </w:tc>
      </w:tr>
    </w:tbl>
    <w:p w14:paraId="5B854481" w14:textId="77777777" w:rsidR="006F49DA" w:rsidRDefault="006F49DA" w:rsidP="006F49DA"/>
    <w:p w14:paraId="22A1F68F" w14:textId="77777777" w:rsidR="006F49DA" w:rsidRPr="00FF7248" w:rsidRDefault="006F49DA" w:rsidP="006F49DA">
      <w:r>
        <w:br w:type="page"/>
      </w:r>
    </w:p>
    <w:p w14:paraId="3A7CA2CB" w14:textId="77777777" w:rsidR="00215226" w:rsidRPr="00093E8E" w:rsidRDefault="00215226" w:rsidP="00AD4117">
      <w:pPr>
        <w:pStyle w:val="Heading2"/>
      </w:pPr>
      <w:bookmarkStart w:id="364" w:name="_Toc430268964"/>
      <w:r w:rsidRPr="00093E8E">
        <w:lastRenderedPageBreak/>
        <w:t>Subordinate CA Certificate</w:t>
      </w:r>
      <w:bookmarkEnd w:id="364"/>
    </w:p>
    <w:tbl>
      <w:tblPr>
        <w:tblStyle w:val="DTOTable1"/>
        <w:tblW w:w="5006" w:type="pct"/>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551"/>
        <w:gridCol w:w="6520"/>
      </w:tblGrid>
      <w:tr w:rsidR="00215226" w:rsidRPr="00093E8E" w14:paraId="75B3C06F" w14:textId="77777777" w:rsidTr="00504C3A">
        <w:trPr>
          <w:cnfStyle w:val="100000000000" w:firstRow="1" w:lastRow="0" w:firstColumn="0" w:lastColumn="0" w:oddVBand="0" w:evenVBand="0" w:oddHBand="0" w:evenHBand="0" w:firstRowFirstColumn="0" w:firstRowLastColumn="0" w:lastRowFirstColumn="0" w:lastRowLastColumn="0"/>
          <w:trHeight w:val="113"/>
          <w:tblHeader/>
        </w:trPr>
        <w:tc>
          <w:tcPr>
            <w:tcW w:w="1406" w:type="pct"/>
          </w:tcPr>
          <w:p w14:paraId="5A7E0D3A" w14:textId="77777777" w:rsidR="00215226" w:rsidRPr="00093E8E" w:rsidRDefault="00215226" w:rsidP="00504C3A">
            <w:pPr>
              <w:pStyle w:val="Normal-TableText"/>
            </w:pPr>
            <w:r w:rsidRPr="00C6440C">
              <w:rPr>
                <w:rStyle w:val="Strong"/>
              </w:rPr>
              <w:t>F</w:t>
            </w:r>
            <w:r w:rsidRPr="00093E8E">
              <w:t>i</w:t>
            </w:r>
            <w:r w:rsidRPr="00C6440C">
              <w:rPr>
                <w:rStyle w:val="Strong"/>
              </w:rPr>
              <w:t>e</w:t>
            </w:r>
            <w:r w:rsidRPr="00093E8E">
              <w:t>l</w:t>
            </w:r>
            <w:r w:rsidRPr="00C6440C">
              <w:rPr>
                <w:rStyle w:val="Strong"/>
              </w:rPr>
              <w:t>d</w:t>
            </w:r>
            <w:r w:rsidRPr="00093E8E">
              <w:t xml:space="preserve">/ </w:t>
            </w:r>
            <w:r w:rsidRPr="00C6440C">
              <w:rPr>
                <w:rStyle w:val="Strong"/>
              </w:rPr>
              <w:t>E</w:t>
            </w:r>
            <w:r w:rsidRPr="00093E8E">
              <w:t>x</w:t>
            </w:r>
            <w:r w:rsidRPr="00C6440C">
              <w:rPr>
                <w:rStyle w:val="Strong"/>
              </w:rPr>
              <w:t>ten</w:t>
            </w:r>
            <w:r w:rsidRPr="00093E8E">
              <w:t>sion</w:t>
            </w:r>
          </w:p>
        </w:tc>
        <w:tc>
          <w:tcPr>
            <w:tcW w:w="3594" w:type="pct"/>
          </w:tcPr>
          <w:p w14:paraId="30CE4EDA" w14:textId="77777777" w:rsidR="00215226" w:rsidRPr="00093E8E" w:rsidRDefault="00215226" w:rsidP="00504C3A">
            <w:pPr>
              <w:pStyle w:val="Normal-TableText"/>
            </w:pPr>
            <w:r w:rsidRPr="00C6440C">
              <w:rPr>
                <w:rStyle w:val="Strong"/>
              </w:rPr>
              <w:t xml:space="preserve">Subordinate </w:t>
            </w:r>
            <w:r w:rsidRPr="00093E8E">
              <w:t>CA certificate</w:t>
            </w:r>
          </w:p>
        </w:tc>
      </w:tr>
      <w:tr w:rsidR="00215226" w:rsidRPr="00093E8E" w14:paraId="076A32AB" w14:textId="77777777" w:rsidTr="00504C3A">
        <w:trPr>
          <w:trHeight w:val="113"/>
        </w:trPr>
        <w:tc>
          <w:tcPr>
            <w:tcW w:w="1406" w:type="pct"/>
            <w:vMerge w:val="restart"/>
          </w:tcPr>
          <w:p w14:paraId="0BEA47DB" w14:textId="77777777" w:rsidR="00215226" w:rsidRPr="00093E8E" w:rsidRDefault="00215226" w:rsidP="00504C3A">
            <w:pPr>
              <w:pStyle w:val="Normal-TableText"/>
            </w:pPr>
            <w:r w:rsidRPr="00093E8E">
              <w:t>V</w:t>
            </w:r>
            <w:r w:rsidRPr="00C6440C">
              <w:t>er</w:t>
            </w:r>
            <w:r w:rsidRPr="00093E8E">
              <w:t>sion</w:t>
            </w:r>
          </w:p>
        </w:tc>
        <w:tc>
          <w:tcPr>
            <w:tcW w:w="3594" w:type="pct"/>
          </w:tcPr>
          <w:p w14:paraId="35D354D5" w14:textId="77777777" w:rsidR="00215226" w:rsidRPr="00093E8E" w:rsidRDefault="00215226" w:rsidP="00504C3A">
            <w:pPr>
              <w:pStyle w:val="Normal-TableText"/>
            </w:pPr>
            <w:r w:rsidRPr="00C6440C">
              <w:rPr>
                <w:rStyle w:val="Strong"/>
              </w:rPr>
              <w:t>Required</w:t>
            </w:r>
          </w:p>
        </w:tc>
      </w:tr>
      <w:tr w:rsidR="00215226" w:rsidRPr="00093E8E" w14:paraId="1CE21CAA" w14:textId="77777777" w:rsidTr="00504C3A">
        <w:trPr>
          <w:trHeight w:val="113"/>
        </w:trPr>
        <w:tc>
          <w:tcPr>
            <w:tcW w:w="1406" w:type="pct"/>
            <w:vMerge/>
          </w:tcPr>
          <w:p w14:paraId="102681F2" w14:textId="77777777" w:rsidR="00215226" w:rsidRPr="00093E8E" w:rsidRDefault="00215226" w:rsidP="00504C3A">
            <w:pPr>
              <w:pStyle w:val="Normal-TableText"/>
            </w:pPr>
          </w:p>
        </w:tc>
        <w:tc>
          <w:tcPr>
            <w:tcW w:w="3594" w:type="pct"/>
          </w:tcPr>
          <w:p w14:paraId="3053E0C1" w14:textId="77777777" w:rsidR="00215226" w:rsidRPr="00093E8E" w:rsidRDefault="00215226" w:rsidP="00504C3A">
            <w:pPr>
              <w:pStyle w:val="Normal-TableText"/>
            </w:pPr>
            <w:r w:rsidRPr="00093E8E">
              <w:t xml:space="preserve">V3 </w:t>
            </w:r>
            <w:r w:rsidRPr="00C6440C">
              <w:t>(</w:t>
            </w:r>
            <w:r w:rsidRPr="00093E8E">
              <w:t>2)</w:t>
            </w:r>
          </w:p>
        </w:tc>
      </w:tr>
      <w:tr w:rsidR="00215226" w:rsidRPr="00093E8E" w14:paraId="3363C039" w14:textId="77777777" w:rsidTr="00504C3A">
        <w:trPr>
          <w:trHeight w:val="113"/>
        </w:trPr>
        <w:tc>
          <w:tcPr>
            <w:tcW w:w="1406" w:type="pct"/>
            <w:vMerge w:val="restart"/>
          </w:tcPr>
          <w:p w14:paraId="2972635A" w14:textId="77777777" w:rsidR="00215226" w:rsidRPr="00093E8E" w:rsidRDefault="00215226" w:rsidP="00504C3A">
            <w:pPr>
              <w:pStyle w:val="Normal-TableText"/>
            </w:pPr>
            <w:r w:rsidRPr="00C6440C">
              <w:t>Ser</w:t>
            </w:r>
            <w:r w:rsidRPr="00093E8E">
              <w:t>i</w:t>
            </w:r>
            <w:r w:rsidRPr="00C6440C">
              <w:t>a</w:t>
            </w:r>
            <w:r w:rsidRPr="00093E8E">
              <w:t>l Numb</w:t>
            </w:r>
            <w:r w:rsidRPr="00C6440C">
              <w:t>e</w:t>
            </w:r>
            <w:r w:rsidRPr="00093E8E">
              <w:t>r</w:t>
            </w:r>
          </w:p>
        </w:tc>
        <w:tc>
          <w:tcPr>
            <w:tcW w:w="3594" w:type="pct"/>
          </w:tcPr>
          <w:p w14:paraId="245A3303" w14:textId="77777777" w:rsidR="00215226" w:rsidRPr="00093E8E" w:rsidRDefault="00215226" w:rsidP="00504C3A">
            <w:pPr>
              <w:pStyle w:val="Normal-TableText"/>
            </w:pPr>
            <w:r w:rsidRPr="00C6440C">
              <w:rPr>
                <w:rStyle w:val="Strong"/>
              </w:rPr>
              <w:t>Required</w:t>
            </w:r>
          </w:p>
        </w:tc>
      </w:tr>
      <w:tr w:rsidR="00215226" w:rsidRPr="00093E8E" w14:paraId="4675E9EC" w14:textId="77777777" w:rsidTr="00504C3A">
        <w:trPr>
          <w:trHeight w:val="113"/>
        </w:trPr>
        <w:tc>
          <w:tcPr>
            <w:tcW w:w="1406" w:type="pct"/>
            <w:vMerge/>
          </w:tcPr>
          <w:p w14:paraId="14D22526" w14:textId="77777777" w:rsidR="00215226" w:rsidRPr="00093E8E" w:rsidRDefault="00215226" w:rsidP="00504C3A">
            <w:pPr>
              <w:pStyle w:val="Normal-TableText"/>
            </w:pPr>
          </w:p>
        </w:tc>
        <w:tc>
          <w:tcPr>
            <w:tcW w:w="3594" w:type="pct"/>
          </w:tcPr>
          <w:p w14:paraId="5CE7DF7F" w14:textId="77777777" w:rsidR="00215226" w:rsidRPr="00093E8E" w:rsidRDefault="00215226" w:rsidP="00504C3A">
            <w:pPr>
              <w:pStyle w:val="Normal-TableText"/>
            </w:pPr>
            <w:r w:rsidRPr="00093E8E">
              <w:t xml:space="preserve">Must </w:t>
            </w:r>
            <w:r w:rsidRPr="00C6440C">
              <w:t>b</w:t>
            </w:r>
            <w:r w:rsidRPr="00093E8E">
              <w:t>e</w:t>
            </w:r>
            <w:r w:rsidRPr="00C6440C">
              <w:t xml:space="preserve"> </w:t>
            </w:r>
            <w:r w:rsidRPr="00093E8E">
              <w:t>unique</w:t>
            </w:r>
            <w:r w:rsidRPr="00C6440C">
              <w:t xml:space="preserve"> to an I</w:t>
            </w:r>
            <w:r w:rsidRPr="00093E8E">
              <w:t>ssu</w:t>
            </w:r>
            <w:r w:rsidRPr="00C6440C">
              <w:t>e</w:t>
            </w:r>
            <w:r w:rsidRPr="00093E8E">
              <w:t>r</w:t>
            </w:r>
          </w:p>
        </w:tc>
      </w:tr>
      <w:tr w:rsidR="00215226" w:rsidRPr="00093E8E" w14:paraId="1D18B1DE" w14:textId="77777777" w:rsidTr="00504C3A">
        <w:trPr>
          <w:trHeight w:val="113"/>
        </w:trPr>
        <w:tc>
          <w:tcPr>
            <w:tcW w:w="1406" w:type="pct"/>
            <w:vMerge w:val="restart"/>
          </w:tcPr>
          <w:p w14:paraId="349BD3F5" w14:textId="77777777" w:rsidR="00215226" w:rsidRPr="00093E8E" w:rsidRDefault="00215226" w:rsidP="00504C3A">
            <w:pPr>
              <w:pStyle w:val="Normal-TableText"/>
            </w:pPr>
            <w:r>
              <w:t>I</w:t>
            </w:r>
            <w:r w:rsidRPr="00093E8E">
              <w:t>ss</w:t>
            </w:r>
            <w:r w:rsidRPr="00C6440C">
              <w:t>ue</w:t>
            </w:r>
            <w:r w:rsidRPr="00093E8E">
              <w:t>r</w:t>
            </w:r>
            <w:r w:rsidRPr="00C6440C">
              <w:t xml:space="preserve"> S</w:t>
            </w:r>
            <w:r w:rsidRPr="00093E8E">
              <w:t>i</w:t>
            </w:r>
            <w:r w:rsidRPr="00C6440C">
              <w:t>gna</w:t>
            </w:r>
            <w:r w:rsidRPr="00093E8E">
              <w:t>tu</w:t>
            </w:r>
            <w:r w:rsidRPr="00C6440C">
              <w:t>r</w:t>
            </w:r>
            <w:r w:rsidRPr="00093E8E">
              <w:t>e</w:t>
            </w:r>
            <w:r w:rsidRPr="00C6440C">
              <w:t xml:space="preserve"> </w:t>
            </w:r>
            <w:r w:rsidRPr="00093E8E">
              <w:t>A</w:t>
            </w:r>
            <w:r w:rsidRPr="00C6440C">
              <w:t>lg</w:t>
            </w:r>
            <w:r w:rsidRPr="00093E8E">
              <w:t>o</w:t>
            </w:r>
            <w:r w:rsidRPr="00C6440C">
              <w:t>r</w:t>
            </w:r>
            <w:r w:rsidRPr="00093E8E">
              <w:t>it</w:t>
            </w:r>
            <w:r w:rsidRPr="00C6440C">
              <w:t>h</w:t>
            </w:r>
            <w:r w:rsidRPr="00093E8E">
              <w:t>m</w:t>
            </w:r>
          </w:p>
        </w:tc>
        <w:tc>
          <w:tcPr>
            <w:tcW w:w="3594" w:type="pct"/>
          </w:tcPr>
          <w:p w14:paraId="591F33F2" w14:textId="77777777" w:rsidR="00215226" w:rsidRPr="00093E8E" w:rsidRDefault="00215226" w:rsidP="00504C3A">
            <w:pPr>
              <w:pStyle w:val="Normal-TableText"/>
            </w:pPr>
            <w:r w:rsidRPr="00C6440C">
              <w:rPr>
                <w:rStyle w:val="Strong"/>
              </w:rPr>
              <w:t>Required</w:t>
            </w:r>
          </w:p>
        </w:tc>
      </w:tr>
      <w:tr w:rsidR="00215226" w:rsidRPr="00093E8E" w14:paraId="26F753BC" w14:textId="77777777" w:rsidTr="00504C3A">
        <w:trPr>
          <w:trHeight w:val="113"/>
        </w:trPr>
        <w:tc>
          <w:tcPr>
            <w:tcW w:w="1406" w:type="pct"/>
            <w:vMerge/>
          </w:tcPr>
          <w:p w14:paraId="576C5B27" w14:textId="77777777" w:rsidR="00215226" w:rsidRPr="00093E8E" w:rsidRDefault="00215226" w:rsidP="00504C3A">
            <w:pPr>
              <w:pStyle w:val="Normal-TableText"/>
            </w:pPr>
          </w:p>
        </w:tc>
        <w:tc>
          <w:tcPr>
            <w:tcW w:w="3594" w:type="pct"/>
          </w:tcPr>
          <w:p w14:paraId="72F1C846" w14:textId="77777777" w:rsidR="00215226" w:rsidRPr="00433FF1" w:rsidRDefault="00215226" w:rsidP="00504C3A">
            <w:pPr>
              <w:pStyle w:val="Bullet1"/>
              <w:rPr>
                <w:rStyle w:val="Strong"/>
              </w:rPr>
            </w:pPr>
            <w:r w:rsidRPr="00433FF1">
              <w:rPr>
                <w:rStyle w:val="Strong"/>
              </w:rPr>
              <w:t>sha256WithRSAEncryption {1 2 840 113549 1 1 11}</w:t>
            </w:r>
          </w:p>
          <w:p w14:paraId="409D0EDB" w14:textId="77777777" w:rsidR="00215226" w:rsidRPr="00093E8E" w:rsidRDefault="00215226" w:rsidP="00504C3A">
            <w:pPr>
              <w:pStyle w:val="Normal-TableText"/>
            </w:pPr>
            <w:r w:rsidRPr="00093E8E">
              <w:t>Or</w:t>
            </w:r>
            <w:r w:rsidRPr="00C6440C">
              <w:t xml:space="preserve"> </w:t>
            </w:r>
            <w:r w:rsidRPr="00093E8E">
              <w:t>one</w:t>
            </w:r>
            <w:r w:rsidRPr="00C6440C">
              <w:t xml:space="preserve"> </w:t>
            </w:r>
            <w:r w:rsidRPr="00093E8E">
              <w:t>of</w:t>
            </w:r>
            <w:r w:rsidRPr="00C6440C">
              <w:t xml:space="preserve"> </w:t>
            </w:r>
            <w:r w:rsidRPr="00093E8E">
              <w:t>the</w:t>
            </w:r>
            <w:r w:rsidRPr="00C6440C">
              <w:t xml:space="preserve"> f</w:t>
            </w:r>
            <w:r w:rsidRPr="00093E8E">
              <w:t>ollowing</w:t>
            </w:r>
            <w:r w:rsidRPr="00C6440C">
              <w:t xml:space="preserve"> s</w:t>
            </w:r>
            <w:r w:rsidRPr="00093E8E">
              <w:t>i</w:t>
            </w:r>
            <w:r w:rsidRPr="00C6440C">
              <w:t>g</w:t>
            </w:r>
            <w:r w:rsidRPr="00093E8E">
              <w:t>n</w:t>
            </w:r>
            <w:r w:rsidRPr="00C6440C">
              <w:t>a</w:t>
            </w:r>
            <w:r w:rsidRPr="00093E8E">
              <w:t>tu</w:t>
            </w:r>
            <w:r w:rsidRPr="00C6440C">
              <w:t>r</w:t>
            </w:r>
            <w:r w:rsidRPr="00093E8E">
              <w:t>e</w:t>
            </w:r>
            <w:r w:rsidRPr="00C6440C">
              <w:t xml:space="preserve"> alg</w:t>
            </w:r>
            <w:r w:rsidRPr="00093E8E">
              <w:t>o</w:t>
            </w:r>
            <w:r w:rsidRPr="00C6440C">
              <w:t>r</w:t>
            </w:r>
            <w:r w:rsidRPr="00093E8E">
              <w:t>ithms:</w:t>
            </w:r>
          </w:p>
          <w:p w14:paraId="644FB0E9" w14:textId="77777777" w:rsidR="00215226" w:rsidRPr="00093E8E" w:rsidRDefault="00215226" w:rsidP="00E86119">
            <w:pPr>
              <w:pStyle w:val="Bullet1"/>
            </w:pPr>
            <w:r w:rsidRPr="00093E8E">
              <w:t>sha224WithRSAEnc</w:t>
            </w:r>
            <w:r w:rsidR="00504C3A">
              <w:t>ryption {1 2 840 113549 1 1 14}</w:t>
            </w:r>
          </w:p>
          <w:p w14:paraId="6042D42D" w14:textId="77777777" w:rsidR="00215226" w:rsidRPr="00093E8E" w:rsidRDefault="00215226" w:rsidP="00E86119">
            <w:pPr>
              <w:pStyle w:val="Bullet1"/>
            </w:pPr>
            <w:r w:rsidRPr="00093E8E">
              <w:t>sh</w:t>
            </w:r>
            <w:r w:rsidRPr="00C6440C">
              <w:t>a</w:t>
            </w:r>
            <w:r w:rsidRPr="00093E8E">
              <w:t>384</w:t>
            </w:r>
            <w:r w:rsidRPr="00C6440C">
              <w:t>W</w:t>
            </w:r>
            <w:r w:rsidRPr="00093E8E">
              <w:t>ith</w:t>
            </w:r>
            <w:r w:rsidRPr="00C6440C">
              <w:t>RS</w:t>
            </w:r>
            <w:r w:rsidRPr="00093E8E">
              <w:t>AEn</w:t>
            </w:r>
            <w:r w:rsidRPr="00C6440C">
              <w:t>cry</w:t>
            </w:r>
            <w:r w:rsidRPr="00093E8E">
              <w:t>ption {1 2 840 113549 1 1 12}</w:t>
            </w:r>
          </w:p>
          <w:p w14:paraId="7ED2B403" w14:textId="77777777" w:rsidR="00215226" w:rsidRPr="00093E8E" w:rsidRDefault="00215226" w:rsidP="00504C3A">
            <w:pPr>
              <w:pStyle w:val="Bullet1"/>
            </w:pPr>
            <w:r w:rsidRPr="00093E8E">
              <w:t>sh</w:t>
            </w:r>
            <w:r w:rsidRPr="00D825A0">
              <w:t>a</w:t>
            </w:r>
            <w:r w:rsidRPr="00093E8E">
              <w:t>512</w:t>
            </w:r>
            <w:r w:rsidRPr="00D825A0">
              <w:t>W</w:t>
            </w:r>
            <w:r w:rsidRPr="00093E8E">
              <w:t>ith</w:t>
            </w:r>
            <w:r w:rsidRPr="00D825A0">
              <w:t>RS</w:t>
            </w:r>
            <w:r w:rsidRPr="00093E8E">
              <w:t>AEn</w:t>
            </w:r>
            <w:r w:rsidRPr="00D825A0">
              <w:t>cry</w:t>
            </w:r>
            <w:r w:rsidRPr="00093E8E">
              <w:t>ption {1 2 840 113549 1 1 13}</w:t>
            </w:r>
          </w:p>
          <w:p w14:paraId="7450C5FB" w14:textId="77777777" w:rsidR="00215226" w:rsidRPr="00093E8E" w:rsidRDefault="00215226" w:rsidP="00504C3A">
            <w:pPr>
              <w:pStyle w:val="Bullet1"/>
            </w:pPr>
            <w:r w:rsidRPr="00D825A0">
              <w:t>ec</w:t>
            </w:r>
            <w:r w:rsidRPr="00093E8E">
              <w:t>ds</w:t>
            </w:r>
            <w:r w:rsidRPr="00D825A0">
              <w:t>a-</w:t>
            </w:r>
            <w:r w:rsidRPr="00093E8E">
              <w:t>with</w:t>
            </w:r>
            <w:r w:rsidRPr="00D825A0">
              <w:t>-S</w:t>
            </w:r>
            <w:r w:rsidRPr="00093E8E">
              <w:t xml:space="preserve">HA1 {1 2 </w:t>
            </w:r>
            <w:r w:rsidRPr="00D825A0">
              <w:t>8</w:t>
            </w:r>
            <w:r w:rsidRPr="00093E8E">
              <w:t>40 10045 4 1}</w:t>
            </w:r>
          </w:p>
          <w:p w14:paraId="59C827CA" w14:textId="77777777" w:rsidR="00215226" w:rsidRPr="00093E8E" w:rsidRDefault="00215226" w:rsidP="00504C3A">
            <w:pPr>
              <w:pStyle w:val="Bullet1"/>
            </w:pPr>
            <w:r w:rsidRPr="00D825A0">
              <w:t>ec</w:t>
            </w:r>
            <w:r w:rsidRPr="00093E8E">
              <w:t>ds</w:t>
            </w:r>
            <w:r w:rsidRPr="00D825A0">
              <w:t>a-</w:t>
            </w:r>
            <w:r w:rsidRPr="00093E8E">
              <w:t>with</w:t>
            </w:r>
            <w:r w:rsidRPr="00D825A0">
              <w:t>-S</w:t>
            </w:r>
            <w:r w:rsidRPr="00093E8E">
              <w:t>HA256 {1 2</w:t>
            </w:r>
            <w:r w:rsidRPr="00D825A0">
              <w:t xml:space="preserve"> </w:t>
            </w:r>
            <w:r w:rsidRPr="00093E8E">
              <w:t>840 10045 4 3 2}</w:t>
            </w:r>
          </w:p>
          <w:p w14:paraId="6EAB6917" w14:textId="77777777" w:rsidR="00215226" w:rsidRPr="00093E8E" w:rsidRDefault="00215226" w:rsidP="00504C3A">
            <w:pPr>
              <w:pStyle w:val="Bullet1"/>
            </w:pPr>
            <w:r w:rsidRPr="00D825A0">
              <w:t>ec</w:t>
            </w:r>
            <w:r w:rsidRPr="00093E8E">
              <w:t>ds</w:t>
            </w:r>
            <w:r w:rsidRPr="00D825A0">
              <w:t>a-</w:t>
            </w:r>
            <w:r w:rsidRPr="00093E8E">
              <w:t>with</w:t>
            </w:r>
            <w:r w:rsidRPr="00D825A0">
              <w:t>-S</w:t>
            </w:r>
            <w:r w:rsidRPr="00093E8E">
              <w:t>HA384 {1 2</w:t>
            </w:r>
            <w:r w:rsidRPr="00D825A0">
              <w:t xml:space="preserve"> </w:t>
            </w:r>
            <w:r w:rsidRPr="00093E8E">
              <w:t>840 10045 4 3 3}</w:t>
            </w:r>
          </w:p>
          <w:p w14:paraId="40EB8919" w14:textId="77777777" w:rsidR="00215226" w:rsidRPr="00093E8E" w:rsidRDefault="00215226" w:rsidP="00504C3A">
            <w:pPr>
              <w:pStyle w:val="Bullet1"/>
            </w:pPr>
            <w:r w:rsidRPr="00D825A0">
              <w:t>ec</w:t>
            </w:r>
            <w:r w:rsidRPr="00093E8E">
              <w:t>ds</w:t>
            </w:r>
            <w:r w:rsidRPr="00D825A0">
              <w:t>a-</w:t>
            </w:r>
            <w:r w:rsidRPr="00093E8E">
              <w:t>with</w:t>
            </w:r>
            <w:r w:rsidRPr="00D825A0">
              <w:t>-S</w:t>
            </w:r>
            <w:r w:rsidRPr="00093E8E">
              <w:t>HA512 {1 2</w:t>
            </w:r>
            <w:r w:rsidRPr="00D825A0">
              <w:t xml:space="preserve"> </w:t>
            </w:r>
            <w:r w:rsidRPr="00093E8E">
              <w:t>840 10045 4</w:t>
            </w:r>
            <w:r>
              <w:t xml:space="preserve"> </w:t>
            </w:r>
            <w:r w:rsidRPr="00093E8E">
              <w:t>3 4}</w:t>
            </w:r>
          </w:p>
        </w:tc>
      </w:tr>
      <w:tr w:rsidR="00215226" w:rsidRPr="00093E8E" w14:paraId="135BD5B6" w14:textId="77777777" w:rsidTr="00504C3A">
        <w:trPr>
          <w:trHeight w:val="113"/>
        </w:trPr>
        <w:tc>
          <w:tcPr>
            <w:tcW w:w="1406" w:type="pct"/>
            <w:vMerge w:val="restart"/>
          </w:tcPr>
          <w:p w14:paraId="795409FE" w14:textId="77777777" w:rsidR="00215226" w:rsidRPr="00093E8E" w:rsidRDefault="00215226" w:rsidP="00504C3A">
            <w:pPr>
              <w:pStyle w:val="Normal-TableText"/>
            </w:pPr>
            <w:r w:rsidRPr="00C6440C">
              <w:t>I</w:t>
            </w:r>
            <w:r w:rsidRPr="00093E8E">
              <w:t>ss</w:t>
            </w:r>
            <w:r w:rsidRPr="00C6440C">
              <w:t>ue</w:t>
            </w:r>
            <w:r w:rsidRPr="00093E8E">
              <w:t>r</w:t>
            </w:r>
            <w:r w:rsidRPr="00C6440C">
              <w:t xml:space="preserve"> </w:t>
            </w:r>
            <w:r w:rsidRPr="00093E8E">
              <w:t>Distin</w:t>
            </w:r>
            <w:r w:rsidRPr="00C6440C">
              <w:t>g</w:t>
            </w:r>
            <w:r w:rsidRPr="00093E8E">
              <w:t>uish</w:t>
            </w:r>
            <w:r w:rsidRPr="00C6440C">
              <w:t>e</w:t>
            </w:r>
            <w:r w:rsidRPr="00093E8E">
              <w:t>d</w:t>
            </w:r>
            <w:r w:rsidRPr="00C6440C">
              <w:t xml:space="preserve"> </w:t>
            </w:r>
            <w:r w:rsidRPr="00093E8E">
              <w:t>N</w:t>
            </w:r>
            <w:r w:rsidRPr="00C6440C">
              <w:t>a</w:t>
            </w:r>
            <w:r w:rsidRPr="00093E8E">
              <w:t>me</w:t>
            </w:r>
          </w:p>
        </w:tc>
        <w:tc>
          <w:tcPr>
            <w:tcW w:w="3594" w:type="pct"/>
          </w:tcPr>
          <w:p w14:paraId="2810460B" w14:textId="77777777" w:rsidR="00215226" w:rsidRPr="00093E8E" w:rsidRDefault="00215226" w:rsidP="00504C3A">
            <w:pPr>
              <w:pStyle w:val="Normal-TableText"/>
            </w:pPr>
            <w:r w:rsidRPr="00C6440C">
              <w:rPr>
                <w:rStyle w:val="Strong"/>
              </w:rPr>
              <w:t>Required</w:t>
            </w:r>
          </w:p>
        </w:tc>
      </w:tr>
      <w:tr w:rsidR="00215226" w:rsidRPr="00093E8E" w14:paraId="722D2F7C" w14:textId="77777777" w:rsidTr="00504C3A">
        <w:trPr>
          <w:trHeight w:val="113"/>
        </w:trPr>
        <w:tc>
          <w:tcPr>
            <w:tcW w:w="1406" w:type="pct"/>
            <w:vMerge/>
          </w:tcPr>
          <w:p w14:paraId="4522660F" w14:textId="77777777" w:rsidR="00215226" w:rsidRPr="00093E8E" w:rsidRDefault="00215226" w:rsidP="00504C3A">
            <w:pPr>
              <w:pStyle w:val="Normal-TableText"/>
            </w:pPr>
          </w:p>
        </w:tc>
        <w:tc>
          <w:tcPr>
            <w:tcW w:w="3594" w:type="pct"/>
          </w:tcPr>
          <w:p w14:paraId="53B2171A" w14:textId="77777777" w:rsidR="00215226" w:rsidRPr="00093E8E" w:rsidRDefault="00215226" w:rsidP="00504C3A">
            <w:pPr>
              <w:pStyle w:val="Normal-TableText"/>
            </w:pPr>
            <w:r w:rsidRPr="00093E8E">
              <w:t>E</w:t>
            </w:r>
            <w:r w:rsidRPr="00C6440C">
              <w:t>ac</w:t>
            </w:r>
            <w:r w:rsidRPr="00093E8E">
              <w:t xml:space="preserve">h </w:t>
            </w:r>
            <w:r w:rsidRPr="00C6440C">
              <w:t>R</w:t>
            </w:r>
            <w:r w:rsidRPr="00093E8E">
              <w:t>DN is a</w:t>
            </w:r>
            <w:r w:rsidRPr="00C6440C">
              <w:t xml:space="preserve"> </w:t>
            </w:r>
            <w:r w:rsidRPr="00093E8E">
              <w:t>p</w:t>
            </w:r>
            <w:r w:rsidRPr="00C6440C">
              <w:t>r</w:t>
            </w:r>
            <w:r w:rsidRPr="00093E8E">
              <w:t>int</w:t>
            </w:r>
            <w:r w:rsidRPr="00C6440C">
              <w:t>a</w:t>
            </w:r>
            <w:r w:rsidRPr="00093E8E">
              <w:t>b</w:t>
            </w:r>
            <w:r w:rsidRPr="00C6440C">
              <w:t>leS</w:t>
            </w:r>
            <w:r w:rsidRPr="00093E8E">
              <w:t>t</w:t>
            </w:r>
            <w:r w:rsidRPr="00C6440C">
              <w:t>r</w:t>
            </w:r>
            <w:r w:rsidRPr="00093E8E">
              <w:t>ing</w:t>
            </w:r>
            <w:r w:rsidRPr="00C6440C">
              <w:t xml:space="preserve"> a</w:t>
            </w:r>
            <w:r w:rsidRPr="00093E8E">
              <w:t xml:space="preserve">nd </w:t>
            </w:r>
            <w:r w:rsidRPr="00C6440C">
              <w:t>c</w:t>
            </w:r>
            <w:r w:rsidRPr="00093E8E">
              <w:t>ont</w:t>
            </w:r>
            <w:r w:rsidRPr="00C6440C">
              <w:t>a</w:t>
            </w:r>
            <w:r w:rsidRPr="00093E8E">
              <w:t>ins</w:t>
            </w:r>
            <w:r w:rsidRPr="00C6440C">
              <w:t xml:space="preserve"> </w:t>
            </w:r>
            <w:r w:rsidRPr="00093E8E">
              <w:t>a</w:t>
            </w:r>
            <w:r w:rsidRPr="00C6440C">
              <w:t xml:space="preserve"> </w:t>
            </w:r>
            <w:r w:rsidRPr="00093E8E">
              <w:t>sin</w:t>
            </w:r>
            <w:r w:rsidRPr="00C6440C">
              <w:t>g</w:t>
            </w:r>
            <w:r w:rsidRPr="00093E8E">
              <w:t>le</w:t>
            </w:r>
            <w:r w:rsidRPr="00C6440C">
              <w:t xml:space="preserve"> a</w:t>
            </w:r>
            <w:r w:rsidRPr="00093E8E">
              <w:t>tt</w:t>
            </w:r>
            <w:r w:rsidRPr="00C6440C">
              <w:t>r</w:t>
            </w:r>
            <w:r w:rsidRPr="00093E8E">
              <w:t>ibute</w:t>
            </w:r>
            <w:r w:rsidRPr="00C6440C">
              <w:t xml:space="preserve"> typ</w:t>
            </w:r>
            <w:r w:rsidRPr="00093E8E">
              <w:t xml:space="preserve">e </w:t>
            </w:r>
            <w:r w:rsidRPr="00C6440C">
              <w:t>a</w:t>
            </w:r>
            <w:r w:rsidRPr="00093E8E">
              <w:t xml:space="preserve">nd </w:t>
            </w:r>
            <w:r w:rsidRPr="00C6440C">
              <w:t>a</w:t>
            </w:r>
            <w:r w:rsidRPr="00093E8E">
              <w:t>tt</w:t>
            </w:r>
            <w:r w:rsidRPr="00C6440C">
              <w:t>r</w:t>
            </w:r>
            <w:r w:rsidRPr="00093E8E">
              <w:t>ibute</w:t>
            </w:r>
            <w:r w:rsidRPr="00C6440C">
              <w:t xml:space="preserve"> </w:t>
            </w:r>
            <w:r w:rsidRPr="00093E8E">
              <w:t>v</w:t>
            </w:r>
            <w:r w:rsidRPr="00C6440C">
              <w:t>a</w:t>
            </w:r>
            <w:r w:rsidRPr="00093E8E">
              <w:t>lue</w:t>
            </w:r>
            <w:r w:rsidRPr="00C6440C">
              <w:t xml:space="preserve"> </w:t>
            </w:r>
            <w:r w:rsidRPr="00093E8E">
              <w:t>tuple.</w:t>
            </w:r>
          </w:p>
        </w:tc>
      </w:tr>
      <w:tr w:rsidR="00215226" w:rsidRPr="00093E8E" w14:paraId="09225048" w14:textId="77777777" w:rsidTr="00504C3A">
        <w:trPr>
          <w:trHeight w:val="113"/>
        </w:trPr>
        <w:tc>
          <w:tcPr>
            <w:tcW w:w="1406" w:type="pct"/>
            <w:vMerge w:val="restart"/>
          </w:tcPr>
          <w:p w14:paraId="4A83AF98" w14:textId="77777777" w:rsidR="00215226" w:rsidRPr="00093E8E" w:rsidRDefault="00215226" w:rsidP="00504C3A">
            <w:pPr>
              <w:pStyle w:val="Normal-TableText"/>
            </w:pPr>
            <w:r w:rsidRPr="00093E8E">
              <w:t>V</w:t>
            </w:r>
            <w:r w:rsidRPr="00C6440C">
              <w:t>a</w:t>
            </w:r>
            <w:r w:rsidRPr="00093E8E">
              <w:t>lidi</w:t>
            </w:r>
            <w:r w:rsidRPr="00C6440C">
              <w:t>t</w:t>
            </w:r>
            <w:r w:rsidRPr="00093E8E">
              <w:t>y</w:t>
            </w:r>
            <w:r w:rsidRPr="00C6440C">
              <w:t xml:space="preserve"> Per</w:t>
            </w:r>
            <w:r w:rsidRPr="00093E8E">
              <w:t>iod</w:t>
            </w:r>
          </w:p>
        </w:tc>
        <w:tc>
          <w:tcPr>
            <w:tcW w:w="3594" w:type="pct"/>
          </w:tcPr>
          <w:p w14:paraId="38F42453" w14:textId="77777777" w:rsidR="00215226" w:rsidRPr="00093E8E" w:rsidRDefault="00215226" w:rsidP="00504C3A">
            <w:pPr>
              <w:pStyle w:val="Normal-TableText"/>
            </w:pPr>
            <w:r w:rsidRPr="00C6440C">
              <w:rPr>
                <w:rStyle w:val="Strong"/>
              </w:rPr>
              <w:t>Required</w:t>
            </w:r>
          </w:p>
        </w:tc>
      </w:tr>
      <w:tr w:rsidR="00215226" w:rsidRPr="00093E8E" w14:paraId="2EBDAD47" w14:textId="77777777" w:rsidTr="00504C3A">
        <w:trPr>
          <w:trHeight w:val="113"/>
        </w:trPr>
        <w:tc>
          <w:tcPr>
            <w:tcW w:w="1406" w:type="pct"/>
            <w:vMerge/>
          </w:tcPr>
          <w:p w14:paraId="046EA29E" w14:textId="77777777" w:rsidR="00215226" w:rsidRPr="00093E8E" w:rsidRDefault="00215226" w:rsidP="00504C3A">
            <w:pPr>
              <w:pStyle w:val="Normal-TableText"/>
            </w:pPr>
          </w:p>
        </w:tc>
        <w:tc>
          <w:tcPr>
            <w:tcW w:w="3594" w:type="pct"/>
          </w:tcPr>
          <w:p w14:paraId="23612D50" w14:textId="77777777" w:rsidR="00215226" w:rsidRPr="00093E8E" w:rsidRDefault="00215226" w:rsidP="00504C3A">
            <w:pPr>
              <w:pStyle w:val="Normal-TableText"/>
            </w:pPr>
            <w:r w:rsidRPr="00093E8E">
              <w:t>Maximum of 10 years from date of issue in UTC format if using 112</w:t>
            </w:r>
            <w:r w:rsidR="004628D5">
              <w:noBreakHyphen/>
            </w:r>
            <w:r w:rsidRPr="00093E8E">
              <w:t>bits of security</w:t>
            </w:r>
          </w:p>
          <w:p w14:paraId="62142C74" w14:textId="77777777" w:rsidR="00215226" w:rsidRDefault="00215226" w:rsidP="00504C3A">
            <w:pPr>
              <w:pStyle w:val="Normal-TableText"/>
            </w:pPr>
            <w:r w:rsidRPr="00093E8E">
              <w:t>M</w:t>
            </w:r>
            <w:r w:rsidRPr="00C6440C">
              <w:t>ax</w:t>
            </w:r>
            <w:r w:rsidRPr="00093E8E">
              <w:t>imum 15</w:t>
            </w:r>
            <w:r w:rsidRPr="00C6440C">
              <w:t xml:space="preserve"> year</w:t>
            </w:r>
            <w:r w:rsidRPr="00093E8E">
              <w:t xml:space="preserve">s </w:t>
            </w:r>
            <w:r w:rsidRPr="00C6440C">
              <w:t>fr</w:t>
            </w:r>
            <w:r w:rsidRPr="00093E8E">
              <w:t xml:space="preserve">om </w:t>
            </w:r>
            <w:r w:rsidRPr="00C6440C">
              <w:t>da</w:t>
            </w:r>
            <w:r w:rsidRPr="00093E8E">
              <w:t>te</w:t>
            </w:r>
            <w:r w:rsidRPr="00C6440C">
              <w:t xml:space="preserve"> </w:t>
            </w:r>
            <w:r w:rsidRPr="00093E8E">
              <w:t>of</w:t>
            </w:r>
            <w:r w:rsidRPr="00C6440C">
              <w:t xml:space="preserve"> </w:t>
            </w:r>
            <w:r w:rsidRPr="00093E8E">
              <w:t>issue</w:t>
            </w:r>
            <w:r w:rsidRPr="00C6440C">
              <w:t xml:space="preserve"> </w:t>
            </w:r>
            <w:r w:rsidRPr="00093E8E">
              <w:t>in UT</w:t>
            </w:r>
            <w:r w:rsidRPr="00C6440C">
              <w:t>C</w:t>
            </w:r>
            <w:r w:rsidRPr="00093E8E">
              <w:t xml:space="preserve"> </w:t>
            </w:r>
            <w:r w:rsidRPr="00C6440C">
              <w:t>f</w:t>
            </w:r>
            <w:r w:rsidRPr="00093E8E">
              <w:t>o</w:t>
            </w:r>
            <w:r w:rsidRPr="00C6440C">
              <w:t>r</w:t>
            </w:r>
            <w:r w:rsidRPr="00093E8E">
              <w:t>m</w:t>
            </w:r>
            <w:r w:rsidRPr="00C6440C">
              <w:t>a</w:t>
            </w:r>
            <w:r w:rsidRPr="00093E8E">
              <w:t>t if using at least 128-bits of security.</w:t>
            </w:r>
          </w:p>
          <w:p w14:paraId="3AFA488A" w14:textId="77777777" w:rsidR="00215226" w:rsidRPr="00093E8E" w:rsidRDefault="00215226" w:rsidP="004628D5">
            <w:pPr>
              <w:pStyle w:val="Normal-TableText"/>
            </w:pPr>
            <w:r w:rsidRPr="00093E8E">
              <w:t>Not</w:t>
            </w:r>
            <w:r w:rsidRPr="00C6440C">
              <w:t>e</w:t>
            </w:r>
            <w:r w:rsidRPr="00093E8E">
              <w:t>: the</w:t>
            </w:r>
            <w:r w:rsidRPr="00C6440C">
              <w:t xml:space="preserve"> </w:t>
            </w:r>
            <w:r w:rsidRPr="00093E8E">
              <w:t>not</w:t>
            </w:r>
            <w:r w:rsidRPr="00C6440C">
              <w:t>Bef</w:t>
            </w:r>
            <w:r w:rsidRPr="00093E8E">
              <w:t>o</w:t>
            </w:r>
            <w:r w:rsidRPr="00C6440C">
              <w:t>r</w:t>
            </w:r>
            <w:r w:rsidRPr="00093E8E">
              <w:t>e</w:t>
            </w:r>
            <w:r w:rsidRPr="00C6440C">
              <w:t xml:space="preserve"> c</w:t>
            </w:r>
            <w:r w:rsidRPr="00093E8E">
              <w:t>ompon</w:t>
            </w:r>
            <w:r w:rsidRPr="00C6440C">
              <w:t>e</w:t>
            </w:r>
            <w:r w:rsidRPr="00093E8E">
              <w:t>nt will be</w:t>
            </w:r>
            <w:r w:rsidRPr="00C6440C">
              <w:t xml:space="preserve"> </w:t>
            </w:r>
            <w:r w:rsidRPr="00093E8E">
              <w:t>the</w:t>
            </w:r>
            <w:r w:rsidRPr="00C6440C">
              <w:t xml:space="preserve"> cer</w:t>
            </w:r>
            <w:r w:rsidRPr="00093E8E">
              <w:t>ti</w:t>
            </w:r>
            <w:r w:rsidRPr="00C6440C">
              <w:t>fica</w:t>
            </w:r>
            <w:r w:rsidRPr="00093E8E">
              <w:t>t</w:t>
            </w:r>
            <w:r w:rsidRPr="00C6440C">
              <w:t>e’</w:t>
            </w:r>
            <w:r w:rsidRPr="00093E8E">
              <w:t>s issue</w:t>
            </w:r>
            <w:r w:rsidRPr="00C6440C">
              <w:t xml:space="preserve"> da</w:t>
            </w:r>
            <w:r w:rsidRPr="00093E8E">
              <w:t>t</w:t>
            </w:r>
            <w:r w:rsidRPr="00C6440C">
              <w:t xml:space="preserve">e. </w:t>
            </w:r>
            <w:r w:rsidRPr="00093E8E">
              <w:t>The</w:t>
            </w:r>
            <w:r w:rsidR="004628D5">
              <w:t> </w:t>
            </w:r>
            <w:r w:rsidRPr="00093E8E">
              <w:t>notA</w:t>
            </w:r>
            <w:r w:rsidRPr="00C6440C">
              <w:t>f</w:t>
            </w:r>
            <w:r w:rsidRPr="00093E8E">
              <w:t>t</w:t>
            </w:r>
            <w:r w:rsidRPr="00C6440C">
              <w:t>e</w:t>
            </w:r>
            <w:r w:rsidRPr="00093E8E">
              <w:t>r</w:t>
            </w:r>
            <w:r w:rsidRPr="00C6440C">
              <w:t xml:space="preserve"> c</w:t>
            </w:r>
            <w:r w:rsidRPr="00093E8E">
              <w:t>ompon</w:t>
            </w:r>
            <w:r w:rsidRPr="00C6440C">
              <w:t>e</w:t>
            </w:r>
            <w:r w:rsidRPr="00093E8E">
              <w:t>nt</w:t>
            </w:r>
            <w:r w:rsidRPr="00C6440C">
              <w:t xml:space="preserve"> </w:t>
            </w:r>
            <w:r w:rsidRPr="00093E8E">
              <w:t>is the</w:t>
            </w:r>
            <w:r w:rsidRPr="00C6440C">
              <w:t xml:space="preserve"> </w:t>
            </w:r>
            <w:r w:rsidRPr="00093E8E">
              <w:t>d</w:t>
            </w:r>
            <w:r w:rsidRPr="00C6440C">
              <w:t>a</w:t>
            </w:r>
            <w:r w:rsidRPr="00093E8E">
              <w:t>y</w:t>
            </w:r>
            <w:r w:rsidRPr="00C6440C">
              <w:t xml:space="preserve"> e</w:t>
            </w:r>
            <w:r w:rsidRPr="00093E8E">
              <w:t>nding</w:t>
            </w:r>
            <w:r w:rsidRPr="00C6440C">
              <w:t xml:space="preserve"> </w:t>
            </w:r>
            <w:r w:rsidRPr="00093E8E">
              <w:t>t</w:t>
            </w:r>
            <w:r w:rsidRPr="00C6440C">
              <w:t>h</w:t>
            </w:r>
            <w:r w:rsidRPr="00093E8E">
              <w:t>e</w:t>
            </w:r>
            <w:r w:rsidRPr="00C6440C">
              <w:t xml:space="preserve"> </w:t>
            </w:r>
            <w:r w:rsidRPr="00093E8E">
              <w:t>v</w:t>
            </w:r>
            <w:r w:rsidRPr="00C6440C">
              <w:t>a</w:t>
            </w:r>
            <w:r w:rsidRPr="00093E8E">
              <w:t>l</w:t>
            </w:r>
            <w:r w:rsidRPr="00C6440C">
              <w:t>i</w:t>
            </w:r>
            <w:r w:rsidRPr="00093E8E">
              <w:t>di</w:t>
            </w:r>
            <w:r w:rsidRPr="00C6440C">
              <w:t>t</w:t>
            </w:r>
            <w:r w:rsidRPr="00093E8E">
              <w:t>y</w:t>
            </w:r>
            <w:r w:rsidRPr="00C6440C">
              <w:t xml:space="preserve"> </w:t>
            </w:r>
            <w:r w:rsidRPr="00093E8E">
              <w:t>p</w:t>
            </w:r>
            <w:r w:rsidRPr="00C6440C">
              <w:t>er</w:t>
            </w:r>
            <w:r w:rsidRPr="00093E8E">
              <w:t>iod.</w:t>
            </w:r>
          </w:p>
        </w:tc>
      </w:tr>
      <w:tr w:rsidR="00215226" w:rsidRPr="00093E8E" w14:paraId="30DBEC2A" w14:textId="77777777" w:rsidTr="00504C3A">
        <w:trPr>
          <w:trHeight w:val="113"/>
        </w:trPr>
        <w:tc>
          <w:tcPr>
            <w:tcW w:w="1406" w:type="pct"/>
            <w:vMerge w:val="restart"/>
          </w:tcPr>
          <w:p w14:paraId="3DAD39C9" w14:textId="77777777" w:rsidR="00215226" w:rsidRPr="00093E8E" w:rsidRDefault="00215226" w:rsidP="00504C3A">
            <w:pPr>
              <w:pStyle w:val="Normal-TableText"/>
            </w:pPr>
            <w:r w:rsidRPr="00C6440C">
              <w:t>S</w:t>
            </w:r>
            <w:r w:rsidRPr="00093E8E">
              <w:t>ubj</w:t>
            </w:r>
            <w:r w:rsidRPr="00C6440C">
              <w:t>ec</w:t>
            </w:r>
            <w:r w:rsidRPr="00093E8E">
              <w:t>t Distin</w:t>
            </w:r>
            <w:r w:rsidRPr="00C6440C">
              <w:t>g</w:t>
            </w:r>
            <w:r w:rsidRPr="00093E8E">
              <w:t>uish</w:t>
            </w:r>
            <w:r w:rsidRPr="00C6440C">
              <w:t>e</w:t>
            </w:r>
            <w:r w:rsidRPr="00093E8E">
              <w:t>d</w:t>
            </w:r>
            <w:r w:rsidR="006F49DA">
              <w:t xml:space="preserve"> </w:t>
            </w:r>
            <w:r w:rsidRPr="00093E8E">
              <w:t>N</w:t>
            </w:r>
            <w:r w:rsidRPr="00C6440C">
              <w:t>a</w:t>
            </w:r>
            <w:r w:rsidRPr="00093E8E">
              <w:t>me</w:t>
            </w:r>
          </w:p>
        </w:tc>
        <w:tc>
          <w:tcPr>
            <w:tcW w:w="3594" w:type="pct"/>
          </w:tcPr>
          <w:p w14:paraId="398EA851" w14:textId="77777777" w:rsidR="00215226" w:rsidRPr="00093E8E" w:rsidRDefault="00215226" w:rsidP="00504C3A">
            <w:pPr>
              <w:pStyle w:val="Normal-TableText"/>
            </w:pPr>
            <w:r w:rsidRPr="00C6440C">
              <w:rPr>
                <w:rStyle w:val="Strong"/>
              </w:rPr>
              <w:t>Required</w:t>
            </w:r>
          </w:p>
        </w:tc>
      </w:tr>
      <w:tr w:rsidR="00215226" w:rsidRPr="00093E8E" w14:paraId="64C58226" w14:textId="77777777" w:rsidTr="00504C3A">
        <w:trPr>
          <w:trHeight w:val="113"/>
        </w:trPr>
        <w:tc>
          <w:tcPr>
            <w:tcW w:w="1406" w:type="pct"/>
            <w:vMerge/>
          </w:tcPr>
          <w:p w14:paraId="7FFFDEB2" w14:textId="77777777" w:rsidR="00215226" w:rsidRPr="00093E8E" w:rsidRDefault="00215226" w:rsidP="00504C3A">
            <w:pPr>
              <w:pStyle w:val="Normal-TableText"/>
            </w:pPr>
          </w:p>
        </w:tc>
        <w:tc>
          <w:tcPr>
            <w:tcW w:w="3594" w:type="pct"/>
          </w:tcPr>
          <w:p w14:paraId="160F51E5" w14:textId="77777777" w:rsidR="00215226" w:rsidRPr="00093E8E" w:rsidRDefault="00215226" w:rsidP="00504C3A">
            <w:pPr>
              <w:pStyle w:val="Normal-TableText"/>
            </w:pPr>
            <w:r w:rsidRPr="00093E8E">
              <w:t>E</w:t>
            </w:r>
            <w:r w:rsidRPr="00C6440C">
              <w:t>ac</w:t>
            </w:r>
            <w:r w:rsidRPr="00093E8E">
              <w:t xml:space="preserve">h </w:t>
            </w:r>
            <w:r w:rsidRPr="00C6440C">
              <w:t>R</w:t>
            </w:r>
            <w:r w:rsidRPr="00093E8E">
              <w:t>DN is a</w:t>
            </w:r>
            <w:r w:rsidRPr="00C6440C">
              <w:t xml:space="preserve"> </w:t>
            </w:r>
            <w:r w:rsidRPr="00093E8E">
              <w:t>p</w:t>
            </w:r>
            <w:r w:rsidRPr="00C6440C">
              <w:t>r</w:t>
            </w:r>
            <w:r w:rsidRPr="00093E8E">
              <w:t>int</w:t>
            </w:r>
            <w:r w:rsidRPr="00C6440C">
              <w:t>a</w:t>
            </w:r>
            <w:r w:rsidRPr="00093E8E">
              <w:t>b</w:t>
            </w:r>
            <w:r w:rsidRPr="00C6440C">
              <w:t>leS</w:t>
            </w:r>
            <w:r w:rsidRPr="00093E8E">
              <w:t>t</w:t>
            </w:r>
            <w:r w:rsidRPr="00C6440C">
              <w:t>r</w:t>
            </w:r>
            <w:r w:rsidRPr="00093E8E">
              <w:t>ing</w:t>
            </w:r>
            <w:r w:rsidRPr="00C6440C">
              <w:t xml:space="preserve"> a</w:t>
            </w:r>
            <w:r w:rsidRPr="00093E8E">
              <w:t xml:space="preserve">nd </w:t>
            </w:r>
            <w:r w:rsidRPr="00C6440C">
              <w:t>c</w:t>
            </w:r>
            <w:r w:rsidRPr="00093E8E">
              <w:t>ont</w:t>
            </w:r>
            <w:r w:rsidRPr="00C6440C">
              <w:t>a</w:t>
            </w:r>
            <w:r w:rsidRPr="00093E8E">
              <w:t>ins</w:t>
            </w:r>
            <w:r w:rsidRPr="00C6440C">
              <w:t xml:space="preserve"> </w:t>
            </w:r>
            <w:r w:rsidRPr="00093E8E">
              <w:t>a</w:t>
            </w:r>
            <w:r w:rsidRPr="00C6440C">
              <w:t xml:space="preserve"> </w:t>
            </w:r>
            <w:r w:rsidRPr="00093E8E">
              <w:t>sin</w:t>
            </w:r>
            <w:r w:rsidRPr="00C6440C">
              <w:t>g</w:t>
            </w:r>
            <w:r w:rsidRPr="00093E8E">
              <w:t>le</w:t>
            </w:r>
            <w:r w:rsidRPr="00C6440C">
              <w:t xml:space="preserve"> a</w:t>
            </w:r>
            <w:r w:rsidRPr="00093E8E">
              <w:t>tt</w:t>
            </w:r>
            <w:r w:rsidRPr="00C6440C">
              <w:t>r</w:t>
            </w:r>
            <w:r w:rsidRPr="00093E8E">
              <w:t>ibute</w:t>
            </w:r>
            <w:r w:rsidRPr="00C6440C">
              <w:t xml:space="preserve"> typ</w:t>
            </w:r>
            <w:r w:rsidRPr="00093E8E">
              <w:t xml:space="preserve">e </w:t>
            </w:r>
            <w:r w:rsidRPr="00C6440C">
              <w:t>a</w:t>
            </w:r>
            <w:r w:rsidRPr="00093E8E">
              <w:t xml:space="preserve">nd </w:t>
            </w:r>
            <w:r w:rsidRPr="00C6440C">
              <w:t>a</w:t>
            </w:r>
            <w:r w:rsidRPr="00093E8E">
              <w:t>tt</w:t>
            </w:r>
            <w:r w:rsidRPr="00C6440C">
              <w:t>r</w:t>
            </w:r>
            <w:r w:rsidRPr="00093E8E">
              <w:t>ibute</w:t>
            </w:r>
            <w:r w:rsidRPr="00C6440C">
              <w:t xml:space="preserve"> </w:t>
            </w:r>
            <w:r w:rsidRPr="00093E8E">
              <w:t>v</w:t>
            </w:r>
            <w:r w:rsidRPr="00C6440C">
              <w:t>a</w:t>
            </w:r>
            <w:r w:rsidRPr="00093E8E">
              <w:t>lue</w:t>
            </w:r>
            <w:r w:rsidRPr="00C6440C">
              <w:t xml:space="preserve"> </w:t>
            </w:r>
            <w:r w:rsidRPr="00093E8E">
              <w:t>tuple.</w:t>
            </w:r>
          </w:p>
        </w:tc>
      </w:tr>
      <w:tr w:rsidR="00215226" w:rsidRPr="00093E8E" w14:paraId="185BF88D" w14:textId="77777777" w:rsidTr="00504C3A">
        <w:trPr>
          <w:trHeight w:val="113"/>
        </w:trPr>
        <w:tc>
          <w:tcPr>
            <w:tcW w:w="1406" w:type="pct"/>
            <w:vMerge w:val="restart"/>
          </w:tcPr>
          <w:p w14:paraId="081EE258" w14:textId="77777777" w:rsidR="00215226" w:rsidRPr="00093E8E" w:rsidRDefault="00215226" w:rsidP="00504C3A">
            <w:pPr>
              <w:pStyle w:val="Normal-TableText"/>
            </w:pPr>
            <w:r w:rsidRPr="00C6440C">
              <w:t>S</w:t>
            </w:r>
            <w:r w:rsidRPr="00093E8E">
              <w:t>ubj</w:t>
            </w:r>
            <w:r w:rsidRPr="00C6440C">
              <w:t>ec</w:t>
            </w:r>
            <w:r w:rsidRPr="00093E8E">
              <w:t xml:space="preserve">t </w:t>
            </w:r>
            <w:r w:rsidRPr="00C6440C">
              <w:t>P</w:t>
            </w:r>
            <w:r w:rsidRPr="00093E8E">
              <w:t>ublic</w:t>
            </w:r>
            <w:r w:rsidRPr="00C6440C">
              <w:t xml:space="preserve"> </w:t>
            </w:r>
            <w:r w:rsidRPr="00093E8E">
              <w:t>K</w:t>
            </w:r>
            <w:r w:rsidRPr="00C6440C">
              <w:t>e</w:t>
            </w:r>
            <w:r w:rsidRPr="00093E8E">
              <w:t>y</w:t>
            </w:r>
            <w:r w:rsidR="006F49DA">
              <w:t xml:space="preserve"> </w:t>
            </w:r>
            <w:r w:rsidRPr="00C6440C">
              <w:t>Inf</w:t>
            </w:r>
            <w:r w:rsidRPr="00093E8E">
              <w:t>o</w:t>
            </w:r>
            <w:r w:rsidRPr="00C6440C">
              <w:t>r</w:t>
            </w:r>
            <w:r w:rsidRPr="00093E8E">
              <w:t>m</w:t>
            </w:r>
            <w:r w:rsidRPr="00C6440C">
              <w:t>a</w:t>
            </w:r>
            <w:r w:rsidRPr="00093E8E">
              <w:t>tion</w:t>
            </w:r>
          </w:p>
        </w:tc>
        <w:tc>
          <w:tcPr>
            <w:tcW w:w="3594" w:type="pct"/>
          </w:tcPr>
          <w:p w14:paraId="23DE0B15" w14:textId="77777777" w:rsidR="00215226" w:rsidRPr="00093E8E" w:rsidRDefault="00215226" w:rsidP="00504C3A">
            <w:pPr>
              <w:pStyle w:val="Normal-TableText"/>
            </w:pPr>
            <w:r w:rsidRPr="00C6440C">
              <w:rPr>
                <w:rStyle w:val="Strong"/>
              </w:rPr>
              <w:t>Required</w:t>
            </w:r>
          </w:p>
        </w:tc>
      </w:tr>
      <w:tr w:rsidR="00215226" w:rsidRPr="00093E8E" w14:paraId="072CB854" w14:textId="77777777" w:rsidTr="00504C3A">
        <w:trPr>
          <w:trHeight w:val="113"/>
        </w:trPr>
        <w:tc>
          <w:tcPr>
            <w:tcW w:w="1406" w:type="pct"/>
            <w:vMerge/>
          </w:tcPr>
          <w:p w14:paraId="1B5AFD7C" w14:textId="77777777" w:rsidR="00215226" w:rsidRPr="00093E8E" w:rsidRDefault="00215226" w:rsidP="00504C3A">
            <w:pPr>
              <w:pStyle w:val="Normal-TableText"/>
            </w:pPr>
          </w:p>
        </w:tc>
        <w:tc>
          <w:tcPr>
            <w:tcW w:w="3594" w:type="pct"/>
          </w:tcPr>
          <w:p w14:paraId="0CBB43BC" w14:textId="77777777" w:rsidR="00215226" w:rsidRPr="00C6440C" w:rsidRDefault="00215226" w:rsidP="00504C3A">
            <w:pPr>
              <w:pStyle w:val="Normal-TableText"/>
            </w:pPr>
            <w:r w:rsidRPr="00093E8E">
              <w:t>K</w:t>
            </w:r>
            <w:r w:rsidRPr="00C6440C">
              <w:t>e</w:t>
            </w:r>
            <w:r w:rsidRPr="00093E8E">
              <w:t>y</w:t>
            </w:r>
            <w:r w:rsidRPr="00C6440C">
              <w:t xml:space="preserve"> </w:t>
            </w:r>
            <w:r w:rsidRPr="00093E8E">
              <w:t>si</w:t>
            </w:r>
            <w:r w:rsidRPr="00C6440C">
              <w:t>z</w:t>
            </w:r>
            <w:r w:rsidRPr="00093E8E">
              <w:t>e</w:t>
            </w:r>
            <w:r w:rsidRPr="00C6440C">
              <w:t xml:space="preserve"> </w:t>
            </w:r>
            <w:r w:rsidRPr="00093E8E">
              <w:t>to p</w:t>
            </w:r>
            <w:r w:rsidRPr="00C6440C">
              <w:t>r</w:t>
            </w:r>
            <w:r w:rsidRPr="00093E8E">
              <w:t xml:space="preserve">ovide </w:t>
            </w:r>
            <w:r w:rsidRPr="00C6440C">
              <w:t>a</w:t>
            </w:r>
            <w:r w:rsidRPr="00093E8E">
              <w:t>t least 112 bits of s</w:t>
            </w:r>
            <w:r w:rsidRPr="00C6440C">
              <w:t>ec</w:t>
            </w:r>
            <w:r w:rsidRPr="00093E8E">
              <w:t>u</w:t>
            </w:r>
            <w:r w:rsidRPr="00C6440C">
              <w:t>r</w:t>
            </w:r>
            <w:r w:rsidRPr="00093E8E">
              <w:t>i</w:t>
            </w:r>
            <w:r w:rsidRPr="00C6440C">
              <w:t>t</w:t>
            </w:r>
            <w:r w:rsidRPr="00093E8E">
              <w:t>y strength</w:t>
            </w:r>
            <w:r w:rsidRPr="00C6440C">
              <w:t xml:space="preserve"> </w:t>
            </w:r>
            <w:r w:rsidRPr="00093E8E">
              <w:t xml:space="preserve">or </w:t>
            </w:r>
            <w:r w:rsidRPr="00C6440C">
              <w:t>grea</w:t>
            </w:r>
            <w:r w:rsidRPr="00093E8E">
              <w:t>t</w:t>
            </w:r>
            <w:r w:rsidRPr="00C6440C">
              <w:t>e</w:t>
            </w:r>
            <w:r w:rsidRPr="00093E8E">
              <w:t>r</w:t>
            </w:r>
            <w:r w:rsidRPr="00C6440C">
              <w:t xml:space="preserve"> for certificates with a maximum validity period of 10 years</w:t>
            </w:r>
          </w:p>
          <w:p w14:paraId="072233EE" w14:textId="77777777" w:rsidR="00215226" w:rsidRPr="00C6440C" w:rsidRDefault="00215226" w:rsidP="00504C3A">
            <w:pPr>
              <w:pStyle w:val="Normal-TableText"/>
            </w:pPr>
            <w:r w:rsidRPr="00093E8E">
              <w:t>K</w:t>
            </w:r>
            <w:r w:rsidRPr="00C6440C">
              <w:t>e</w:t>
            </w:r>
            <w:r w:rsidRPr="00093E8E">
              <w:t>y</w:t>
            </w:r>
            <w:r w:rsidRPr="00C6440C">
              <w:t xml:space="preserve"> </w:t>
            </w:r>
            <w:r w:rsidRPr="00093E8E">
              <w:t>si</w:t>
            </w:r>
            <w:r w:rsidRPr="00C6440C">
              <w:t>z</w:t>
            </w:r>
            <w:r w:rsidRPr="00093E8E">
              <w:t>e</w:t>
            </w:r>
            <w:r w:rsidRPr="00C6440C">
              <w:t xml:space="preserve"> </w:t>
            </w:r>
            <w:r w:rsidRPr="00093E8E">
              <w:t>to p</w:t>
            </w:r>
            <w:r w:rsidRPr="00C6440C">
              <w:t>r</w:t>
            </w:r>
            <w:r w:rsidRPr="00093E8E">
              <w:t xml:space="preserve">ovide </w:t>
            </w:r>
            <w:r w:rsidRPr="00C6440C">
              <w:t>a</w:t>
            </w:r>
            <w:r w:rsidRPr="00093E8E">
              <w:t>t least 128 bits of s</w:t>
            </w:r>
            <w:r w:rsidRPr="00C6440C">
              <w:t>ec</w:t>
            </w:r>
            <w:r w:rsidRPr="00093E8E">
              <w:t>u</w:t>
            </w:r>
            <w:r w:rsidRPr="00C6440C">
              <w:t>r</w:t>
            </w:r>
            <w:r w:rsidRPr="00093E8E">
              <w:t>i</w:t>
            </w:r>
            <w:r w:rsidRPr="00C6440C">
              <w:t>t</w:t>
            </w:r>
            <w:r w:rsidRPr="00093E8E">
              <w:t>y strength</w:t>
            </w:r>
            <w:r w:rsidRPr="00C6440C">
              <w:t xml:space="preserve"> </w:t>
            </w:r>
            <w:r w:rsidRPr="00093E8E">
              <w:t xml:space="preserve">or </w:t>
            </w:r>
            <w:r w:rsidRPr="00C6440C">
              <w:t>grea</w:t>
            </w:r>
            <w:r w:rsidRPr="00093E8E">
              <w:t>t</w:t>
            </w:r>
            <w:r w:rsidRPr="00C6440C">
              <w:t>e</w:t>
            </w:r>
            <w:r w:rsidRPr="00093E8E">
              <w:t>r</w:t>
            </w:r>
            <w:r w:rsidRPr="00C6440C">
              <w:t xml:space="preserve"> for certificates with a maximum validity period of 15 years</w:t>
            </w:r>
          </w:p>
          <w:p w14:paraId="462EE084" w14:textId="77777777" w:rsidR="00215226" w:rsidRPr="00093E8E" w:rsidRDefault="00215226" w:rsidP="00504C3A">
            <w:pPr>
              <w:pStyle w:val="Normal-TableText"/>
            </w:pPr>
            <w:r w:rsidRPr="00093E8E">
              <w:t>The</w:t>
            </w:r>
            <w:r w:rsidRPr="00C6440C">
              <w:t xml:space="preserve"> f</w:t>
            </w:r>
            <w:r w:rsidRPr="00093E8E">
              <w:t xml:space="preserve">ollowing </w:t>
            </w:r>
            <w:r w:rsidRPr="00C6440C">
              <w:t>e</w:t>
            </w:r>
            <w:r w:rsidRPr="00093E8E">
              <w:t>n</w:t>
            </w:r>
            <w:r w:rsidRPr="00C6440C">
              <w:t>cry</w:t>
            </w:r>
            <w:r w:rsidRPr="00093E8E">
              <w:t>ption</w:t>
            </w:r>
            <w:r w:rsidRPr="00C6440C">
              <w:t xml:space="preserve"> a</w:t>
            </w:r>
            <w:r w:rsidRPr="00093E8E">
              <w:t>l</w:t>
            </w:r>
            <w:r w:rsidRPr="00C6440C">
              <w:t>g</w:t>
            </w:r>
            <w:r w:rsidRPr="00093E8E">
              <w:t>o</w:t>
            </w:r>
            <w:r w:rsidRPr="00C6440C">
              <w:t>r</w:t>
            </w:r>
            <w:r w:rsidRPr="00093E8E">
              <w:t xml:space="preserve">ithms </w:t>
            </w:r>
            <w:r w:rsidRPr="00C6440C">
              <w:t>ar</w:t>
            </w:r>
            <w:r w:rsidRPr="00093E8E">
              <w:t>e</w:t>
            </w:r>
            <w:r w:rsidRPr="00C6440C">
              <w:t xml:space="preserve"> acce</w:t>
            </w:r>
            <w:r w:rsidRPr="00093E8E">
              <w:t>p</w:t>
            </w:r>
            <w:r w:rsidRPr="00C6440C">
              <w:t>ta</w:t>
            </w:r>
            <w:r w:rsidRPr="00093E8E">
              <w:t>bl</w:t>
            </w:r>
            <w:r w:rsidRPr="00C6440C">
              <w:t>e:</w:t>
            </w:r>
          </w:p>
          <w:p w14:paraId="0F68047E" w14:textId="77777777" w:rsidR="00215226" w:rsidRPr="00093E8E" w:rsidRDefault="00215226" w:rsidP="00504C3A">
            <w:pPr>
              <w:pStyle w:val="Bullet1"/>
            </w:pPr>
            <w:r w:rsidRPr="00D825A0">
              <w:t>RS</w:t>
            </w:r>
            <w:r w:rsidRPr="00093E8E">
              <w:t>AEn</w:t>
            </w:r>
            <w:r w:rsidRPr="00D825A0">
              <w:t>cry</w:t>
            </w:r>
            <w:r w:rsidRPr="00093E8E">
              <w:t>ption {1 2 840</w:t>
            </w:r>
            <w:r w:rsidRPr="00D825A0">
              <w:t xml:space="preserve"> </w:t>
            </w:r>
            <w:r w:rsidRPr="00093E8E">
              <w:t>113549 1 1 1 }</w:t>
            </w:r>
          </w:p>
          <w:p w14:paraId="248115C4" w14:textId="77777777" w:rsidR="00215226" w:rsidRPr="00093E8E" w:rsidRDefault="00215226" w:rsidP="00504C3A">
            <w:pPr>
              <w:pStyle w:val="Bullet1"/>
            </w:pPr>
            <w:r w:rsidRPr="00093E8E">
              <w:t>id</w:t>
            </w:r>
            <w:r w:rsidRPr="00D825A0">
              <w:t>-ecP</w:t>
            </w:r>
            <w:r w:rsidRPr="00093E8E">
              <w:t>ubli</w:t>
            </w:r>
            <w:r w:rsidRPr="00D825A0">
              <w:t>c</w:t>
            </w:r>
            <w:r w:rsidRPr="00093E8E">
              <w:t>K</w:t>
            </w:r>
            <w:r w:rsidRPr="00D825A0">
              <w:t>e</w:t>
            </w:r>
            <w:r w:rsidRPr="00093E8E">
              <w:t>y</w:t>
            </w:r>
            <w:r w:rsidRPr="00D825A0">
              <w:t xml:space="preserve"> </w:t>
            </w:r>
            <w:r w:rsidRPr="00093E8E">
              <w:t>{1 2 840</w:t>
            </w:r>
            <w:r w:rsidRPr="00D825A0">
              <w:t xml:space="preserve"> </w:t>
            </w:r>
            <w:r w:rsidRPr="00093E8E">
              <w:t>10045 2 1}</w:t>
            </w:r>
          </w:p>
        </w:tc>
      </w:tr>
      <w:tr w:rsidR="00215226" w:rsidRPr="00093E8E" w14:paraId="73521A91" w14:textId="77777777" w:rsidTr="00504C3A">
        <w:trPr>
          <w:trHeight w:val="113"/>
        </w:trPr>
        <w:tc>
          <w:tcPr>
            <w:tcW w:w="1406" w:type="pct"/>
          </w:tcPr>
          <w:p w14:paraId="59A823DD" w14:textId="77777777" w:rsidR="00215226" w:rsidRPr="00093E8E" w:rsidRDefault="00215226" w:rsidP="00504C3A">
            <w:pPr>
              <w:pStyle w:val="Normal-TableText"/>
            </w:pPr>
            <w:r w:rsidRPr="00C6440C">
              <w:lastRenderedPageBreak/>
              <w:t>I</w:t>
            </w:r>
            <w:r w:rsidRPr="00093E8E">
              <w:t>ss</w:t>
            </w:r>
            <w:r w:rsidRPr="00C6440C">
              <w:t>ue</w:t>
            </w:r>
            <w:r w:rsidRPr="00093E8E">
              <w:t>r</w:t>
            </w:r>
            <w:r w:rsidRPr="00C6440C">
              <w:t xml:space="preserve"> </w:t>
            </w:r>
            <w:r w:rsidRPr="00093E8E">
              <w:t>Unique</w:t>
            </w:r>
            <w:r w:rsidRPr="00C6440C">
              <w:t xml:space="preserve"> I</w:t>
            </w:r>
            <w:r w:rsidRPr="00093E8E">
              <w:t>d</w:t>
            </w:r>
            <w:r w:rsidRPr="00C6440C">
              <w:t>e</w:t>
            </w:r>
            <w:r w:rsidRPr="00093E8E">
              <w:t>nti</w:t>
            </w:r>
            <w:r w:rsidRPr="00C6440C">
              <w:t>f</w:t>
            </w:r>
            <w:r w:rsidRPr="00093E8E">
              <w:t>i</w:t>
            </w:r>
            <w:r w:rsidRPr="00C6440C">
              <w:t>e</w:t>
            </w:r>
            <w:r w:rsidRPr="00093E8E">
              <w:t>r</w:t>
            </w:r>
          </w:p>
        </w:tc>
        <w:tc>
          <w:tcPr>
            <w:tcW w:w="3594" w:type="pct"/>
          </w:tcPr>
          <w:p w14:paraId="2274BBB7" w14:textId="77777777" w:rsidR="00215226" w:rsidRPr="00093E8E" w:rsidRDefault="00215226" w:rsidP="00504C3A">
            <w:pPr>
              <w:pStyle w:val="Normal-TableText"/>
            </w:pPr>
            <w:r w:rsidRPr="00C6440C">
              <w:rPr>
                <w:rStyle w:val="Strong"/>
              </w:rPr>
              <w:t>Not Used</w:t>
            </w:r>
          </w:p>
        </w:tc>
      </w:tr>
      <w:tr w:rsidR="00215226" w:rsidRPr="00093E8E" w14:paraId="019D5DB0" w14:textId="77777777" w:rsidTr="00504C3A">
        <w:trPr>
          <w:trHeight w:val="113"/>
        </w:trPr>
        <w:tc>
          <w:tcPr>
            <w:tcW w:w="1406" w:type="pct"/>
          </w:tcPr>
          <w:p w14:paraId="2FD22AA2" w14:textId="77777777" w:rsidR="00215226" w:rsidRPr="00093E8E" w:rsidRDefault="00215226" w:rsidP="00504C3A">
            <w:pPr>
              <w:pStyle w:val="Normal-TableText"/>
            </w:pPr>
            <w:r w:rsidRPr="00C6440C">
              <w:t>S</w:t>
            </w:r>
            <w:r w:rsidRPr="00093E8E">
              <w:t>ubj</w:t>
            </w:r>
            <w:r w:rsidRPr="00C6440C">
              <w:t>ec</w:t>
            </w:r>
            <w:r w:rsidRPr="00093E8E">
              <w:t>t Unique</w:t>
            </w:r>
            <w:r w:rsidRPr="00C6440C">
              <w:t xml:space="preserve"> I</w:t>
            </w:r>
            <w:r w:rsidRPr="00093E8E">
              <w:t>d</w:t>
            </w:r>
            <w:r w:rsidRPr="00C6440C">
              <w:t>e</w:t>
            </w:r>
            <w:r w:rsidRPr="00093E8E">
              <w:t>nti</w:t>
            </w:r>
            <w:r w:rsidRPr="00C6440C">
              <w:t>f</w:t>
            </w:r>
            <w:r w:rsidRPr="00093E8E">
              <w:t>i</w:t>
            </w:r>
            <w:r w:rsidRPr="00C6440C">
              <w:t>e</w:t>
            </w:r>
            <w:r w:rsidRPr="00093E8E">
              <w:t>r</w:t>
            </w:r>
          </w:p>
        </w:tc>
        <w:tc>
          <w:tcPr>
            <w:tcW w:w="3594" w:type="pct"/>
          </w:tcPr>
          <w:p w14:paraId="2CBA495E" w14:textId="77777777" w:rsidR="00215226" w:rsidRPr="00093E8E" w:rsidRDefault="00215226" w:rsidP="00504C3A">
            <w:pPr>
              <w:pStyle w:val="Normal-TableText"/>
            </w:pPr>
            <w:r w:rsidRPr="00C6440C">
              <w:rPr>
                <w:rStyle w:val="Strong"/>
              </w:rPr>
              <w:t>Not Used</w:t>
            </w:r>
          </w:p>
        </w:tc>
      </w:tr>
      <w:tr w:rsidR="00215226" w:rsidRPr="00093E8E" w14:paraId="2877C8FC" w14:textId="77777777" w:rsidTr="00504C3A">
        <w:trPr>
          <w:trHeight w:val="113"/>
        </w:trPr>
        <w:tc>
          <w:tcPr>
            <w:tcW w:w="1406" w:type="pct"/>
            <w:vMerge w:val="restart"/>
          </w:tcPr>
          <w:p w14:paraId="0D1FE7CE" w14:textId="77777777" w:rsidR="00215226" w:rsidRPr="00093E8E" w:rsidRDefault="00215226" w:rsidP="00504C3A">
            <w:pPr>
              <w:pStyle w:val="Normal-TableText"/>
            </w:pPr>
            <w:r w:rsidRPr="00C6440C">
              <w:t>I</w:t>
            </w:r>
            <w:r w:rsidRPr="00093E8E">
              <w:t>ss</w:t>
            </w:r>
            <w:r w:rsidRPr="00C6440C">
              <w:t>uer’</w:t>
            </w:r>
            <w:r w:rsidRPr="00093E8E">
              <w:t xml:space="preserve">s </w:t>
            </w:r>
            <w:r w:rsidRPr="00C6440C">
              <w:t>S</w:t>
            </w:r>
            <w:r w:rsidRPr="00093E8E">
              <w:t>i</w:t>
            </w:r>
            <w:r w:rsidRPr="00C6440C">
              <w:t>gna</w:t>
            </w:r>
            <w:r w:rsidRPr="00093E8E">
              <w:t>tu</w:t>
            </w:r>
            <w:r w:rsidRPr="00C6440C">
              <w:t>re</w:t>
            </w:r>
          </w:p>
        </w:tc>
        <w:tc>
          <w:tcPr>
            <w:tcW w:w="3594" w:type="pct"/>
          </w:tcPr>
          <w:p w14:paraId="1C0C8C87" w14:textId="77777777" w:rsidR="00215226" w:rsidRPr="00093E8E" w:rsidRDefault="00215226" w:rsidP="00504C3A">
            <w:pPr>
              <w:pStyle w:val="Normal-TableText"/>
            </w:pPr>
            <w:r w:rsidRPr="00C6440C">
              <w:rPr>
                <w:rStyle w:val="Strong"/>
              </w:rPr>
              <w:t>Required</w:t>
            </w:r>
          </w:p>
        </w:tc>
      </w:tr>
      <w:tr w:rsidR="00215226" w:rsidRPr="00093E8E" w14:paraId="5ABEAC0A" w14:textId="77777777" w:rsidTr="00504C3A">
        <w:trPr>
          <w:trHeight w:val="113"/>
        </w:trPr>
        <w:tc>
          <w:tcPr>
            <w:tcW w:w="1406" w:type="pct"/>
            <w:vMerge/>
          </w:tcPr>
          <w:p w14:paraId="166634A4" w14:textId="77777777" w:rsidR="00215226" w:rsidRPr="00093E8E" w:rsidRDefault="00215226" w:rsidP="00504C3A">
            <w:pPr>
              <w:pStyle w:val="Normal-TableText"/>
            </w:pPr>
          </w:p>
        </w:tc>
        <w:tc>
          <w:tcPr>
            <w:tcW w:w="3594" w:type="pct"/>
          </w:tcPr>
          <w:p w14:paraId="69FE458A" w14:textId="77777777" w:rsidR="00215226" w:rsidRPr="00093E8E" w:rsidRDefault="00215226" w:rsidP="00504C3A">
            <w:pPr>
              <w:pStyle w:val="Normal-TableText"/>
            </w:pPr>
            <w:r w:rsidRPr="00093E8E">
              <w:t>A</w:t>
            </w:r>
            <w:r w:rsidRPr="00C6440C">
              <w:t>S</w:t>
            </w:r>
            <w:r w:rsidRPr="00093E8E">
              <w:t>N.1 DER</w:t>
            </w:r>
            <w:r w:rsidRPr="00C6440C">
              <w:t xml:space="preserve"> e</w:t>
            </w:r>
            <w:r w:rsidRPr="00093E8E">
              <w:t>n</w:t>
            </w:r>
            <w:r w:rsidRPr="00C6440C">
              <w:t>c</w:t>
            </w:r>
            <w:r w:rsidRPr="00093E8E">
              <w:t>od</w:t>
            </w:r>
            <w:r w:rsidRPr="00C6440C">
              <w:t>e</w:t>
            </w:r>
            <w:r w:rsidRPr="00093E8E">
              <w:t>d</w:t>
            </w:r>
            <w:r w:rsidRPr="00C6440C">
              <w:t xml:space="preserve"> cer</w:t>
            </w:r>
            <w:r w:rsidRPr="00093E8E">
              <w:t>ti</w:t>
            </w:r>
            <w:r w:rsidRPr="00C6440C">
              <w:t>f</w:t>
            </w:r>
            <w:r w:rsidRPr="00093E8E">
              <w:t>i</w:t>
            </w:r>
            <w:r w:rsidRPr="00C6440C">
              <w:t>ca</w:t>
            </w:r>
            <w:r w:rsidRPr="00093E8E">
              <w:t>te</w:t>
            </w:r>
            <w:r w:rsidRPr="00C6440C">
              <w:t xml:space="preserve"> </w:t>
            </w:r>
            <w:r w:rsidRPr="00093E8E">
              <w:t>si</w:t>
            </w:r>
            <w:r w:rsidRPr="00C6440C">
              <w:t>gna</w:t>
            </w:r>
            <w:r w:rsidRPr="00093E8E">
              <w:t>tu</w:t>
            </w:r>
            <w:r w:rsidRPr="00C6440C">
              <w:t>r</w:t>
            </w:r>
            <w:r w:rsidRPr="00093E8E">
              <w:t>e</w:t>
            </w:r>
            <w:r w:rsidRPr="00C6440C">
              <w:t xml:space="preserve"> va</w:t>
            </w:r>
            <w:r w:rsidRPr="00093E8E">
              <w:t>lue</w:t>
            </w:r>
            <w:r w:rsidRPr="00C6440C">
              <w:t xml:space="preserve"> c</w:t>
            </w:r>
            <w:r w:rsidRPr="00093E8E">
              <w:t>o</w:t>
            </w:r>
            <w:r w:rsidRPr="00C6440C">
              <w:t>rre</w:t>
            </w:r>
            <w:r w:rsidRPr="00093E8E">
              <w:t>spondi</w:t>
            </w:r>
            <w:r w:rsidRPr="00C6440C">
              <w:t>n</w:t>
            </w:r>
            <w:r w:rsidRPr="00093E8E">
              <w:t>g</w:t>
            </w:r>
            <w:r w:rsidRPr="00C6440C">
              <w:t xml:space="preserve"> </w:t>
            </w:r>
            <w:r w:rsidRPr="00093E8E">
              <w:t xml:space="preserve">to </w:t>
            </w:r>
            <w:r w:rsidRPr="00C6440C">
              <w:t>I</w:t>
            </w:r>
            <w:r w:rsidRPr="00093E8E">
              <w:t>ss</w:t>
            </w:r>
            <w:r w:rsidRPr="00C6440C">
              <w:t>ue</w:t>
            </w:r>
            <w:r w:rsidRPr="00093E8E">
              <w:t>r</w:t>
            </w:r>
            <w:r w:rsidRPr="00C6440C">
              <w:t xml:space="preserve"> </w:t>
            </w:r>
            <w:r w:rsidRPr="00093E8E">
              <w:t>s</w:t>
            </w:r>
            <w:r w:rsidRPr="00C6440C">
              <w:t>ig</w:t>
            </w:r>
            <w:r w:rsidRPr="00093E8E">
              <w:t>n</w:t>
            </w:r>
            <w:r w:rsidRPr="00C6440C">
              <w:t>a</w:t>
            </w:r>
            <w:r w:rsidRPr="00093E8E">
              <w:t>tu</w:t>
            </w:r>
            <w:r w:rsidRPr="00C6440C">
              <w:t>r</w:t>
            </w:r>
            <w:r w:rsidRPr="00093E8E">
              <w:t>e</w:t>
            </w:r>
            <w:r w:rsidRPr="00C6440C">
              <w:t xml:space="preserve"> alg</w:t>
            </w:r>
            <w:r w:rsidRPr="00093E8E">
              <w:t>o</w:t>
            </w:r>
            <w:r w:rsidRPr="00C6440C">
              <w:t>r</w:t>
            </w:r>
            <w:r w:rsidRPr="00093E8E">
              <w:t>ithm.</w:t>
            </w:r>
          </w:p>
        </w:tc>
      </w:tr>
      <w:tr w:rsidR="00215226" w:rsidRPr="00093E8E" w14:paraId="14DE4720" w14:textId="77777777" w:rsidTr="00504C3A">
        <w:trPr>
          <w:trHeight w:val="113"/>
        </w:trPr>
        <w:tc>
          <w:tcPr>
            <w:tcW w:w="1406" w:type="pct"/>
            <w:vMerge w:val="restart"/>
          </w:tcPr>
          <w:p w14:paraId="5FDAE92D" w14:textId="77777777" w:rsidR="00215226" w:rsidRPr="00093E8E" w:rsidRDefault="00215226" w:rsidP="00504C3A">
            <w:pPr>
              <w:pStyle w:val="Normal-TableText"/>
            </w:pPr>
            <w:r w:rsidRPr="00093E8E">
              <w:t>Autho</w:t>
            </w:r>
            <w:r w:rsidRPr="00C6440C">
              <w:t>r</w:t>
            </w:r>
            <w:r w:rsidRPr="00093E8E">
              <w:t>i</w:t>
            </w:r>
            <w:r w:rsidRPr="00C6440C">
              <w:t>t</w:t>
            </w:r>
            <w:r w:rsidRPr="00093E8E">
              <w:t>y</w:t>
            </w:r>
            <w:r w:rsidRPr="00C6440C">
              <w:t xml:space="preserve"> Ke</w:t>
            </w:r>
            <w:r w:rsidRPr="00093E8E">
              <w:t>y</w:t>
            </w:r>
            <w:r w:rsidRPr="00C6440C">
              <w:t xml:space="preserve"> I</w:t>
            </w:r>
            <w:r w:rsidRPr="00093E8E">
              <w:t>d</w:t>
            </w:r>
            <w:r w:rsidRPr="00C6440C">
              <w:t>e</w:t>
            </w:r>
            <w:r w:rsidRPr="00093E8E">
              <w:t>nti</w:t>
            </w:r>
            <w:r w:rsidRPr="00C6440C">
              <w:t>f</w:t>
            </w:r>
            <w:r w:rsidRPr="00093E8E">
              <w:t>i</w:t>
            </w:r>
            <w:r w:rsidRPr="00C6440C">
              <w:t>e</w:t>
            </w:r>
            <w:r w:rsidRPr="00093E8E">
              <w:t>r</w:t>
            </w:r>
          </w:p>
        </w:tc>
        <w:tc>
          <w:tcPr>
            <w:tcW w:w="3594" w:type="pct"/>
          </w:tcPr>
          <w:p w14:paraId="6C30529D" w14:textId="77777777" w:rsidR="00215226" w:rsidRPr="00093E8E" w:rsidRDefault="00215226" w:rsidP="00504C3A">
            <w:pPr>
              <w:pStyle w:val="Normal-TableText"/>
            </w:pPr>
            <w:r w:rsidRPr="00C6440C">
              <w:rPr>
                <w:rStyle w:val="Strong"/>
              </w:rPr>
              <w:t>Required</w:t>
            </w:r>
          </w:p>
        </w:tc>
      </w:tr>
      <w:tr w:rsidR="00215226" w:rsidRPr="00093E8E" w14:paraId="1BD299B0" w14:textId="77777777" w:rsidTr="00504C3A">
        <w:trPr>
          <w:trHeight w:val="113"/>
        </w:trPr>
        <w:tc>
          <w:tcPr>
            <w:tcW w:w="1406" w:type="pct"/>
            <w:vMerge/>
          </w:tcPr>
          <w:p w14:paraId="2E5B544B" w14:textId="77777777" w:rsidR="00215226" w:rsidRPr="00093E8E" w:rsidRDefault="00215226" w:rsidP="00504C3A">
            <w:pPr>
              <w:pStyle w:val="Normal-TableText"/>
            </w:pPr>
          </w:p>
        </w:tc>
        <w:tc>
          <w:tcPr>
            <w:tcW w:w="3594" w:type="pct"/>
          </w:tcPr>
          <w:p w14:paraId="00BD8788" w14:textId="77777777" w:rsidR="00215226" w:rsidRPr="00093E8E" w:rsidRDefault="00215226" w:rsidP="00504C3A">
            <w:pPr>
              <w:pStyle w:val="Normal-TableText"/>
            </w:pPr>
            <w:r w:rsidRPr="00093E8E">
              <w:t>k</w:t>
            </w:r>
            <w:r w:rsidRPr="00C6440C">
              <w:t>eyID</w:t>
            </w:r>
            <w:r w:rsidRPr="00093E8E">
              <w:t xml:space="preserve">, </w:t>
            </w:r>
            <w:r w:rsidRPr="00C6440C">
              <w:t>Oc</w:t>
            </w:r>
            <w:r w:rsidRPr="00093E8E">
              <w:t>t</w:t>
            </w:r>
            <w:r w:rsidRPr="00C6440C">
              <w:t>e</w:t>
            </w:r>
            <w:r w:rsidRPr="00093E8E">
              <w:t xml:space="preserve">t </w:t>
            </w:r>
            <w:r w:rsidRPr="00C6440C">
              <w:t>S</w:t>
            </w:r>
            <w:r w:rsidRPr="00093E8E">
              <w:t>t</w:t>
            </w:r>
            <w:r w:rsidRPr="00C6440C">
              <w:t>r</w:t>
            </w:r>
            <w:r w:rsidRPr="00093E8E">
              <w:t>ing</w:t>
            </w:r>
          </w:p>
          <w:p w14:paraId="02052E6C" w14:textId="77777777" w:rsidR="00215226" w:rsidRPr="00093E8E" w:rsidRDefault="00215226" w:rsidP="00504C3A">
            <w:pPr>
              <w:pStyle w:val="Normal-TableText"/>
            </w:pPr>
            <w:r w:rsidRPr="00C6440C">
              <w:t>Rec</w:t>
            </w:r>
            <w:r w:rsidRPr="00093E8E">
              <w:t>omm</w:t>
            </w:r>
            <w:r w:rsidRPr="00C6440C">
              <w:t>e</w:t>
            </w:r>
            <w:r w:rsidRPr="00093E8E">
              <w:t>nd</w:t>
            </w:r>
            <w:r w:rsidRPr="00C6440C">
              <w:t>e</w:t>
            </w:r>
            <w:r w:rsidRPr="00093E8E">
              <w:t>d th</w:t>
            </w:r>
            <w:r w:rsidRPr="00C6440C">
              <w:t>a</w:t>
            </w:r>
            <w:r w:rsidRPr="00093E8E">
              <w:t>t th</w:t>
            </w:r>
            <w:r w:rsidRPr="00C6440C">
              <w:t>a</w:t>
            </w:r>
            <w:r w:rsidRPr="00093E8E">
              <w:t xml:space="preserve">t </w:t>
            </w:r>
            <w:r w:rsidRPr="00C6440C">
              <w:t>t</w:t>
            </w:r>
            <w:r w:rsidRPr="00093E8E">
              <w:t>he</w:t>
            </w:r>
            <w:r w:rsidRPr="00C6440C">
              <w:t xml:space="preserve"> </w:t>
            </w:r>
            <w:r w:rsidRPr="00093E8E">
              <w:t>o</w:t>
            </w:r>
            <w:r w:rsidRPr="00C6440C">
              <w:t>c</w:t>
            </w:r>
            <w:r w:rsidRPr="00093E8E">
              <w:t>t</w:t>
            </w:r>
            <w:r w:rsidRPr="00C6440C">
              <w:t>e</w:t>
            </w:r>
            <w:r w:rsidRPr="00093E8E">
              <w:t>t st</w:t>
            </w:r>
            <w:r w:rsidRPr="00C6440C">
              <w:t>r</w:t>
            </w:r>
            <w:r w:rsidRPr="00093E8E">
              <w:t>i</w:t>
            </w:r>
            <w:r w:rsidRPr="00C6440C">
              <w:t>n</w:t>
            </w:r>
            <w:r w:rsidRPr="00093E8E">
              <w:t>g</w:t>
            </w:r>
            <w:r w:rsidRPr="00C6440C">
              <w:t xml:space="preserve"> c</w:t>
            </w:r>
            <w:r w:rsidRPr="00093E8E">
              <w:t>ont</w:t>
            </w:r>
            <w:r w:rsidRPr="00C6440C">
              <w:t>a</w:t>
            </w:r>
            <w:r w:rsidRPr="00093E8E">
              <w:t>in t</w:t>
            </w:r>
            <w:r w:rsidRPr="00C6440C">
              <w:t>h</w:t>
            </w:r>
            <w:r w:rsidRPr="00093E8E">
              <w:t>e</w:t>
            </w:r>
            <w:r w:rsidRPr="00C6440C">
              <w:t xml:space="preserve"> </w:t>
            </w:r>
            <w:r w:rsidRPr="00093E8E">
              <w:t xml:space="preserve">20 </w:t>
            </w:r>
            <w:r w:rsidRPr="00C6440C">
              <w:t>byt</w:t>
            </w:r>
            <w:r w:rsidRPr="00093E8E">
              <w:t>e</w:t>
            </w:r>
            <w:r w:rsidRPr="00C6440C">
              <w:t xml:space="preserve"> S</w:t>
            </w:r>
            <w:r w:rsidRPr="00093E8E">
              <w:t>HA</w:t>
            </w:r>
            <w:r w:rsidRPr="00C6440C">
              <w:t>–1</w:t>
            </w:r>
            <w:r w:rsidRPr="00093E8E">
              <w:t xml:space="preserve"> h</w:t>
            </w:r>
            <w:r w:rsidRPr="00C6440C">
              <w:t>a</w:t>
            </w:r>
            <w:r w:rsidRPr="00093E8E">
              <w:t>sh of</w:t>
            </w:r>
            <w:r w:rsidRPr="00C6440C">
              <w:t xml:space="preserve"> </w:t>
            </w:r>
            <w:r w:rsidRPr="00093E8E">
              <w:t>the</w:t>
            </w:r>
            <w:r w:rsidRPr="00C6440C">
              <w:t xml:space="preserve"> </w:t>
            </w:r>
            <w:r w:rsidRPr="00093E8E">
              <w:t>bin</w:t>
            </w:r>
            <w:r w:rsidRPr="00C6440C">
              <w:t>ar</w:t>
            </w:r>
            <w:r w:rsidRPr="00093E8E">
              <w:t>y</w:t>
            </w:r>
            <w:r w:rsidRPr="00C6440C">
              <w:t xml:space="preserve"> </w:t>
            </w:r>
            <w:r w:rsidRPr="00093E8E">
              <w:t>DER</w:t>
            </w:r>
            <w:r w:rsidRPr="00C6440C">
              <w:t xml:space="preserve"> e</w:t>
            </w:r>
            <w:r w:rsidRPr="00093E8E">
              <w:t>n</w:t>
            </w:r>
            <w:r w:rsidRPr="00C6440C">
              <w:t>c</w:t>
            </w:r>
            <w:r w:rsidRPr="00093E8E">
              <w:t>oding</w:t>
            </w:r>
            <w:r w:rsidRPr="00C6440C">
              <w:t xml:space="preserve"> o</w:t>
            </w:r>
            <w:r w:rsidRPr="00093E8E">
              <w:t>f</w:t>
            </w:r>
            <w:r w:rsidRPr="00C6440C">
              <w:t xml:space="preserve"> </w:t>
            </w:r>
            <w:r w:rsidRPr="00093E8E">
              <w:t>the</w:t>
            </w:r>
            <w:r w:rsidRPr="00C6440C">
              <w:t xml:space="preserve"> </w:t>
            </w:r>
            <w:r w:rsidRPr="00093E8E">
              <w:t>subj</w:t>
            </w:r>
            <w:r w:rsidRPr="00C6440C">
              <w:t>ec</w:t>
            </w:r>
            <w:r w:rsidRPr="00093E8E">
              <w:t xml:space="preserve">t </w:t>
            </w:r>
            <w:r w:rsidRPr="00C6440C">
              <w:t>C</w:t>
            </w:r>
            <w:r w:rsidRPr="00093E8E">
              <w:t>A</w:t>
            </w:r>
            <w:r w:rsidRPr="00C6440C">
              <w:t>’</w:t>
            </w:r>
            <w:r w:rsidRPr="00093E8E">
              <w:t>s public</w:t>
            </w:r>
            <w:r w:rsidRPr="00C6440C">
              <w:t xml:space="preserve"> </w:t>
            </w:r>
            <w:r w:rsidRPr="00093E8E">
              <w:t>k</w:t>
            </w:r>
            <w:r w:rsidRPr="00C6440C">
              <w:t>e</w:t>
            </w:r>
            <w:r w:rsidRPr="00093E8E">
              <w:t>y in</w:t>
            </w:r>
            <w:r w:rsidRPr="00C6440C">
              <w:t>f</w:t>
            </w:r>
            <w:r w:rsidRPr="00093E8E">
              <w:t>o</w:t>
            </w:r>
            <w:r w:rsidRPr="00C6440C">
              <w:t>r</w:t>
            </w:r>
            <w:r w:rsidRPr="00093E8E">
              <w:t>m</w:t>
            </w:r>
            <w:r w:rsidRPr="00C6440C">
              <w:t>a</w:t>
            </w:r>
            <w:r w:rsidRPr="00093E8E">
              <w:t>tion</w:t>
            </w:r>
          </w:p>
        </w:tc>
      </w:tr>
      <w:tr w:rsidR="00215226" w:rsidRPr="00093E8E" w14:paraId="15407FD3" w14:textId="77777777" w:rsidTr="00504C3A">
        <w:trPr>
          <w:trHeight w:val="113"/>
        </w:trPr>
        <w:tc>
          <w:tcPr>
            <w:tcW w:w="1406" w:type="pct"/>
            <w:vMerge/>
          </w:tcPr>
          <w:p w14:paraId="795EB99B" w14:textId="77777777" w:rsidR="00215226" w:rsidRPr="00093E8E" w:rsidRDefault="00215226" w:rsidP="00504C3A">
            <w:pPr>
              <w:pStyle w:val="Normal-TableText"/>
            </w:pPr>
          </w:p>
        </w:tc>
        <w:tc>
          <w:tcPr>
            <w:tcW w:w="3594" w:type="pct"/>
          </w:tcPr>
          <w:p w14:paraId="4203577F" w14:textId="77777777" w:rsidR="00215226" w:rsidRPr="00093E8E" w:rsidRDefault="00215226" w:rsidP="00504C3A">
            <w:pPr>
              <w:pStyle w:val="Normal-TableText"/>
            </w:pPr>
            <w:r w:rsidRPr="00C6440C">
              <w:rPr>
                <w:rStyle w:val="Strong"/>
              </w:rPr>
              <w:t>Not Used</w:t>
            </w:r>
          </w:p>
        </w:tc>
      </w:tr>
      <w:tr w:rsidR="00215226" w:rsidRPr="00093E8E" w14:paraId="5974E430" w14:textId="77777777" w:rsidTr="00504C3A">
        <w:trPr>
          <w:trHeight w:val="113"/>
        </w:trPr>
        <w:tc>
          <w:tcPr>
            <w:tcW w:w="1406" w:type="pct"/>
            <w:vMerge/>
          </w:tcPr>
          <w:p w14:paraId="66748F93" w14:textId="77777777" w:rsidR="00215226" w:rsidRPr="00093E8E" w:rsidRDefault="00215226" w:rsidP="00504C3A">
            <w:pPr>
              <w:pStyle w:val="Normal-TableText"/>
            </w:pPr>
          </w:p>
        </w:tc>
        <w:tc>
          <w:tcPr>
            <w:tcW w:w="3594" w:type="pct"/>
          </w:tcPr>
          <w:p w14:paraId="20B4F703" w14:textId="77777777" w:rsidR="00215226" w:rsidRPr="00093E8E" w:rsidRDefault="00215226" w:rsidP="00504C3A">
            <w:pPr>
              <w:pStyle w:val="Normal-TableText"/>
            </w:pPr>
            <w:r w:rsidRPr="00C6440C">
              <w:t>I</w:t>
            </w:r>
            <w:r w:rsidRPr="00093E8E">
              <w:t>ss</w:t>
            </w:r>
            <w:r w:rsidRPr="00C6440C">
              <w:t>ue</w:t>
            </w:r>
            <w:r w:rsidRPr="00093E8E">
              <w:t>r</w:t>
            </w:r>
            <w:r w:rsidRPr="00C6440C">
              <w:t xml:space="preserve"> </w:t>
            </w:r>
            <w:r w:rsidRPr="00093E8E">
              <w:t xml:space="preserve">DN, </w:t>
            </w:r>
            <w:r w:rsidRPr="00C6440C">
              <w:t>Ser</w:t>
            </w:r>
            <w:r w:rsidRPr="00093E8E">
              <w:t>i</w:t>
            </w:r>
            <w:r w:rsidRPr="00C6440C">
              <w:t>a</w:t>
            </w:r>
            <w:r w:rsidRPr="00093E8E">
              <w:t>l Numb</w:t>
            </w:r>
            <w:r w:rsidRPr="00C6440C">
              <w:t>e</w:t>
            </w:r>
            <w:r w:rsidRPr="00093E8E">
              <w:t>r</w:t>
            </w:r>
            <w:r w:rsidRPr="00C6440C">
              <w:t xml:space="preserve"> </w:t>
            </w:r>
            <w:r w:rsidRPr="00093E8E">
              <w:t>tuple</w:t>
            </w:r>
          </w:p>
        </w:tc>
      </w:tr>
      <w:tr w:rsidR="00215226" w:rsidRPr="00093E8E" w14:paraId="0FA0E288" w14:textId="77777777" w:rsidTr="00504C3A">
        <w:trPr>
          <w:trHeight w:val="113"/>
        </w:trPr>
        <w:tc>
          <w:tcPr>
            <w:tcW w:w="1406" w:type="pct"/>
            <w:vMerge w:val="restart"/>
          </w:tcPr>
          <w:p w14:paraId="7462E4D1" w14:textId="77777777" w:rsidR="00215226" w:rsidRPr="00093E8E" w:rsidRDefault="00215226" w:rsidP="00504C3A">
            <w:pPr>
              <w:pStyle w:val="Normal-TableText"/>
            </w:pPr>
            <w:r w:rsidRPr="00C6440C">
              <w:t>S</w:t>
            </w:r>
            <w:r w:rsidRPr="00093E8E">
              <w:t>ubj</w:t>
            </w:r>
            <w:r w:rsidRPr="00C6440C">
              <w:t>ec</w:t>
            </w:r>
            <w:r w:rsidRPr="00093E8E">
              <w:t>t K</w:t>
            </w:r>
            <w:r w:rsidRPr="00C6440C">
              <w:t>e</w:t>
            </w:r>
            <w:r w:rsidRPr="00093E8E">
              <w:t>y</w:t>
            </w:r>
            <w:r w:rsidRPr="00C6440C">
              <w:t xml:space="preserve"> I</w:t>
            </w:r>
            <w:r w:rsidRPr="00093E8E">
              <w:t>d</w:t>
            </w:r>
            <w:r w:rsidRPr="00C6440C">
              <w:t>e</w:t>
            </w:r>
            <w:r w:rsidRPr="00093E8E">
              <w:t>nti</w:t>
            </w:r>
            <w:r w:rsidRPr="00C6440C">
              <w:t>f</w:t>
            </w:r>
            <w:r w:rsidRPr="00093E8E">
              <w:t>i</w:t>
            </w:r>
            <w:r w:rsidRPr="00C6440C">
              <w:t>e</w:t>
            </w:r>
            <w:r w:rsidRPr="00093E8E">
              <w:t>r</w:t>
            </w:r>
          </w:p>
        </w:tc>
        <w:tc>
          <w:tcPr>
            <w:tcW w:w="3594" w:type="pct"/>
          </w:tcPr>
          <w:p w14:paraId="10F12EE6" w14:textId="77777777" w:rsidR="00215226" w:rsidRPr="00093E8E" w:rsidRDefault="00215226" w:rsidP="00504C3A">
            <w:pPr>
              <w:pStyle w:val="Normal-TableText"/>
            </w:pPr>
            <w:r w:rsidRPr="00C6440C">
              <w:rPr>
                <w:rStyle w:val="Strong"/>
              </w:rPr>
              <w:t>Required</w:t>
            </w:r>
          </w:p>
        </w:tc>
      </w:tr>
      <w:tr w:rsidR="00215226" w:rsidRPr="00093E8E" w14:paraId="6FAE24CF" w14:textId="77777777" w:rsidTr="00504C3A">
        <w:trPr>
          <w:trHeight w:val="113"/>
        </w:trPr>
        <w:tc>
          <w:tcPr>
            <w:tcW w:w="1406" w:type="pct"/>
            <w:vMerge/>
          </w:tcPr>
          <w:p w14:paraId="2A1F3EFE" w14:textId="77777777" w:rsidR="00215226" w:rsidRPr="00093E8E" w:rsidRDefault="00215226" w:rsidP="00504C3A">
            <w:pPr>
              <w:pStyle w:val="Normal-TableText"/>
            </w:pPr>
          </w:p>
        </w:tc>
        <w:tc>
          <w:tcPr>
            <w:tcW w:w="3594" w:type="pct"/>
          </w:tcPr>
          <w:p w14:paraId="0BC069F9" w14:textId="77777777" w:rsidR="00215226" w:rsidRPr="00093E8E" w:rsidRDefault="00215226" w:rsidP="00504C3A">
            <w:pPr>
              <w:pStyle w:val="Normal-TableText"/>
            </w:pPr>
            <w:r w:rsidRPr="00C6440C">
              <w:t>Rec</w:t>
            </w:r>
            <w:r w:rsidRPr="00093E8E">
              <w:t>omm</w:t>
            </w:r>
            <w:r w:rsidRPr="00C6440C">
              <w:t>e</w:t>
            </w:r>
            <w:r w:rsidRPr="00093E8E">
              <w:t>nd</w:t>
            </w:r>
            <w:r w:rsidRPr="00C6440C">
              <w:t>e</w:t>
            </w:r>
            <w:r w:rsidRPr="00093E8E">
              <w:t>d th</w:t>
            </w:r>
            <w:r w:rsidRPr="00C6440C">
              <w:t>a</w:t>
            </w:r>
            <w:r w:rsidRPr="00093E8E">
              <w:t>t th</w:t>
            </w:r>
            <w:r w:rsidRPr="00C6440C">
              <w:t>a</w:t>
            </w:r>
            <w:r w:rsidRPr="00093E8E">
              <w:t xml:space="preserve">t </w:t>
            </w:r>
            <w:r w:rsidRPr="00C6440C">
              <w:t>t</w:t>
            </w:r>
            <w:r w:rsidRPr="00093E8E">
              <w:t>he</w:t>
            </w:r>
            <w:r w:rsidRPr="00C6440C">
              <w:t xml:space="preserve"> </w:t>
            </w:r>
            <w:r w:rsidRPr="00093E8E">
              <w:t>o</w:t>
            </w:r>
            <w:r w:rsidRPr="00C6440C">
              <w:t>c</w:t>
            </w:r>
            <w:r w:rsidRPr="00093E8E">
              <w:t>t</w:t>
            </w:r>
            <w:r w:rsidRPr="00C6440C">
              <w:t>e</w:t>
            </w:r>
            <w:r w:rsidRPr="00093E8E">
              <w:t>t st</w:t>
            </w:r>
            <w:r w:rsidRPr="00C6440C">
              <w:t>r</w:t>
            </w:r>
            <w:r w:rsidRPr="00093E8E">
              <w:t>i</w:t>
            </w:r>
            <w:r w:rsidRPr="00C6440C">
              <w:t>n</w:t>
            </w:r>
            <w:r w:rsidRPr="00093E8E">
              <w:t>g</w:t>
            </w:r>
            <w:r w:rsidRPr="00C6440C">
              <w:t xml:space="preserve"> c</w:t>
            </w:r>
            <w:r w:rsidRPr="00093E8E">
              <w:t>ont</w:t>
            </w:r>
            <w:r w:rsidRPr="00C6440C">
              <w:t>a</w:t>
            </w:r>
            <w:r w:rsidRPr="00093E8E">
              <w:t>in t</w:t>
            </w:r>
            <w:r w:rsidRPr="00C6440C">
              <w:t>h</w:t>
            </w:r>
            <w:r w:rsidRPr="00093E8E">
              <w:t>e</w:t>
            </w:r>
            <w:r w:rsidRPr="00C6440C">
              <w:t xml:space="preserve"> </w:t>
            </w:r>
            <w:r w:rsidRPr="00093E8E">
              <w:t xml:space="preserve">20 </w:t>
            </w:r>
            <w:r w:rsidRPr="00C6440C">
              <w:t>byt</w:t>
            </w:r>
            <w:r w:rsidRPr="00093E8E">
              <w:t>e</w:t>
            </w:r>
            <w:r w:rsidRPr="00C6440C">
              <w:t xml:space="preserve"> S</w:t>
            </w:r>
            <w:r w:rsidRPr="00093E8E">
              <w:t>HA</w:t>
            </w:r>
            <w:r w:rsidRPr="00C6440C">
              <w:t>–1</w:t>
            </w:r>
            <w:r w:rsidRPr="00093E8E">
              <w:t xml:space="preserve"> h</w:t>
            </w:r>
            <w:r w:rsidRPr="00C6440C">
              <w:t>a</w:t>
            </w:r>
            <w:r w:rsidRPr="00093E8E">
              <w:t>sh of</w:t>
            </w:r>
            <w:r w:rsidRPr="00C6440C">
              <w:t xml:space="preserve"> </w:t>
            </w:r>
            <w:r w:rsidRPr="00093E8E">
              <w:t>the</w:t>
            </w:r>
            <w:r w:rsidRPr="00C6440C">
              <w:t xml:space="preserve"> </w:t>
            </w:r>
            <w:r w:rsidRPr="00093E8E">
              <w:t>bin</w:t>
            </w:r>
            <w:r w:rsidRPr="00C6440C">
              <w:t>ar</w:t>
            </w:r>
            <w:r w:rsidRPr="00093E8E">
              <w:t>y</w:t>
            </w:r>
            <w:r w:rsidRPr="00C6440C">
              <w:t xml:space="preserve"> </w:t>
            </w:r>
            <w:r w:rsidRPr="00093E8E">
              <w:t>DER</w:t>
            </w:r>
            <w:r w:rsidRPr="00C6440C">
              <w:t xml:space="preserve"> e</w:t>
            </w:r>
            <w:r w:rsidRPr="00093E8E">
              <w:t>n</w:t>
            </w:r>
            <w:r w:rsidRPr="00C6440C">
              <w:t>c</w:t>
            </w:r>
            <w:r w:rsidRPr="00093E8E">
              <w:t>oding</w:t>
            </w:r>
            <w:r w:rsidRPr="00C6440C">
              <w:t xml:space="preserve"> o</w:t>
            </w:r>
            <w:r w:rsidRPr="00093E8E">
              <w:t>f</w:t>
            </w:r>
            <w:r w:rsidRPr="00C6440C">
              <w:t xml:space="preserve"> </w:t>
            </w:r>
            <w:r w:rsidRPr="00093E8E">
              <w:t>the</w:t>
            </w:r>
            <w:r w:rsidRPr="00C6440C">
              <w:t xml:space="preserve"> </w:t>
            </w:r>
            <w:r w:rsidRPr="00093E8E">
              <w:t>subj</w:t>
            </w:r>
            <w:r w:rsidRPr="00C6440C">
              <w:t>ec</w:t>
            </w:r>
            <w:r w:rsidRPr="00093E8E">
              <w:t xml:space="preserve">t </w:t>
            </w:r>
            <w:r w:rsidRPr="00C6440C">
              <w:t>C</w:t>
            </w:r>
            <w:r w:rsidRPr="00093E8E">
              <w:t>A</w:t>
            </w:r>
            <w:r w:rsidRPr="00C6440C">
              <w:t>’</w:t>
            </w:r>
            <w:r w:rsidRPr="00093E8E">
              <w:t>s public</w:t>
            </w:r>
            <w:r w:rsidRPr="00C6440C">
              <w:t xml:space="preserve"> </w:t>
            </w:r>
            <w:r w:rsidRPr="00093E8E">
              <w:t>k</w:t>
            </w:r>
            <w:r w:rsidRPr="00C6440C">
              <w:t>e</w:t>
            </w:r>
            <w:r w:rsidRPr="00093E8E">
              <w:t>y in</w:t>
            </w:r>
            <w:r w:rsidRPr="00C6440C">
              <w:t>f</w:t>
            </w:r>
            <w:r w:rsidRPr="00093E8E">
              <w:t>o</w:t>
            </w:r>
            <w:r w:rsidRPr="00C6440C">
              <w:t>r</w:t>
            </w:r>
            <w:r w:rsidRPr="00093E8E">
              <w:t>m</w:t>
            </w:r>
            <w:r w:rsidRPr="00C6440C">
              <w:t>a</w:t>
            </w:r>
            <w:r w:rsidRPr="00093E8E">
              <w:t>tion.</w:t>
            </w:r>
          </w:p>
        </w:tc>
      </w:tr>
      <w:tr w:rsidR="00215226" w:rsidRPr="00093E8E" w14:paraId="5F14076A" w14:textId="77777777" w:rsidTr="00504C3A">
        <w:trPr>
          <w:trHeight w:val="113"/>
        </w:trPr>
        <w:tc>
          <w:tcPr>
            <w:tcW w:w="1406" w:type="pct"/>
            <w:vMerge w:val="restart"/>
          </w:tcPr>
          <w:p w14:paraId="06C7119D" w14:textId="77777777" w:rsidR="00215226" w:rsidRPr="00093E8E" w:rsidRDefault="00215226" w:rsidP="00504C3A">
            <w:pPr>
              <w:pStyle w:val="Normal-TableText"/>
            </w:pPr>
            <w:r w:rsidRPr="00093E8E">
              <w:t>K</w:t>
            </w:r>
            <w:r w:rsidRPr="00C6440C">
              <w:t>e</w:t>
            </w:r>
            <w:r w:rsidRPr="00093E8E">
              <w:t>y</w:t>
            </w:r>
            <w:r w:rsidRPr="00C6440C">
              <w:t xml:space="preserve"> </w:t>
            </w:r>
            <w:r w:rsidRPr="00093E8E">
              <w:t>Us</w:t>
            </w:r>
            <w:r w:rsidRPr="00C6440C">
              <w:t>a</w:t>
            </w:r>
            <w:r w:rsidRPr="00093E8E">
              <w:t>ge</w:t>
            </w:r>
          </w:p>
        </w:tc>
        <w:tc>
          <w:tcPr>
            <w:tcW w:w="3594" w:type="pct"/>
          </w:tcPr>
          <w:p w14:paraId="1DFB639E" w14:textId="77777777" w:rsidR="00215226" w:rsidRPr="00093E8E" w:rsidRDefault="00215226" w:rsidP="00504C3A">
            <w:pPr>
              <w:pStyle w:val="Normal-TableText"/>
            </w:pPr>
            <w:r w:rsidRPr="00C6440C">
              <w:rPr>
                <w:rStyle w:val="Strong"/>
              </w:rPr>
              <w:t>Required</w:t>
            </w:r>
          </w:p>
          <w:p w14:paraId="502964FC" w14:textId="77777777" w:rsidR="00215226" w:rsidRPr="00093E8E" w:rsidRDefault="00215226" w:rsidP="00504C3A">
            <w:pPr>
              <w:pStyle w:val="Normal-TableText"/>
            </w:pPr>
            <w:r w:rsidRPr="00C6440C">
              <w:rPr>
                <w:rStyle w:val="Strong"/>
              </w:rPr>
              <w:t>Critical</w:t>
            </w:r>
          </w:p>
        </w:tc>
      </w:tr>
      <w:tr w:rsidR="00215226" w:rsidRPr="00093E8E" w14:paraId="28636626" w14:textId="77777777" w:rsidTr="00504C3A">
        <w:trPr>
          <w:trHeight w:val="113"/>
        </w:trPr>
        <w:tc>
          <w:tcPr>
            <w:tcW w:w="1406" w:type="pct"/>
            <w:vMerge/>
          </w:tcPr>
          <w:p w14:paraId="1E6D4E9E" w14:textId="77777777" w:rsidR="00215226" w:rsidRPr="00093E8E" w:rsidRDefault="00215226" w:rsidP="00504C3A">
            <w:pPr>
              <w:pStyle w:val="Normal-TableText"/>
            </w:pPr>
          </w:p>
        </w:tc>
        <w:tc>
          <w:tcPr>
            <w:tcW w:w="3594" w:type="pct"/>
          </w:tcPr>
          <w:p w14:paraId="626DC675" w14:textId="77777777" w:rsidR="00215226" w:rsidRPr="00093E8E" w:rsidRDefault="00215226" w:rsidP="00504C3A">
            <w:pPr>
              <w:pStyle w:val="Normal-TableText"/>
            </w:pPr>
            <w:r w:rsidRPr="00093E8E">
              <w:t>k</w:t>
            </w:r>
            <w:r w:rsidRPr="00C6440C">
              <w:t>eyCer</w:t>
            </w:r>
            <w:r w:rsidRPr="00093E8E">
              <w:t>t</w:t>
            </w:r>
            <w:r w:rsidRPr="00C6440C">
              <w:t>S</w:t>
            </w:r>
            <w:r w:rsidRPr="00093E8E">
              <w:t>i</w:t>
            </w:r>
            <w:r w:rsidRPr="00C6440C">
              <w:t>g</w:t>
            </w:r>
            <w:r w:rsidRPr="00093E8E">
              <w:t xml:space="preserve">n, </w:t>
            </w:r>
            <w:r w:rsidRPr="00C6440C">
              <w:t>CRLSig</w:t>
            </w:r>
            <w:r w:rsidRPr="00093E8E">
              <w:t xml:space="preserve">n </w:t>
            </w:r>
            <w:r w:rsidRPr="00C6440C">
              <w:t>a</w:t>
            </w:r>
            <w:r w:rsidRPr="00093E8E">
              <w:t>nd, option</w:t>
            </w:r>
            <w:r w:rsidRPr="00C6440C">
              <w:t>a</w:t>
            </w:r>
            <w:r w:rsidRPr="00093E8E">
              <w:t>l</w:t>
            </w:r>
            <w:r w:rsidRPr="00C6440C">
              <w:t>ly</w:t>
            </w:r>
            <w:r w:rsidRPr="00093E8E">
              <w:t>, oth</w:t>
            </w:r>
            <w:r w:rsidRPr="00C6440C">
              <w:t>er</w:t>
            </w:r>
            <w:r w:rsidRPr="00093E8E">
              <w:t xml:space="preserve">s to </w:t>
            </w:r>
            <w:r w:rsidRPr="00C6440C">
              <w:t>i</w:t>
            </w:r>
            <w:r w:rsidRPr="00093E8E">
              <w:t>n</w:t>
            </w:r>
            <w:r w:rsidRPr="00C6440C">
              <w:t>c</w:t>
            </w:r>
            <w:r w:rsidRPr="00093E8E">
              <w:t>lude di</w:t>
            </w:r>
            <w:r w:rsidRPr="00C6440C">
              <w:t>g</w:t>
            </w:r>
            <w:r w:rsidRPr="00093E8E">
              <w:t>it</w:t>
            </w:r>
            <w:r w:rsidRPr="00C6440C">
              <w:t>a</w:t>
            </w:r>
            <w:r w:rsidRPr="00093E8E">
              <w:t>l</w:t>
            </w:r>
            <w:r w:rsidRPr="00C6440C">
              <w:t>S</w:t>
            </w:r>
            <w:r w:rsidRPr="00093E8E">
              <w:t>i</w:t>
            </w:r>
            <w:r w:rsidRPr="00C6440C">
              <w:t>g</w:t>
            </w:r>
            <w:r w:rsidRPr="00093E8E">
              <w:t>n</w:t>
            </w:r>
            <w:r w:rsidRPr="00C6440C">
              <w:t>a</w:t>
            </w:r>
            <w:r w:rsidRPr="00093E8E">
              <w:t>tu</w:t>
            </w:r>
            <w:r w:rsidRPr="00C6440C">
              <w:t>r</w:t>
            </w:r>
            <w:r w:rsidRPr="00093E8E">
              <w:t>e</w:t>
            </w:r>
            <w:r w:rsidRPr="00C6440C">
              <w:t xml:space="preserve"> a</w:t>
            </w:r>
            <w:r w:rsidRPr="00093E8E">
              <w:t>nd no</w:t>
            </w:r>
            <w:r w:rsidRPr="00C6440C">
              <w:t>nRe</w:t>
            </w:r>
            <w:r w:rsidRPr="00093E8E">
              <w:t>pudi</w:t>
            </w:r>
            <w:r w:rsidRPr="00C6440C">
              <w:t>a</w:t>
            </w:r>
            <w:r w:rsidRPr="00093E8E">
              <w:t>tion</w:t>
            </w:r>
          </w:p>
        </w:tc>
      </w:tr>
      <w:tr w:rsidR="00215226" w:rsidRPr="00093E8E" w14:paraId="0E911EEC" w14:textId="77777777" w:rsidTr="00504C3A">
        <w:trPr>
          <w:trHeight w:val="113"/>
        </w:trPr>
        <w:tc>
          <w:tcPr>
            <w:tcW w:w="1406" w:type="pct"/>
            <w:vMerge w:val="restart"/>
          </w:tcPr>
          <w:p w14:paraId="08528C03" w14:textId="77777777" w:rsidR="00215226" w:rsidRPr="00093E8E" w:rsidRDefault="00215226" w:rsidP="00504C3A">
            <w:pPr>
              <w:pStyle w:val="Normal-TableText"/>
            </w:pPr>
            <w:r w:rsidRPr="00C6440C">
              <w:t>Ba</w:t>
            </w:r>
            <w:r w:rsidRPr="00093E8E">
              <w:t>sic</w:t>
            </w:r>
            <w:r w:rsidRPr="00C6440C">
              <w:t xml:space="preserve"> C</w:t>
            </w:r>
            <w:r w:rsidRPr="00093E8E">
              <w:t>onst</w:t>
            </w:r>
            <w:r w:rsidRPr="00C6440C">
              <w:t>ra</w:t>
            </w:r>
            <w:r w:rsidRPr="00093E8E">
              <w:t>ints</w:t>
            </w:r>
          </w:p>
        </w:tc>
        <w:tc>
          <w:tcPr>
            <w:tcW w:w="3594" w:type="pct"/>
          </w:tcPr>
          <w:p w14:paraId="61D1F826" w14:textId="77777777" w:rsidR="00215226" w:rsidRPr="00093E8E" w:rsidRDefault="00215226" w:rsidP="00504C3A">
            <w:pPr>
              <w:pStyle w:val="Normal-TableText"/>
            </w:pPr>
            <w:r w:rsidRPr="00C6440C">
              <w:rPr>
                <w:rStyle w:val="Strong"/>
              </w:rPr>
              <w:t>Required</w:t>
            </w:r>
          </w:p>
          <w:p w14:paraId="4F29B853" w14:textId="77777777" w:rsidR="00215226" w:rsidRPr="00093E8E" w:rsidRDefault="00215226" w:rsidP="00504C3A">
            <w:pPr>
              <w:pStyle w:val="Normal-TableText"/>
            </w:pPr>
            <w:r w:rsidRPr="00C6440C">
              <w:rPr>
                <w:rStyle w:val="Strong"/>
              </w:rPr>
              <w:t>Critical</w:t>
            </w:r>
          </w:p>
        </w:tc>
      </w:tr>
      <w:tr w:rsidR="00215226" w:rsidRPr="00093E8E" w14:paraId="66B27D3F" w14:textId="77777777" w:rsidTr="00504C3A">
        <w:trPr>
          <w:trHeight w:val="113"/>
        </w:trPr>
        <w:tc>
          <w:tcPr>
            <w:tcW w:w="1406" w:type="pct"/>
            <w:vMerge/>
          </w:tcPr>
          <w:p w14:paraId="705C043F" w14:textId="77777777" w:rsidR="00215226" w:rsidRPr="00093E8E" w:rsidRDefault="00215226" w:rsidP="00504C3A">
            <w:pPr>
              <w:pStyle w:val="Normal-TableText"/>
            </w:pPr>
          </w:p>
        </w:tc>
        <w:tc>
          <w:tcPr>
            <w:tcW w:w="3594" w:type="pct"/>
          </w:tcPr>
          <w:p w14:paraId="151BCDCA" w14:textId="77777777" w:rsidR="00215226" w:rsidRPr="00093E8E" w:rsidRDefault="00215226" w:rsidP="00504C3A">
            <w:pPr>
              <w:pStyle w:val="Normal-TableText"/>
            </w:pPr>
            <w:r w:rsidRPr="00C6440C">
              <w:t>c</w:t>
            </w:r>
            <w:r w:rsidRPr="00093E8E">
              <w:t>A T</w:t>
            </w:r>
            <w:r w:rsidRPr="00C6440C">
              <w:t>r</w:t>
            </w:r>
            <w:r w:rsidRPr="00093E8E">
              <w:t>u</w:t>
            </w:r>
            <w:r w:rsidRPr="00C6440C">
              <w:t>e</w:t>
            </w:r>
            <w:r w:rsidRPr="00093E8E">
              <w:t xml:space="preserve">; </w:t>
            </w:r>
            <w:r w:rsidRPr="00C6440C">
              <w:t>pa</w:t>
            </w:r>
            <w:r w:rsidRPr="00093E8E">
              <w:t>th l</w:t>
            </w:r>
            <w:r w:rsidRPr="00C6440C">
              <w:t>eng</w:t>
            </w:r>
            <w:r w:rsidRPr="00093E8E">
              <w:t xml:space="preserve">th </w:t>
            </w:r>
            <w:r w:rsidRPr="00C6440C">
              <w:t>c</w:t>
            </w:r>
            <w:r w:rsidRPr="00093E8E">
              <w:t>o</w:t>
            </w:r>
            <w:r w:rsidRPr="00C6440C">
              <w:t>n</w:t>
            </w:r>
            <w:r w:rsidRPr="00093E8E">
              <w:t>st</w:t>
            </w:r>
            <w:r w:rsidRPr="00C6440C">
              <w:t>ra</w:t>
            </w:r>
            <w:r w:rsidRPr="00093E8E">
              <w:t>int p</w:t>
            </w:r>
            <w:r w:rsidRPr="00C6440C">
              <w:t>e</w:t>
            </w:r>
            <w:r w:rsidRPr="00093E8E">
              <w:t>r</w:t>
            </w:r>
            <w:r w:rsidRPr="00C6440C">
              <w:t xml:space="preserve"> PK</w:t>
            </w:r>
            <w:r w:rsidRPr="00093E8E">
              <w:t>I</w:t>
            </w:r>
            <w:r w:rsidRPr="00C6440C">
              <w:t xml:space="preserve"> </w:t>
            </w:r>
            <w:r w:rsidRPr="00093E8E">
              <w:t>hi</w:t>
            </w:r>
            <w:r w:rsidRPr="00C6440C">
              <w:t>erarch</w:t>
            </w:r>
            <w:r w:rsidRPr="00093E8E">
              <w:t>y</w:t>
            </w:r>
          </w:p>
        </w:tc>
      </w:tr>
      <w:tr w:rsidR="00215226" w:rsidRPr="00093E8E" w14:paraId="5E40F3B7" w14:textId="77777777" w:rsidTr="00504C3A">
        <w:trPr>
          <w:trHeight w:val="113"/>
        </w:trPr>
        <w:tc>
          <w:tcPr>
            <w:tcW w:w="1406" w:type="pct"/>
          </w:tcPr>
          <w:p w14:paraId="687BC2EF" w14:textId="77777777" w:rsidR="00215226" w:rsidRPr="00093E8E" w:rsidRDefault="00215226" w:rsidP="00504C3A">
            <w:pPr>
              <w:pStyle w:val="Normal-TableText"/>
            </w:pPr>
            <w:r w:rsidRPr="00093E8E">
              <w:t>E</w:t>
            </w:r>
            <w:r w:rsidRPr="00C6440C">
              <w:t>x</w:t>
            </w:r>
            <w:r w:rsidRPr="00093E8E">
              <w:t>t</w:t>
            </w:r>
            <w:r w:rsidRPr="00C6440C">
              <w:t>e</w:t>
            </w:r>
            <w:r w:rsidRPr="00093E8E">
              <w:t>nd</w:t>
            </w:r>
            <w:r w:rsidRPr="00C6440C">
              <w:t>e</w:t>
            </w:r>
            <w:r w:rsidRPr="00093E8E">
              <w:t>d K</w:t>
            </w:r>
            <w:r w:rsidRPr="00C6440C">
              <w:t>e</w:t>
            </w:r>
            <w:r w:rsidRPr="00093E8E">
              <w:t>y</w:t>
            </w:r>
            <w:r w:rsidRPr="00C6440C">
              <w:t xml:space="preserve"> </w:t>
            </w:r>
            <w:r w:rsidRPr="00093E8E">
              <w:t>Us</w:t>
            </w:r>
            <w:r w:rsidRPr="00C6440C">
              <w:t>ag</w:t>
            </w:r>
            <w:r w:rsidRPr="00093E8E">
              <w:t>e</w:t>
            </w:r>
          </w:p>
        </w:tc>
        <w:tc>
          <w:tcPr>
            <w:tcW w:w="3594" w:type="pct"/>
          </w:tcPr>
          <w:p w14:paraId="6EF23DFD" w14:textId="77777777" w:rsidR="00215226" w:rsidRPr="00093E8E" w:rsidRDefault="00215226" w:rsidP="00504C3A">
            <w:pPr>
              <w:pStyle w:val="Normal-TableText"/>
            </w:pPr>
            <w:r w:rsidRPr="00C6440C">
              <w:rPr>
                <w:rStyle w:val="Strong"/>
              </w:rPr>
              <w:t>Not Used</w:t>
            </w:r>
          </w:p>
        </w:tc>
      </w:tr>
      <w:tr w:rsidR="00215226" w:rsidRPr="00093E8E" w14:paraId="3B60FE5C" w14:textId="77777777" w:rsidTr="00504C3A">
        <w:trPr>
          <w:trHeight w:val="113"/>
        </w:trPr>
        <w:tc>
          <w:tcPr>
            <w:tcW w:w="1406" w:type="pct"/>
          </w:tcPr>
          <w:p w14:paraId="7CD2A764" w14:textId="77777777" w:rsidR="00215226" w:rsidRPr="00093E8E" w:rsidRDefault="00215226" w:rsidP="00504C3A">
            <w:pPr>
              <w:pStyle w:val="Normal-TableText"/>
            </w:pPr>
            <w:r w:rsidRPr="00C6440C">
              <w:lastRenderedPageBreak/>
              <w:t>Pr</w:t>
            </w:r>
            <w:r w:rsidRPr="00093E8E">
              <w:t>iv</w:t>
            </w:r>
            <w:r w:rsidRPr="00C6440C">
              <w:t>a</w:t>
            </w:r>
            <w:r w:rsidRPr="00093E8E">
              <w:t>te</w:t>
            </w:r>
            <w:r w:rsidRPr="00C6440C">
              <w:t xml:space="preserve"> </w:t>
            </w:r>
            <w:r w:rsidRPr="00093E8E">
              <w:t>K</w:t>
            </w:r>
            <w:r w:rsidRPr="00C6440C">
              <w:t>e</w:t>
            </w:r>
            <w:r w:rsidRPr="00093E8E">
              <w:t>y</w:t>
            </w:r>
            <w:r w:rsidRPr="00C6440C">
              <w:t xml:space="preserve"> </w:t>
            </w:r>
            <w:r w:rsidRPr="00093E8E">
              <w:t>Us</w:t>
            </w:r>
            <w:r w:rsidRPr="00C6440C">
              <w:t>a</w:t>
            </w:r>
            <w:r w:rsidRPr="00093E8E">
              <w:t>ge</w:t>
            </w:r>
            <w:r w:rsidRPr="00C6440C">
              <w:t xml:space="preserve"> Per</w:t>
            </w:r>
            <w:r w:rsidRPr="00093E8E">
              <w:t>i</w:t>
            </w:r>
            <w:r w:rsidRPr="00C6440C">
              <w:t>o</w:t>
            </w:r>
            <w:r w:rsidRPr="00093E8E">
              <w:t>d</w:t>
            </w:r>
          </w:p>
        </w:tc>
        <w:tc>
          <w:tcPr>
            <w:tcW w:w="3594" w:type="pct"/>
          </w:tcPr>
          <w:p w14:paraId="386CA775" w14:textId="77777777" w:rsidR="00215226" w:rsidRPr="00093E8E" w:rsidRDefault="00215226" w:rsidP="00504C3A">
            <w:pPr>
              <w:pStyle w:val="Normal-TableText"/>
            </w:pPr>
            <w:r w:rsidRPr="00C6440C">
              <w:rPr>
                <w:rStyle w:val="Strong"/>
              </w:rPr>
              <w:t>Not Used</w:t>
            </w:r>
          </w:p>
        </w:tc>
      </w:tr>
      <w:tr w:rsidR="00215226" w:rsidRPr="00093E8E" w14:paraId="5D6895C4" w14:textId="77777777" w:rsidTr="00504C3A">
        <w:trPr>
          <w:trHeight w:val="113"/>
        </w:trPr>
        <w:tc>
          <w:tcPr>
            <w:tcW w:w="1406" w:type="pct"/>
            <w:vMerge w:val="restart"/>
          </w:tcPr>
          <w:p w14:paraId="130AD482" w14:textId="77777777" w:rsidR="00215226" w:rsidRPr="00093E8E" w:rsidRDefault="00215226" w:rsidP="00504C3A">
            <w:pPr>
              <w:pStyle w:val="Normal-TableText"/>
            </w:pPr>
            <w:r w:rsidRPr="00C6440C">
              <w:t>Cer</w:t>
            </w:r>
            <w:r w:rsidRPr="00093E8E">
              <w:t>ti</w:t>
            </w:r>
            <w:r w:rsidRPr="00C6440C">
              <w:t>f</w:t>
            </w:r>
            <w:r w:rsidRPr="00093E8E">
              <w:t>i</w:t>
            </w:r>
            <w:r w:rsidRPr="00C6440C">
              <w:t>ca</w:t>
            </w:r>
            <w:r w:rsidRPr="00093E8E">
              <w:t>te</w:t>
            </w:r>
            <w:r w:rsidRPr="00C6440C">
              <w:t xml:space="preserve"> P</w:t>
            </w:r>
            <w:r w:rsidRPr="00093E8E">
              <w:t>oli</w:t>
            </w:r>
            <w:r w:rsidRPr="00C6440C">
              <w:t>c</w:t>
            </w:r>
            <w:r w:rsidRPr="00093E8E">
              <w:t>i</w:t>
            </w:r>
            <w:r w:rsidRPr="00C6440C">
              <w:t>e</w:t>
            </w:r>
            <w:r w:rsidRPr="00093E8E">
              <w:t>s</w:t>
            </w:r>
          </w:p>
        </w:tc>
        <w:tc>
          <w:tcPr>
            <w:tcW w:w="3594" w:type="pct"/>
          </w:tcPr>
          <w:p w14:paraId="218744D6" w14:textId="77777777" w:rsidR="00215226" w:rsidRPr="00093E8E" w:rsidRDefault="00215226" w:rsidP="00504C3A">
            <w:pPr>
              <w:pStyle w:val="Normal-TableText"/>
            </w:pPr>
            <w:r w:rsidRPr="00C6440C">
              <w:rPr>
                <w:rStyle w:val="Strong"/>
              </w:rPr>
              <w:t>Required</w:t>
            </w:r>
          </w:p>
        </w:tc>
      </w:tr>
      <w:tr w:rsidR="00215226" w:rsidRPr="00093E8E" w14:paraId="39A6B6F3" w14:textId="77777777" w:rsidTr="00504C3A">
        <w:trPr>
          <w:trHeight w:val="113"/>
        </w:trPr>
        <w:tc>
          <w:tcPr>
            <w:tcW w:w="1406" w:type="pct"/>
            <w:vMerge/>
          </w:tcPr>
          <w:p w14:paraId="104659BF" w14:textId="77777777" w:rsidR="00215226" w:rsidRPr="00093E8E" w:rsidRDefault="00215226" w:rsidP="00504C3A">
            <w:pPr>
              <w:pStyle w:val="Normal-TableText"/>
            </w:pPr>
          </w:p>
        </w:tc>
        <w:tc>
          <w:tcPr>
            <w:tcW w:w="3594" w:type="pct"/>
          </w:tcPr>
          <w:p w14:paraId="75EDAA2F" w14:textId="77777777" w:rsidR="00215226" w:rsidRPr="00093E8E" w:rsidRDefault="00215226" w:rsidP="00504C3A">
            <w:pPr>
              <w:pStyle w:val="Normal-TableText"/>
            </w:pPr>
            <w:r w:rsidRPr="00C6440C">
              <w:t>Se</w:t>
            </w:r>
            <w:r w:rsidRPr="00093E8E">
              <w:t>qu</w:t>
            </w:r>
            <w:r w:rsidRPr="00C6440C">
              <w:t>e</w:t>
            </w:r>
            <w:r w:rsidRPr="00093E8E">
              <w:t>n</w:t>
            </w:r>
            <w:r w:rsidRPr="00C6440C">
              <w:t>c</w:t>
            </w:r>
            <w:r w:rsidRPr="00093E8E">
              <w:t>e</w:t>
            </w:r>
            <w:r w:rsidRPr="00C6440C">
              <w:t xml:space="preserve"> </w:t>
            </w:r>
            <w:r w:rsidRPr="00093E8E">
              <w:t>of</w:t>
            </w:r>
            <w:r w:rsidRPr="00C6440C">
              <w:t xml:space="preserve"> o</w:t>
            </w:r>
            <w:r w:rsidRPr="00093E8E">
              <w:t>ne</w:t>
            </w:r>
            <w:r w:rsidRPr="00C6440C">
              <w:t xml:space="preserve"> </w:t>
            </w:r>
            <w:r w:rsidRPr="00093E8E">
              <w:t>or</w:t>
            </w:r>
            <w:r w:rsidRPr="00C6440C">
              <w:t xml:space="preserve"> </w:t>
            </w:r>
            <w:r w:rsidRPr="00093E8E">
              <w:t>mo</w:t>
            </w:r>
            <w:r w:rsidRPr="00C6440C">
              <w:t>r</w:t>
            </w:r>
            <w:r w:rsidRPr="00093E8E">
              <w:t>e</w:t>
            </w:r>
            <w:r w:rsidRPr="00C6440C">
              <w:t xml:space="preserve"> </w:t>
            </w:r>
            <w:r w:rsidRPr="00093E8E">
              <w:t>poli</w:t>
            </w:r>
            <w:r w:rsidRPr="00C6440C">
              <w:t>c</w:t>
            </w:r>
            <w:r w:rsidRPr="00093E8E">
              <w:t>y</w:t>
            </w:r>
            <w:r w:rsidRPr="00C6440C">
              <w:t xml:space="preserve"> </w:t>
            </w:r>
            <w:r w:rsidRPr="00093E8E">
              <w:t>in</w:t>
            </w:r>
            <w:r w:rsidRPr="00C6440C">
              <w:t>f</w:t>
            </w:r>
            <w:r w:rsidRPr="00093E8E">
              <w:t>o</w:t>
            </w:r>
            <w:r w:rsidRPr="00C6440C">
              <w:t>rma</w:t>
            </w:r>
            <w:r w:rsidRPr="00093E8E">
              <w:t>tion t</w:t>
            </w:r>
            <w:r w:rsidRPr="00C6440C">
              <w:t>er</w:t>
            </w:r>
            <w:r w:rsidRPr="00093E8E">
              <w:t xml:space="preserve">ms, </w:t>
            </w:r>
            <w:r w:rsidRPr="00C6440C">
              <w:t>eac</w:t>
            </w:r>
            <w:r w:rsidRPr="00093E8E">
              <w:t>h of</w:t>
            </w:r>
            <w:r w:rsidRPr="00C6440C">
              <w:t xml:space="preserve"> </w:t>
            </w:r>
            <w:r w:rsidRPr="00093E8E">
              <w:t>whi</w:t>
            </w:r>
            <w:r w:rsidRPr="00C6440C">
              <w:t>c</w:t>
            </w:r>
            <w:r w:rsidRPr="00093E8E">
              <w:t xml:space="preserve">h </w:t>
            </w:r>
            <w:r w:rsidRPr="00C6440C">
              <w:t>c</w:t>
            </w:r>
            <w:r w:rsidRPr="00093E8E">
              <w:t>onsists of</w:t>
            </w:r>
            <w:r w:rsidRPr="00C6440C">
              <w:t xml:space="preserve"> a</w:t>
            </w:r>
            <w:r w:rsidRPr="00093E8E">
              <w:t xml:space="preserve">n </w:t>
            </w:r>
            <w:r w:rsidRPr="00C6440C">
              <w:t>OID a</w:t>
            </w:r>
            <w:r w:rsidRPr="00093E8E">
              <w:t>nd option</w:t>
            </w:r>
            <w:r w:rsidRPr="00C6440C">
              <w:t>a</w:t>
            </w:r>
            <w:r w:rsidRPr="00093E8E">
              <w:t>l</w:t>
            </w:r>
            <w:r w:rsidRPr="00C6440C">
              <w:t>l</w:t>
            </w:r>
            <w:r w:rsidRPr="00093E8E">
              <w:t xml:space="preserve">y </w:t>
            </w:r>
            <w:r w:rsidRPr="00C6440C">
              <w:t>ID-</w:t>
            </w:r>
            <w:r w:rsidRPr="00093E8E">
              <w:t>QT</w:t>
            </w:r>
            <w:r w:rsidRPr="00C6440C">
              <w:t>-CPS a</w:t>
            </w:r>
            <w:r w:rsidRPr="00093E8E">
              <w:t>nd</w:t>
            </w:r>
            <w:r w:rsidRPr="00C6440C">
              <w:t xml:space="preserve"> I</w:t>
            </w:r>
            <w:r w:rsidRPr="00093E8E">
              <w:t>D</w:t>
            </w:r>
            <w:r w:rsidRPr="00C6440C">
              <w:t>-Q</w:t>
            </w:r>
            <w:r w:rsidRPr="00093E8E">
              <w:t>T</w:t>
            </w:r>
            <w:r w:rsidRPr="00C6440C">
              <w:t>-</w:t>
            </w:r>
            <w:r w:rsidRPr="00093E8E">
              <w:t>UNoti</w:t>
            </w:r>
            <w:r w:rsidRPr="00C6440C">
              <w:t>ce</w:t>
            </w:r>
            <w:r w:rsidRPr="00093E8E">
              <w:t>. Q</w:t>
            </w:r>
            <w:r w:rsidRPr="00C6440C">
              <w:t>ua</w:t>
            </w:r>
            <w:r w:rsidRPr="00093E8E">
              <w:t>li</w:t>
            </w:r>
            <w:r w:rsidRPr="00C6440C">
              <w:t>f</w:t>
            </w:r>
            <w:r w:rsidRPr="00093E8E">
              <w:t>i</w:t>
            </w:r>
            <w:r w:rsidRPr="00C6440C">
              <w:t>er</w:t>
            </w:r>
            <w:r w:rsidRPr="00093E8E">
              <w:t>s.</w:t>
            </w:r>
          </w:p>
        </w:tc>
      </w:tr>
      <w:tr w:rsidR="00215226" w:rsidRPr="00093E8E" w14:paraId="63C4C374" w14:textId="77777777" w:rsidTr="00504C3A">
        <w:trPr>
          <w:trHeight w:val="113"/>
        </w:trPr>
        <w:tc>
          <w:tcPr>
            <w:tcW w:w="1406" w:type="pct"/>
          </w:tcPr>
          <w:p w14:paraId="4BC55514" w14:textId="77777777" w:rsidR="00215226" w:rsidRPr="00093E8E" w:rsidRDefault="00215226" w:rsidP="00504C3A">
            <w:pPr>
              <w:pStyle w:val="Normal-TableText"/>
            </w:pPr>
            <w:r w:rsidRPr="00C6440C">
              <w:t>S</w:t>
            </w:r>
            <w:r w:rsidRPr="00093E8E">
              <w:t>ubj</w:t>
            </w:r>
            <w:r w:rsidRPr="00C6440C">
              <w:t>ec</w:t>
            </w:r>
            <w:r w:rsidRPr="00093E8E">
              <w:t>t Alt</w:t>
            </w:r>
            <w:r w:rsidRPr="00C6440C">
              <w:t>er</w:t>
            </w:r>
            <w:r w:rsidRPr="00093E8E">
              <w:t>n</w:t>
            </w:r>
            <w:r w:rsidRPr="00C6440C">
              <w:t>a</w:t>
            </w:r>
            <w:r w:rsidRPr="00093E8E">
              <w:t>tive</w:t>
            </w:r>
            <w:r w:rsidRPr="00C6440C">
              <w:t xml:space="preserve"> </w:t>
            </w:r>
            <w:r w:rsidRPr="00093E8E">
              <w:t>N</w:t>
            </w:r>
            <w:r w:rsidRPr="00C6440C">
              <w:t>am</w:t>
            </w:r>
            <w:r w:rsidRPr="00093E8E">
              <w:t>e</w:t>
            </w:r>
          </w:p>
        </w:tc>
        <w:tc>
          <w:tcPr>
            <w:tcW w:w="3594" w:type="pct"/>
          </w:tcPr>
          <w:p w14:paraId="6C5DC112" w14:textId="77777777" w:rsidR="00215226" w:rsidRPr="00093E8E" w:rsidRDefault="00215226" w:rsidP="00504C3A">
            <w:pPr>
              <w:pStyle w:val="Normal-TableText"/>
            </w:pPr>
            <w:r w:rsidRPr="00C6440C">
              <w:rPr>
                <w:rStyle w:val="Strong"/>
              </w:rPr>
              <w:t>Not Used</w:t>
            </w:r>
          </w:p>
        </w:tc>
      </w:tr>
      <w:tr w:rsidR="00215226" w:rsidRPr="00093E8E" w14:paraId="7E4EC2F2" w14:textId="77777777" w:rsidTr="00504C3A">
        <w:trPr>
          <w:trHeight w:val="113"/>
        </w:trPr>
        <w:tc>
          <w:tcPr>
            <w:tcW w:w="1406" w:type="pct"/>
          </w:tcPr>
          <w:p w14:paraId="0E8B12FC" w14:textId="77777777" w:rsidR="00215226" w:rsidRPr="00093E8E" w:rsidRDefault="00215226" w:rsidP="00504C3A">
            <w:pPr>
              <w:pStyle w:val="Normal-TableText"/>
            </w:pPr>
            <w:r w:rsidRPr="00C6440C">
              <w:t>I</w:t>
            </w:r>
            <w:r w:rsidRPr="00093E8E">
              <w:t>ss</w:t>
            </w:r>
            <w:r w:rsidRPr="00C6440C">
              <w:t>ue</w:t>
            </w:r>
            <w:r w:rsidRPr="00093E8E">
              <w:t>r</w:t>
            </w:r>
            <w:r w:rsidRPr="00C6440C">
              <w:t xml:space="preserve"> </w:t>
            </w:r>
            <w:r w:rsidRPr="00093E8E">
              <w:t>Alt</w:t>
            </w:r>
            <w:r w:rsidRPr="00C6440C">
              <w:t>erna</w:t>
            </w:r>
            <w:r w:rsidRPr="00093E8E">
              <w:t>tive</w:t>
            </w:r>
            <w:r w:rsidRPr="00C6440C">
              <w:t xml:space="preserve"> </w:t>
            </w:r>
            <w:r w:rsidRPr="00093E8E">
              <w:t>N</w:t>
            </w:r>
            <w:r w:rsidRPr="00C6440C">
              <w:t>a</w:t>
            </w:r>
            <w:r w:rsidRPr="00093E8E">
              <w:t>me</w:t>
            </w:r>
          </w:p>
        </w:tc>
        <w:tc>
          <w:tcPr>
            <w:tcW w:w="3594" w:type="pct"/>
          </w:tcPr>
          <w:p w14:paraId="0863F8DC" w14:textId="77777777" w:rsidR="00215226" w:rsidRPr="00093E8E" w:rsidRDefault="00215226" w:rsidP="00504C3A">
            <w:pPr>
              <w:pStyle w:val="Normal-TableText"/>
            </w:pPr>
            <w:r w:rsidRPr="00C6440C">
              <w:rPr>
                <w:rStyle w:val="Strong"/>
              </w:rPr>
              <w:t>Not Used</w:t>
            </w:r>
          </w:p>
        </w:tc>
      </w:tr>
      <w:tr w:rsidR="00215226" w:rsidRPr="00093E8E" w14:paraId="17A6DB61" w14:textId="77777777" w:rsidTr="00504C3A">
        <w:trPr>
          <w:trHeight w:val="113"/>
        </w:trPr>
        <w:tc>
          <w:tcPr>
            <w:tcW w:w="1406" w:type="pct"/>
          </w:tcPr>
          <w:p w14:paraId="2E99B281" w14:textId="77777777" w:rsidR="00215226" w:rsidRPr="00093E8E" w:rsidRDefault="00215226" w:rsidP="00504C3A">
            <w:pPr>
              <w:pStyle w:val="Normal-TableText"/>
            </w:pPr>
            <w:r w:rsidRPr="00C6440C">
              <w:t>S</w:t>
            </w:r>
            <w:r w:rsidRPr="00093E8E">
              <w:t>ubj</w:t>
            </w:r>
            <w:r w:rsidRPr="00C6440C">
              <w:t>ec</w:t>
            </w:r>
            <w:r w:rsidRPr="00093E8E">
              <w:t>t Di</w:t>
            </w:r>
            <w:r w:rsidRPr="00C6440C">
              <w:t>rec</w:t>
            </w:r>
            <w:r w:rsidRPr="00093E8E">
              <w:t>to</w:t>
            </w:r>
            <w:r w:rsidRPr="00C6440C">
              <w:t>r</w:t>
            </w:r>
            <w:r w:rsidRPr="00093E8E">
              <w:t>y</w:t>
            </w:r>
            <w:r w:rsidR="006F49DA">
              <w:t xml:space="preserve"> </w:t>
            </w:r>
            <w:r w:rsidRPr="00093E8E">
              <w:t>Att</w:t>
            </w:r>
            <w:r w:rsidRPr="00C6440C">
              <w:t>r</w:t>
            </w:r>
            <w:r w:rsidRPr="00093E8E">
              <w:t>ibut</w:t>
            </w:r>
            <w:r w:rsidRPr="00C6440C">
              <w:t>e</w:t>
            </w:r>
            <w:r w:rsidRPr="00093E8E">
              <w:t>s</w:t>
            </w:r>
          </w:p>
        </w:tc>
        <w:tc>
          <w:tcPr>
            <w:tcW w:w="3594" w:type="pct"/>
          </w:tcPr>
          <w:p w14:paraId="5961CA9D" w14:textId="77777777" w:rsidR="00215226" w:rsidRPr="00093E8E" w:rsidRDefault="00215226" w:rsidP="00504C3A">
            <w:pPr>
              <w:pStyle w:val="Normal-TableText"/>
            </w:pPr>
            <w:r w:rsidRPr="00C6440C">
              <w:rPr>
                <w:rStyle w:val="Strong"/>
              </w:rPr>
              <w:t>Not Used</w:t>
            </w:r>
          </w:p>
        </w:tc>
      </w:tr>
      <w:tr w:rsidR="00215226" w:rsidRPr="00093E8E" w14:paraId="69C87C47" w14:textId="77777777" w:rsidTr="00504C3A">
        <w:trPr>
          <w:trHeight w:val="113"/>
        </w:trPr>
        <w:tc>
          <w:tcPr>
            <w:tcW w:w="1406" w:type="pct"/>
            <w:vMerge w:val="restart"/>
          </w:tcPr>
          <w:p w14:paraId="773AD2C1" w14:textId="77777777" w:rsidR="00215226" w:rsidRPr="00093E8E" w:rsidRDefault="00215226" w:rsidP="00504C3A">
            <w:pPr>
              <w:pStyle w:val="Normal-TableText"/>
            </w:pPr>
            <w:r w:rsidRPr="00093E8E">
              <w:t>Autho</w:t>
            </w:r>
            <w:r w:rsidRPr="00C6440C">
              <w:t>r</w:t>
            </w:r>
            <w:r w:rsidRPr="00093E8E">
              <w:t>i</w:t>
            </w:r>
            <w:r w:rsidRPr="00C6440C">
              <w:t>t</w:t>
            </w:r>
            <w:r w:rsidRPr="00093E8E">
              <w:t>y</w:t>
            </w:r>
            <w:r w:rsidRPr="00C6440C">
              <w:t xml:space="preserve"> Inf</w:t>
            </w:r>
            <w:r w:rsidRPr="00093E8E">
              <w:t>o</w:t>
            </w:r>
            <w:r w:rsidRPr="00C6440C">
              <w:t>r</w:t>
            </w:r>
            <w:r w:rsidRPr="00093E8E">
              <w:t>m</w:t>
            </w:r>
            <w:r w:rsidRPr="00C6440C">
              <w:t>a</w:t>
            </w:r>
            <w:r w:rsidRPr="00093E8E">
              <w:t>tion</w:t>
            </w:r>
            <w:r w:rsidR="006F49DA">
              <w:t xml:space="preserve"> </w:t>
            </w:r>
            <w:r w:rsidRPr="00093E8E">
              <w:t>A</w:t>
            </w:r>
            <w:r w:rsidRPr="00C6440C">
              <w:t>cce</w:t>
            </w:r>
            <w:r w:rsidRPr="00093E8E">
              <w:t>ss</w:t>
            </w:r>
          </w:p>
        </w:tc>
        <w:tc>
          <w:tcPr>
            <w:tcW w:w="3594" w:type="pct"/>
          </w:tcPr>
          <w:p w14:paraId="26B430FF" w14:textId="77777777" w:rsidR="00215226" w:rsidRPr="00093E8E" w:rsidRDefault="00215226" w:rsidP="00504C3A">
            <w:pPr>
              <w:pStyle w:val="Normal-TableText"/>
            </w:pPr>
            <w:r w:rsidRPr="00C6440C">
              <w:rPr>
                <w:rStyle w:val="Strong"/>
              </w:rPr>
              <w:t>Optional</w:t>
            </w:r>
          </w:p>
        </w:tc>
      </w:tr>
      <w:tr w:rsidR="00215226" w:rsidRPr="00093E8E" w14:paraId="6F5382A0" w14:textId="77777777" w:rsidTr="00504C3A">
        <w:trPr>
          <w:trHeight w:val="113"/>
        </w:trPr>
        <w:tc>
          <w:tcPr>
            <w:tcW w:w="1406" w:type="pct"/>
            <w:vMerge/>
          </w:tcPr>
          <w:p w14:paraId="4B54A13C" w14:textId="77777777" w:rsidR="00215226" w:rsidRPr="00093E8E" w:rsidRDefault="00215226" w:rsidP="00504C3A">
            <w:pPr>
              <w:pStyle w:val="Normal-TableText"/>
            </w:pPr>
          </w:p>
        </w:tc>
        <w:tc>
          <w:tcPr>
            <w:tcW w:w="3594" w:type="pct"/>
          </w:tcPr>
          <w:p w14:paraId="08BA54CA" w14:textId="77777777" w:rsidR="00215226" w:rsidRPr="00093E8E" w:rsidRDefault="00215226" w:rsidP="00504C3A">
            <w:pPr>
              <w:pStyle w:val="Normal-TableText"/>
            </w:pPr>
            <w:r w:rsidRPr="00093E8E">
              <w:t>id</w:t>
            </w:r>
            <w:r w:rsidRPr="00C6440C">
              <w:t>-a</w:t>
            </w:r>
            <w:r w:rsidRPr="00093E8E">
              <w:t>d</w:t>
            </w:r>
            <w:r w:rsidRPr="00C6440C">
              <w:t>-caI</w:t>
            </w:r>
            <w:r w:rsidRPr="00093E8E">
              <w:t>ssu</w:t>
            </w:r>
            <w:r w:rsidRPr="00C6440C">
              <w:t>er</w:t>
            </w:r>
            <w:r w:rsidRPr="00093E8E">
              <w:t>s</w:t>
            </w:r>
          </w:p>
        </w:tc>
      </w:tr>
      <w:tr w:rsidR="00215226" w:rsidRPr="00093E8E" w14:paraId="30E3D37C" w14:textId="77777777" w:rsidTr="00504C3A">
        <w:trPr>
          <w:trHeight w:val="113"/>
        </w:trPr>
        <w:tc>
          <w:tcPr>
            <w:tcW w:w="1406" w:type="pct"/>
            <w:vMerge/>
          </w:tcPr>
          <w:p w14:paraId="71C72BA2" w14:textId="77777777" w:rsidR="00215226" w:rsidRPr="00093E8E" w:rsidRDefault="00215226" w:rsidP="00504C3A">
            <w:pPr>
              <w:pStyle w:val="Normal-TableText"/>
            </w:pPr>
          </w:p>
        </w:tc>
        <w:tc>
          <w:tcPr>
            <w:tcW w:w="3594" w:type="pct"/>
          </w:tcPr>
          <w:p w14:paraId="00E1DB45" w14:textId="77777777" w:rsidR="00215226" w:rsidRPr="00093E8E" w:rsidRDefault="00215226" w:rsidP="00504C3A">
            <w:pPr>
              <w:pStyle w:val="Normal-TableText"/>
            </w:pPr>
            <w:r w:rsidRPr="00C6440C">
              <w:t>Pr</w:t>
            </w:r>
            <w:r w:rsidRPr="00093E8E">
              <w:t>im</w:t>
            </w:r>
            <w:r w:rsidRPr="00C6440C">
              <w:t>ar</w:t>
            </w:r>
            <w:r w:rsidRPr="00093E8E">
              <w:t>y</w:t>
            </w:r>
            <w:r w:rsidRPr="00C6440C">
              <w:t xml:space="preserve"> H</w:t>
            </w:r>
            <w:r w:rsidRPr="00093E8E">
              <w:t>TTP</w:t>
            </w:r>
            <w:r w:rsidRPr="00C6440C">
              <w:t xml:space="preserve"> </w:t>
            </w:r>
            <w:r w:rsidRPr="00093E8E">
              <w:t>U</w:t>
            </w:r>
            <w:r w:rsidRPr="00C6440C">
              <w:t>R</w:t>
            </w:r>
            <w:r w:rsidRPr="00093E8E">
              <w:t>I</w:t>
            </w:r>
            <w:r w:rsidRPr="00C6440C">
              <w:t xml:space="preserve"> man</w:t>
            </w:r>
            <w:r w:rsidRPr="00093E8E">
              <w:t>d</w:t>
            </w:r>
            <w:r w:rsidRPr="00C6440C">
              <w:t>a</w:t>
            </w:r>
            <w:r w:rsidRPr="00093E8E">
              <w:t>to</w:t>
            </w:r>
            <w:r w:rsidRPr="00C6440C">
              <w:t>r</w:t>
            </w:r>
            <w:r w:rsidRPr="00093E8E">
              <w:t>y</w:t>
            </w:r>
          </w:p>
          <w:p w14:paraId="73A58B74" w14:textId="77777777" w:rsidR="00215226" w:rsidRPr="00093E8E" w:rsidRDefault="00215226" w:rsidP="00504C3A">
            <w:pPr>
              <w:pStyle w:val="Normal-TableText"/>
            </w:pPr>
            <w:r w:rsidRPr="00C6440C">
              <w:t>Sec</w:t>
            </w:r>
            <w:r w:rsidRPr="00093E8E">
              <w:t>ond</w:t>
            </w:r>
            <w:r w:rsidRPr="00C6440C">
              <w:t>ar</w:t>
            </w:r>
            <w:r w:rsidRPr="00093E8E">
              <w:t>y</w:t>
            </w:r>
            <w:r w:rsidRPr="00C6440C">
              <w:t xml:space="preserve"> LD</w:t>
            </w:r>
            <w:r w:rsidRPr="00093E8E">
              <w:t>AP</w:t>
            </w:r>
            <w:r w:rsidRPr="00C6440C">
              <w:t xml:space="preserve"> </w:t>
            </w:r>
            <w:r w:rsidRPr="00093E8E">
              <w:t>U</w:t>
            </w:r>
            <w:r w:rsidRPr="00C6440C">
              <w:t>R</w:t>
            </w:r>
            <w:r w:rsidRPr="00093E8E">
              <w:t>I</w:t>
            </w:r>
            <w:r w:rsidRPr="00C6440C">
              <w:t xml:space="preserve"> o</w:t>
            </w:r>
            <w:r w:rsidRPr="00093E8E">
              <w:t>ption</w:t>
            </w:r>
            <w:r w:rsidRPr="00C6440C">
              <w:t>a</w:t>
            </w:r>
            <w:r w:rsidRPr="00093E8E">
              <w:t>l</w:t>
            </w:r>
          </w:p>
        </w:tc>
      </w:tr>
      <w:tr w:rsidR="00215226" w:rsidRPr="00093E8E" w14:paraId="02B64B82" w14:textId="77777777" w:rsidTr="00504C3A">
        <w:trPr>
          <w:trHeight w:val="113"/>
        </w:trPr>
        <w:tc>
          <w:tcPr>
            <w:tcW w:w="1406" w:type="pct"/>
            <w:vMerge/>
          </w:tcPr>
          <w:p w14:paraId="2F35021B" w14:textId="77777777" w:rsidR="00215226" w:rsidRPr="00093E8E" w:rsidRDefault="00215226" w:rsidP="00504C3A">
            <w:pPr>
              <w:pStyle w:val="Normal-TableText"/>
            </w:pPr>
          </w:p>
        </w:tc>
        <w:tc>
          <w:tcPr>
            <w:tcW w:w="3594" w:type="pct"/>
          </w:tcPr>
          <w:p w14:paraId="1F9E9948" w14:textId="77777777" w:rsidR="00215226" w:rsidRPr="00093E8E" w:rsidRDefault="00215226" w:rsidP="00504C3A">
            <w:pPr>
              <w:pStyle w:val="Normal-TableText"/>
            </w:pPr>
            <w:r w:rsidRPr="00093E8E">
              <w:t>id</w:t>
            </w:r>
            <w:r w:rsidRPr="00C6440C">
              <w:t>-a</w:t>
            </w:r>
            <w:r w:rsidRPr="00093E8E">
              <w:t>d</w:t>
            </w:r>
            <w:r w:rsidRPr="00C6440C">
              <w:t>-</w:t>
            </w:r>
            <w:r w:rsidRPr="00093E8E">
              <w:t>o</w:t>
            </w:r>
            <w:r w:rsidRPr="00C6440C">
              <w:t>c</w:t>
            </w:r>
            <w:r w:rsidRPr="00093E8E">
              <w:t>sp</w:t>
            </w:r>
          </w:p>
          <w:p w14:paraId="226B1FF9" w14:textId="77777777" w:rsidR="00215226" w:rsidRPr="00093E8E" w:rsidRDefault="00215226" w:rsidP="00504C3A">
            <w:pPr>
              <w:pStyle w:val="Normal-TableText"/>
              <w:rPr>
                <w:b/>
              </w:rPr>
            </w:pPr>
            <w:r w:rsidRPr="00C6440C">
              <w:rPr>
                <w:rStyle w:val="Strong"/>
              </w:rPr>
              <w:t>Optional</w:t>
            </w:r>
          </w:p>
        </w:tc>
      </w:tr>
      <w:tr w:rsidR="00215226" w:rsidRPr="00093E8E" w14:paraId="3F5389A4" w14:textId="77777777" w:rsidTr="00504C3A">
        <w:trPr>
          <w:trHeight w:val="113"/>
        </w:trPr>
        <w:tc>
          <w:tcPr>
            <w:tcW w:w="1406" w:type="pct"/>
            <w:vMerge w:val="restart"/>
          </w:tcPr>
          <w:p w14:paraId="267B689C" w14:textId="77777777" w:rsidR="00215226" w:rsidRPr="00093E8E" w:rsidRDefault="00215226" w:rsidP="00504C3A">
            <w:pPr>
              <w:pStyle w:val="Normal-TableText"/>
            </w:pPr>
            <w:r w:rsidRPr="00C6440C">
              <w:t>CR</w:t>
            </w:r>
            <w:r w:rsidRPr="00093E8E">
              <w:t>L</w:t>
            </w:r>
            <w:r w:rsidRPr="00C6440C">
              <w:t xml:space="preserve"> </w:t>
            </w:r>
            <w:r w:rsidRPr="00093E8E">
              <w:t>Dist</w:t>
            </w:r>
            <w:r w:rsidRPr="00C6440C">
              <w:t>r</w:t>
            </w:r>
            <w:r w:rsidRPr="00093E8E">
              <w:t xml:space="preserve">ibution </w:t>
            </w:r>
            <w:r w:rsidRPr="00C6440C">
              <w:t>P</w:t>
            </w:r>
            <w:r w:rsidRPr="00093E8E">
              <w:t>oints</w:t>
            </w:r>
          </w:p>
        </w:tc>
        <w:tc>
          <w:tcPr>
            <w:tcW w:w="3594" w:type="pct"/>
          </w:tcPr>
          <w:p w14:paraId="6768ECDB" w14:textId="77777777" w:rsidR="00215226" w:rsidRPr="00093E8E" w:rsidRDefault="00215226" w:rsidP="00504C3A">
            <w:pPr>
              <w:pStyle w:val="Normal-TableText"/>
            </w:pPr>
            <w:r w:rsidRPr="00C6440C">
              <w:rPr>
                <w:rStyle w:val="Strong"/>
              </w:rPr>
              <w:t>Required</w:t>
            </w:r>
          </w:p>
        </w:tc>
      </w:tr>
      <w:tr w:rsidR="00215226" w:rsidRPr="00093E8E" w14:paraId="66E6519A" w14:textId="77777777" w:rsidTr="00504C3A">
        <w:trPr>
          <w:trHeight w:val="113"/>
        </w:trPr>
        <w:tc>
          <w:tcPr>
            <w:tcW w:w="1406" w:type="pct"/>
            <w:vMerge/>
          </w:tcPr>
          <w:p w14:paraId="02D42AA1" w14:textId="77777777" w:rsidR="00215226" w:rsidRPr="00093E8E" w:rsidRDefault="00215226" w:rsidP="00504C3A">
            <w:pPr>
              <w:pStyle w:val="Normal-TableText"/>
            </w:pPr>
          </w:p>
        </w:tc>
        <w:tc>
          <w:tcPr>
            <w:tcW w:w="3594" w:type="pct"/>
          </w:tcPr>
          <w:p w14:paraId="207411FF" w14:textId="77777777" w:rsidR="00215226" w:rsidRPr="00093E8E" w:rsidRDefault="00215226" w:rsidP="00504C3A">
            <w:pPr>
              <w:pStyle w:val="Normal-TableText"/>
            </w:pPr>
            <w:r w:rsidRPr="00C6440C">
              <w:t>Pr</w:t>
            </w:r>
            <w:r w:rsidRPr="00093E8E">
              <w:t>im</w:t>
            </w:r>
            <w:r w:rsidRPr="00C6440C">
              <w:t>ar</w:t>
            </w:r>
            <w:r w:rsidRPr="00093E8E">
              <w:t>y</w:t>
            </w:r>
            <w:r w:rsidRPr="00C6440C">
              <w:t xml:space="preserve"> H</w:t>
            </w:r>
            <w:r w:rsidRPr="00093E8E">
              <w:t>TTP</w:t>
            </w:r>
            <w:r w:rsidRPr="00C6440C">
              <w:t xml:space="preserve"> </w:t>
            </w:r>
            <w:r w:rsidRPr="00093E8E">
              <w:t>U</w:t>
            </w:r>
            <w:r w:rsidRPr="00C6440C">
              <w:t>R</w:t>
            </w:r>
            <w:r w:rsidRPr="00093E8E">
              <w:t>I</w:t>
            </w:r>
            <w:r w:rsidRPr="00C6440C">
              <w:t xml:space="preserve"> man</w:t>
            </w:r>
            <w:r w:rsidRPr="00093E8E">
              <w:t>d</w:t>
            </w:r>
            <w:r w:rsidRPr="00C6440C">
              <w:t>a</w:t>
            </w:r>
            <w:r w:rsidRPr="00093E8E">
              <w:t>to</w:t>
            </w:r>
            <w:r w:rsidRPr="00C6440C">
              <w:t>r</w:t>
            </w:r>
            <w:r w:rsidRPr="00093E8E">
              <w:t>y</w:t>
            </w:r>
          </w:p>
          <w:p w14:paraId="1FE31D43" w14:textId="77777777" w:rsidR="00215226" w:rsidRPr="00093E8E" w:rsidRDefault="00215226" w:rsidP="00504C3A">
            <w:pPr>
              <w:pStyle w:val="Normal-TableText"/>
            </w:pPr>
            <w:r w:rsidRPr="00C6440C">
              <w:t>Sec</w:t>
            </w:r>
            <w:r w:rsidRPr="00093E8E">
              <w:t>ond</w:t>
            </w:r>
            <w:r w:rsidRPr="00C6440C">
              <w:t>ar</w:t>
            </w:r>
            <w:r w:rsidRPr="00093E8E">
              <w:t>y</w:t>
            </w:r>
            <w:r w:rsidRPr="00C6440C">
              <w:t xml:space="preserve"> LD</w:t>
            </w:r>
            <w:r w:rsidRPr="00093E8E">
              <w:t>AP</w:t>
            </w:r>
            <w:r w:rsidRPr="00C6440C">
              <w:t xml:space="preserve"> </w:t>
            </w:r>
            <w:r w:rsidRPr="00093E8E">
              <w:t>U</w:t>
            </w:r>
            <w:r w:rsidRPr="00C6440C">
              <w:t>R</w:t>
            </w:r>
            <w:r w:rsidRPr="00093E8E">
              <w:t>I</w:t>
            </w:r>
            <w:r w:rsidRPr="00C6440C">
              <w:t xml:space="preserve"> o</w:t>
            </w:r>
            <w:r w:rsidRPr="00093E8E">
              <w:t>ption</w:t>
            </w:r>
            <w:r w:rsidRPr="00C6440C">
              <w:t>a</w:t>
            </w:r>
            <w:r w:rsidRPr="00093E8E">
              <w:t>l</w:t>
            </w:r>
          </w:p>
        </w:tc>
      </w:tr>
      <w:tr w:rsidR="00215226" w:rsidRPr="00093E8E" w14:paraId="453002E1" w14:textId="77777777" w:rsidTr="00504C3A">
        <w:trPr>
          <w:trHeight w:val="113"/>
        </w:trPr>
        <w:tc>
          <w:tcPr>
            <w:tcW w:w="1406" w:type="pct"/>
            <w:vMerge w:val="restart"/>
          </w:tcPr>
          <w:p w14:paraId="2CD57EFA" w14:textId="77777777" w:rsidR="00215226" w:rsidRPr="00093E8E" w:rsidRDefault="00215226" w:rsidP="00504C3A">
            <w:pPr>
              <w:pStyle w:val="Normal-TableText"/>
            </w:pPr>
            <w:r w:rsidRPr="00C6440C">
              <w:t>S</w:t>
            </w:r>
            <w:r w:rsidRPr="00093E8E">
              <w:t>ubj</w:t>
            </w:r>
            <w:r w:rsidRPr="00C6440C">
              <w:t>ec</w:t>
            </w:r>
            <w:r w:rsidRPr="00093E8E">
              <w:t>t</w:t>
            </w:r>
            <w:r w:rsidRPr="00C6440C">
              <w:t xml:space="preserve"> Inf</w:t>
            </w:r>
            <w:r w:rsidRPr="00093E8E">
              <w:t>o</w:t>
            </w:r>
            <w:r w:rsidRPr="00C6440C">
              <w:t>r</w:t>
            </w:r>
            <w:r w:rsidRPr="00093E8E">
              <w:t>m</w:t>
            </w:r>
            <w:r w:rsidRPr="00C6440C">
              <w:t>a</w:t>
            </w:r>
            <w:r w:rsidRPr="00093E8E">
              <w:t>tion A</w:t>
            </w:r>
            <w:r w:rsidRPr="00C6440C">
              <w:t>cce</w:t>
            </w:r>
            <w:r w:rsidRPr="00093E8E">
              <w:t>ss</w:t>
            </w:r>
          </w:p>
        </w:tc>
        <w:tc>
          <w:tcPr>
            <w:tcW w:w="3594" w:type="pct"/>
          </w:tcPr>
          <w:p w14:paraId="1575043B" w14:textId="77777777" w:rsidR="00215226" w:rsidRPr="00093E8E" w:rsidRDefault="00215226" w:rsidP="00504C3A">
            <w:pPr>
              <w:pStyle w:val="Normal-TableText"/>
            </w:pPr>
            <w:r w:rsidRPr="00C6440C">
              <w:rPr>
                <w:rStyle w:val="Strong"/>
              </w:rPr>
              <w:t>Optional</w:t>
            </w:r>
          </w:p>
        </w:tc>
      </w:tr>
      <w:tr w:rsidR="00215226" w:rsidRPr="00093E8E" w14:paraId="1287E8C2" w14:textId="77777777" w:rsidTr="00504C3A">
        <w:trPr>
          <w:trHeight w:val="113"/>
        </w:trPr>
        <w:tc>
          <w:tcPr>
            <w:tcW w:w="1406" w:type="pct"/>
            <w:vMerge/>
          </w:tcPr>
          <w:p w14:paraId="5DEB5B76" w14:textId="77777777" w:rsidR="00215226" w:rsidRPr="00093E8E" w:rsidRDefault="00215226" w:rsidP="00504C3A">
            <w:pPr>
              <w:pStyle w:val="Normal-TableText"/>
            </w:pPr>
          </w:p>
        </w:tc>
        <w:tc>
          <w:tcPr>
            <w:tcW w:w="3594" w:type="pct"/>
          </w:tcPr>
          <w:p w14:paraId="2920A306" w14:textId="77777777" w:rsidR="00215226" w:rsidRPr="00093E8E" w:rsidRDefault="00215226" w:rsidP="00504C3A">
            <w:pPr>
              <w:pStyle w:val="Normal-TableText"/>
            </w:pPr>
            <w:r w:rsidRPr="00C6440C">
              <w:t>Id-a</w:t>
            </w:r>
            <w:r w:rsidRPr="00093E8E">
              <w:t>d</w:t>
            </w:r>
            <w:r w:rsidRPr="00C6440C">
              <w:t>-care</w:t>
            </w:r>
            <w:r w:rsidRPr="00093E8E">
              <w:t>posito</w:t>
            </w:r>
            <w:r w:rsidRPr="00C6440C">
              <w:t>r</w:t>
            </w:r>
            <w:r w:rsidRPr="00093E8E">
              <w:t>y</w:t>
            </w:r>
          </w:p>
          <w:p w14:paraId="641AD8E5" w14:textId="77777777" w:rsidR="00215226" w:rsidRPr="00093E8E" w:rsidRDefault="00215226" w:rsidP="00504C3A">
            <w:pPr>
              <w:pStyle w:val="Normal-TableText"/>
            </w:pPr>
            <w:r w:rsidRPr="00C6440C">
              <w:t>Pr</w:t>
            </w:r>
            <w:r w:rsidRPr="00093E8E">
              <w:t>im</w:t>
            </w:r>
            <w:r w:rsidRPr="00C6440C">
              <w:t>ar</w:t>
            </w:r>
            <w:r w:rsidRPr="00093E8E">
              <w:t>y</w:t>
            </w:r>
            <w:r w:rsidRPr="00C6440C">
              <w:t xml:space="preserve"> H</w:t>
            </w:r>
            <w:r w:rsidRPr="00093E8E">
              <w:t>TTP</w:t>
            </w:r>
            <w:r w:rsidRPr="00C6440C">
              <w:t xml:space="preserve"> </w:t>
            </w:r>
            <w:r w:rsidRPr="00093E8E">
              <w:t>U</w:t>
            </w:r>
            <w:r w:rsidRPr="00C6440C">
              <w:t>R</w:t>
            </w:r>
            <w:r w:rsidRPr="00093E8E">
              <w:t>I</w:t>
            </w:r>
            <w:r w:rsidRPr="00C6440C">
              <w:t xml:space="preserve"> man</w:t>
            </w:r>
            <w:r w:rsidRPr="00093E8E">
              <w:t>d</w:t>
            </w:r>
            <w:r w:rsidRPr="00C6440C">
              <w:t>a</w:t>
            </w:r>
            <w:r w:rsidRPr="00093E8E">
              <w:t>to</w:t>
            </w:r>
            <w:r w:rsidRPr="00C6440C">
              <w:t>r</w:t>
            </w:r>
            <w:r w:rsidRPr="00093E8E">
              <w:t>y</w:t>
            </w:r>
            <w:r w:rsidRPr="00C6440C">
              <w:t xml:space="preserve"> i</w:t>
            </w:r>
            <w:r w:rsidRPr="00093E8E">
              <w:t>f</w:t>
            </w:r>
            <w:r w:rsidRPr="00C6440C">
              <w:t xml:space="preserve"> ex</w:t>
            </w:r>
            <w:r w:rsidRPr="00093E8E">
              <w:t>t</w:t>
            </w:r>
            <w:r w:rsidRPr="00C6440C">
              <w:t>e</w:t>
            </w:r>
            <w:r w:rsidRPr="00093E8E">
              <w:t>nsion is p</w:t>
            </w:r>
            <w:r w:rsidRPr="00C6440C">
              <w:t>re</w:t>
            </w:r>
            <w:r w:rsidRPr="00093E8E">
              <w:t>s</w:t>
            </w:r>
            <w:r w:rsidRPr="00C6440C">
              <w:t>e</w:t>
            </w:r>
            <w:r w:rsidRPr="00093E8E">
              <w:t>nt</w:t>
            </w:r>
          </w:p>
          <w:p w14:paraId="74FFC079" w14:textId="77777777" w:rsidR="00215226" w:rsidRPr="00093E8E" w:rsidRDefault="00215226" w:rsidP="00504C3A">
            <w:pPr>
              <w:pStyle w:val="Normal-TableText"/>
            </w:pPr>
            <w:r w:rsidRPr="00C6440C">
              <w:t>Sec</w:t>
            </w:r>
            <w:r w:rsidRPr="00093E8E">
              <w:t>ond</w:t>
            </w:r>
            <w:r w:rsidRPr="00C6440C">
              <w:t>ar</w:t>
            </w:r>
            <w:r w:rsidRPr="00093E8E">
              <w:t>y</w:t>
            </w:r>
            <w:r w:rsidRPr="00C6440C">
              <w:t xml:space="preserve"> LD</w:t>
            </w:r>
            <w:r w:rsidRPr="00093E8E">
              <w:t>AP</w:t>
            </w:r>
            <w:r w:rsidRPr="00C6440C">
              <w:t xml:space="preserve"> </w:t>
            </w:r>
            <w:r w:rsidRPr="00093E8E">
              <w:t>U</w:t>
            </w:r>
            <w:r w:rsidRPr="00C6440C">
              <w:t>R</w:t>
            </w:r>
            <w:r w:rsidRPr="00093E8E">
              <w:t>I</w:t>
            </w:r>
            <w:r w:rsidRPr="00C6440C">
              <w:t xml:space="preserve"> o</w:t>
            </w:r>
            <w:r w:rsidRPr="00093E8E">
              <w:t>ption</w:t>
            </w:r>
            <w:r w:rsidRPr="00C6440C">
              <w:t>a</w:t>
            </w:r>
            <w:r w:rsidRPr="00093E8E">
              <w:t>l</w:t>
            </w:r>
          </w:p>
        </w:tc>
      </w:tr>
      <w:tr w:rsidR="00215226" w:rsidRPr="00093E8E" w14:paraId="3FD1AA23" w14:textId="77777777" w:rsidTr="00504C3A">
        <w:trPr>
          <w:trHeight w:val="113"/>
        </w:trPr>
        <w:tc>
          <w:tcPr>
            <w:tcW w:w="1406" w:type="pct"/>
          </w:tcPr>
          <w:p w14:paraId="02F90544" w14:textId="77777777" w:rsidR="00215226" w:rsidRPr="00093E8E" w:rsidRDefault="00215226" w:rsidP="00504C3A">
            <w:pPr>
              <w:pStyle w:val="Normal-TableText"/>
            </w:pPr>
            <w:r w:rsidRPr="00C6440C">
              <w:t>Fre</w:t>
            </w:r>
            <w:r w:rsidRPr="00093E8E">
              <w:t>s</w:t>
            </w:r>
            <w:r w:rsidRPr="00C6440C">
              <w:t>he</w:t>
            </w:r>
            <w:r w:rsidRPr="00093E8E">
              <w:t xml:space="preserve">st </w:t>
            </w:r>
            <w:r w:rsidRPr="00C6440C">
              <w:t>CR</w:t>
            </w:r>
            <w:r w:rsidRPr="00093E8E">
              <w:t>L</w:t>
            </w:r>
          </w:p>
        </w:tc>
        <w:tc>
          <w:tcPr>
            <w:tcW w:w="3594" w:type="pct"/>
          </w:tcPr>
          <w:p w14:paraId="264BAA51" w14:textId="77777777" w:rsidR="00215226" w:rsidRPr="00093E8E" w:rsidRDefault="00215226" w:rsidP="00504C3A">
            <w:pPr>
              <w:pStyle w:val="Normal-TableText"/>
            </w:pPr>
            <w:r w:rsidRPr="00C6440C">
              <w:rPr>
                <w:rStyle w:val="Strong"/>
              </w:rPr>
              <w:t>Not Used</w:t>
            </w:r>
          </w:p>
        </w:tc>
      </w:tr>
    </w:tbl>
    <w:p w14:paraId="6978E0D8" w14:textId="77777777" w:rsidR="00215226" w:rsidRDefault="00215226" w:rsidP="006F49DA"/>
    <w:p w14:paraId="5D56C065" w14:textId="77777777" w:rsidR="006F49DA" w:rsidRDefault="006F49DA" w:rsidP="006F49DA">
      <w:r>
        <w:br w:type="page"/>
      </w:r>
    </w:p>
    <w:p w14:paraId="641FBB2E" w14:textId="77777777" w:rsidR="00215226" w:rsidRPr="00093E8E" w:rsidRDefault="00215226" w:rsidP="006F49DA">
      <w:pPr>
        <w:pStyle w:val="Heading2"/>
      </w:pPr>
      <w:bookmarkStart w:id="365" w:name="_Toc430268965"/>
      <w:r w:rsidRPr="00093E8E">
        <w:lastRenderedPageBreak/>
        <w:t>Subscriber Certificate</w:t>
      </w:r>
      <w:bookmarkEnd w:id="365"/>
    </w:p>
    <w:tbl>
      <w:tblPr>
        <w:tblStyle w:val="DTOTable1"/>
        <w:tblW w:w="5006" w:type="pct"/>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551"/>
        <w:gridCol w:w="6520"/>
      </w:tblGrid>
      <w:tr w:rsidR="00215226" w:rsidRPr="00093E8E" w14:paraId="1ED0869C" w14:textId="77777777" w:rsidTr="00504C3A">
        <w:trPr>
          <w:cnfStyle w:val="100000000000" w:firstRow="1" w:lastRow="0" w:firstColumn="0" w:lastColumn="0" w:oddVBand="0" w:evenVBand="0" w:oddHBand="0" w:evenHBand="0" w:firstRowFirstColumn="0" w:firstRowLastColumn="0" w:lastRowFirstColumn="0" w:lastRowLastColumn="0"/>
          <w:trHeight w:val="113"/>
          <w:tblHeader/>
        </w:trPr>
        <w:tc>
          <w:tcPr>
            <w:tcW w:w="1406" w:type="pct"/>
          </w:tcPr>
          <w:p w14:paraId="305CC168" w14:textId="77777777" w:rsidR="00215226" w:rsidRPr="00093E8E" w:rsidRDefault="00215226" w:rsidP="00504C3A">
            <w:pPr>
              <w:pStyle w:val="Normal-TableText"/>
            </w:pPr>
            <w:r w:rsidRPr="00C6440C">
              <w:rPr>
                <w:rStyle w:val="Strong"/>
              </w:rPr>
              <w:t>F</w:t>
            </w:r>
            <w:r w:rsidRPr="00093E8E">
              <w:t>i</w:t>
            </w:r>
            <w:r w:rsidRPr="00C6440C">
              <w:rPr>
                <w:rStyle w:val="Strong"/>
              </w:rPr>
              <w:t>e</w:t>
            </w:r>
            <w:r w:rsidRPr="00093E8E">
              <w:t>l</w:t>
            </w:r>
            <w:r w:rsidRPr="00C6440C">
              <w:rPr>
                <w:rStyle w:val="Strong"/>
              </w:rPr>
              <w:t>d</w:t>
            </w:r>
            <w:r w:rsidRPr="00093E8E">
              <w:t xml:space="preserve">/ </w:t>
            </w:r>
            <w:r w:rsidRPr="00C6440C">
              <w:rPr>
                <w:rStyle w:val="Strong"/>
              </w:rPr>
              <w:t>E</w:t>
            </w:r>
            <w:r w:rsidRPr="00093E8E">
              <w:t>x</w:t>
            </w:r>
            <w:r w:rsidRPr="00C6440C">
              <w:rPr>
                <w:rStyle w:val="Strong"/>
              </w:rPr>
              <w:t>ten</w:t>
            </w:r>
            <w:r w:rsidRPr="00093E8E">
              <w:t>sion</w:t>
            </w:r>
          </w:p>
        </w:tc>
        <w:tc>
          <w:tcPr>
            <w:tcW w:w="3594" w:type="pct"/>
          </w:tcPr>
          <w:p w14:paraId="7174899F" w14:textId="77777777" w:rsidR="00215226" w:rsidRPr="00C6440C" w:rsidRDefault="00215226" w:rsidP="00504C3A">
            <w:pPr>
              <w:pStyle w:val="Normal-TableText"/>
              <w:rPr>
                <w:rStyle w:val="Strong"/>
              </w:rPr>
            </w:pPr>
            <w:r w:rsidRPr="00C6440C">
              <w:rPr>
                <w:rStyle w:val="Strong"/>
              </w:rPr>
              <w:t>Subscriber Certificate</w:t>
            </w:r>
          </w:p>
        </w:tc>
      </w:tr>
      <w:tr w:rsidR="00215226" w:rsidRPr="00093E8E" w14:paraId="43DA4287" w14:textId="77777777" w:rsidTr="00504C3A">
        <w:trPr>
          <w:trHeight w:val="113"/>
        </w:trPr>
        <w:tc>
          <w:tcPr>
            <w:tcW w:w="1406" w:type="pct"/>
            <w:vMerge w:val="restart"/>
          </w:tcPr>
          <w:p w14:paraId="40C8CD3D" w14:textId="77777777" w:rsidR="00215226" w:rsidRPr="00093E8E" w:rsidRDefault="00215226" w:rsidP="00504C3A">
            <w:pPr>
              <w:pStyle w:val="Normal-TableText"/>
            </w:pPr>
            <w:r w:rsidRPr="00093E8E">
              <w:t>V</w:t>
            </w:r>
            <w:r w:rsidRPr="00C6440C">
              <w:t>er</w:t>
            </w:r>
            <w:r w:rsidRPr="00093E8E">
              <w:t>sion</w:t>
            </w:r>
          </w:p>
        </w:tc>
        <w:tc>
          <w:tcPr>
            <w:tcW w:w="3594" w:type="pct"/>
          </w:tcPr>
          <w:p w14:paraId="72766A55" w14:textId="77777777" w:rsidR="00215226" w:rsidRPr="00093E8E" w:rsidRDefault="00215226" w:rsidP="00504C3A">
            <w:pPr>
              <w:pStyle w:val="Normal-TableText"/>
            </w:pPr>
            <w:r w:rsidRPr="00C6440C">
              <w:rPr>
                <w:rStyle w:val="Strong"/>
              </w:rPr>
              <w:t>Required</w:t>
            </w:r>
          </w:p>
        </w:tc>
      </w:tr>
      <w:tr w:rsidR="00215226" w:rsidRPr="00093E8E" w14:paraId="2B04B23B" w14:textId="77777777" w:rsidTr="00504C3A">
        <w:trPr>
          <w:trHeight w:val="113"/>
        </w:trPr>
        <w:tc>
          <w:tcPr>
            <w:tcW w:w="1406" w:type="pct"/>
            <w:vMerge/>
          </w:tcPr>
          <w:p w14:paraId="2737146E" w14:textId="77777777" w:rsidR="00215226" w:rsidRPr="00093E8E" w:rsidRDefault="00215226" w:rsidP="00504C3A">
            <w:pPr>
              <w:pStyle w:val="Normal-TableText"/>
            </w:pPr>
          </w:p>
        </w:tc>
        <w:tc>
          <w:tcPr>
            <w:tcW w:w="3594" w:type="pct"/>
          </w:tcPr>
          <w:p w14:paraId="07177C35" w14:textId="77777777" w:rsidR="00215226" w:rsidRPr="00093E8E" w:rsidRDefault="00215226" w:rsidP="00504C3A">
            <w:pPr>
              <w:pStyle w:val="Normal-TableText"/>
            </w:pPr>
            <w:r w:rsidRPr="00093E8E">
              <w:t xml:space="preserve">V3 </w:t>
            </w:r>
            <w:r w:rsidRPr="00C6440C">
              <w:t>(</w:t>
            </w:r>
            <w:r w:rsidRPr="00093E8E">
              <w:t>2)</w:t>
            </w:r>
          </w:p>
        </w:tc>
      </w:tr>
      <w:tr w:rsidR="00215226" w:rsidRPr="00093E8E" w14:paraId="076E0B63" w14:textId="77777777" w:rsidTr="00504C3A">
        <w:trPr>
          <w:trHeight w:val="113"/>
        </w:trPr>
        <w:tc>
          <w:tcPr>
            <w:tcW w:w="1406" w:type="pct"/>
            <w:vMerge w:val="restart"/>
          </w:tcPr>
          <w:p w14:paraId="6E364504" w14:textId="77777777" w:rsidR="00215226" w:rsidRPr="00093E8E" w:rsidRDefault="00215226" w:rsidP="00504C3A">
            <w:pPr>
              <w:pStyle w:val="Normal-TableText"/>
            </w:pPr>
            <w:r w:rsidRPr="00C6440C">
              <w:t>Ser</w:t>
            </w:r>
            <w:r w:rsidRPr="00093E8E">
              <w:t>i</w:t>
            </w:r>
            <w:r w:rsidRPr="00C6440C">
              <w:t>a</w:t>
            </w:r>
            <w:r w:rsidRPr="00093E8E">
              <w:t>l Numb</w:t>
            </w:r>
            <w:r w:rsidRPr="00C6440C">
              <w:t>er</w:t>
            </w:r>
          </w:p>
        </w:tc>
        <w:tc>
          <w:tcPr>
            <w:tcW w:w="3594" w:type="pct"/>
          </w:tcPr>
          <w:p w14:paraId="3302A483" w14:textId="77777777" w:rsidR="00215226" w:rsidRPr="00093E8E" w:rsidRDefault="00215226" w:rsidP="00504C3A">
            <w:pPr>
              <w:pStyle w:val="Normal-TableText"/>
            </w:pPr>
            <w:r w:rsidRPr="00C6440C">
              <w:rPr>
                <w:rStyle w:val="Strong"/>
              </w:rPr>
              <w:t>Required</w:t>
            </w:r>
          </w:p>
        </w:tc>
      </w:tr>
      <w:tr w:rsidR="00215226" w:rsidRPr="00093E8E" w14:paraId="24F28DCD" w14:textId="77777777" w:rsidTr="00504C3A">
        <w:trPr>
          <w:trHeight w:val="113"/>
        </w:trPr>
        <w:tc>
          <w:tcPr>
            <w:tcW w:w="1406" w:type="pct"/>
            <w:vMerge/>
          </w:tcPr>
          <w:p w14:paraId="23B7879E" w14:textId="77777777" w:rsidR="00215226" w:rsidRPr="00093E8E" w:rsidRDefault="00215226" w:rsidP="00504C3A">
            <w:pPr>
              <w:pStyle w:val="Normal-TableText"/>
            </w:pPr>
          </w:p>
        </w:tc>
        <w:tc>
          <w:tcPr>
            <w:tcW w:w="3594" w:type="pct"/>
          </w:tcPr>
          <w:p w14:paraId="52DA8A25" w14:textId="77777777" w:rsidR="00215226" w:rsidRPr="00093E8E" w:rsidRDefault="00215226" w:rsidP="00504C3A">
            <w:pPr>
              <w:pStyle w:val="Normal-TableText"/>
            </w:pPr>
            <w:r w:rsidRPr="00093E8E">
              <w:t xml:space="preserve">Must </w:t>
            </w:r>
            <w:r w:rsidRPr="00C6440C">
              <w:t>b</w:t>
            </w:r>
            <w:r w:rsidRPr="00093E8E">
              <w:t>e</w:t>
            </w:r>
            <w:r w:rsidRPr="00C6440C">
              <w:t xml:space="preserve"> </w:t>
            </w:r>
            <w:r w:rsidRPr="00093E8E">
              <w:t>unique</w:t>
            </w:r>
            <w:r w:rsidRPr="00C6440C">
              <w:t xml:space="preserve"> to an I</w:t>
            </w:r>
            <w:r w:rsidRPr="00093E8E">
              <w:t>ssu</w:t>
            </w:r>
            <w:r w:rsidRPr="00C6440C">
              <w:t>e</w:t>
            </w:r>
            <w:r w:rsidRPr="00093E8E">
              <w:t>r</w:t>
            </w:r>
          </w:p>
        </w:tc>
      </w:tr>
      <w:tr w:rsidR="00215226" w:rsidRPr="00093E8E" w14:paraId="07E161A7" w14:textId="77777777" w:rsidTr="00504C3A">
        <w:trPr>
          <w:trHeight w:val="113"/>
        </w:trPr>
        <w:tc>
          <w:tcPr>
            <w:tcW w:w="1406" w:type="pct"/>
            <w:vMerge w:val="restart"/>
          </w:tcPr>
          <w:p w14:paraId="0836BB95" w14:textId="77777777" w:rsidR="00215226" w:rsidRPr="00093E8E" w:rsidRDefault="00215226" w:rsidP="00504C3A">
            <w:pPr>
              <w:pStyle w:val="Normal-TableText"/>
            </w:pPr>
            <w:r w:rsidRPr="00C6440C">
              <w:t>I</w:t>
            </w:r>
            <w:r w:rsidRPr="00093E8E">
              <w:t>ss</w:t>
            </w:r>
            <w:r w:rsidRPr="00C6440C">
              <w:t>ue</w:t>
            </w:r>
            <w:r w:rsidRPr="00093E8E">
              <w:t>r</w:t>
            </w:r>
            <w:r w:rsidRPr="00C6440C">
              <w:t xml:space="preserve"> S</w:t>
            </w:r>
            <w:r w:rsidRPr="00093E8E">
              <w:t>i</w:t>
            </w:r>
            <w:r w:rsidRPr="00C6440C">
              <w:t>gna</w:t>
            </w:r>
            <w:r w:rsidRPr="00093E8E">
              <w:t>tu</w:t>
            </w:r>
            <w:r w:rsidRPr="00C6440C">
              <w:t>r</w:t>
            </w:r>
            <w:r w:rsidRPr="00093E8E">
              <w:t>e</w:t>
            </w:r>
            <w:r w:rsidRPr="00C6440C">
              <w:t xml:space="preserve"> </w:t>
            </w:r>
            <w:r w:rsidRPr="00093E8E">
              <w:t>A</w:t>
            </w:r>
            <w:r w:rsidRPr="00C6440C">
              <w:t>lg</w:t>
            </w:r>
            <w:r w:rsidRPr="00093E8E">
              <w:t>o</w:t>
            </w:r>
            <w:r w:rsidRPr="00C6440C">
              <w:t>r</w:t>
            </w:r>
            <w:r w:rsidRPr="00093E8E">
              <w:t>it</w:t>
            </w:r>
            <w:r w:rsidRPr="00C6440C">
              <w:t>h</w:t>
            </w:r>
            <w:r w:rsidRPr="00093E8E">
              <w:t>m</w:t>
            </w:r>
          </w:p>
        </w:tc>
        <w:tc>
          <w:tcPr>
            <w:tcW w:w="3594" w:type="pct"/>
          </w:tcPr>
          <w:p w14:paraId="36C6E8E5" w14:textId="77777777" w:rsidR="00215226" w:rsidRPr="00093E8E" w:rsidRDefault="00215226" w:rsidP="00504C3A">
            <w:pPr>
              <w:pStyle w:val="Normal-TableText"/>
            </w:pPr>
            <w:r w:rsidRPr="00C6440C">
              <w:rPr>
                <w:rStyle w:val="Strong"/>
              </w:rPr>
              <w:t>Required</w:t>
            </w:r>
          </w:p>
        </w:tc>
      </w:tr>
      <w:tr w:rsidR="00215226" w:rsidRPr="00093E8E" w14:paraId="7C6D2F1D" w14:textId="77777777" w:rsidTr="00504C3A">
        <w:trPr>
          <w:trHeight w:val="113"/>
        </w:trPr>
        <w:tc>
          <w:tcPr>
            <w:tcW w:w="1406" w:type="pct"/>
            <w:vMerge/>
          </w:tcPr>
          <w:p w14:paraId="6C6BE994" w14:textId="77777777" w:rsidR="00215226" w:rsidRPr="00093E8E" w:rsidRDefault="00215226" w:rsidP="00504C3A">
            <w:pPr>
              <w:pStyle w:val="Normal-TableText"/>
            </w:pPr>
          </w:p>
        </w:tc>
        <w:tc>
          <w:tcPr>
            <w:tcW w:w="3594" w:type="pct"/>
          </w:tcPr>
          <w:p w14:paraId="02ECCF86" w14:textId="77777777" w:rsidR="00215226" w:rsidRPr="00093E8E" w:rsidRDefault="00215226" w:rsidP="00504C3A">
            <w:pPr>
              <w:pStyle w:val="Bullet1"/>
            </w:pPr>
            <w:r w:rsidRPr="00093E8E">
              <w:t>sh</w:t>
            </w:r>
            <w:r w:rsidRPr="00D825A0">
              <w:t>a</w:t>
            </w:r>
            <w:r w:rsidRPr="00093E8E">
              <w:t>256</w:t>
            </w:r>
            <w:r w:rsidRPr="00D825A0">
              <w:t>W</w:t>
            </w:r>
            <w:r w:rsidRPr="00093E8E">
              <w:t>ith</w:t>
            </w:r>
            <w:r w:rsidRPr="00D825A0">
              <w:t>RS</w:t>
            </w:r>
            <w:r w:rsidRPr="00093E8E">
              <w:t>AEn</w:t>
            </w:r>
            <w:r w:rsidRPr="00D825A0">
              <w:t>cry</w:t>
            </w:r>
            <w:r w:rsidRPr="00093E8E">
              <w:t>ption {1 2 840 113549 1 1 11}</w:t>
            </w:r>
          </w:p>
          <w:p w14:paraId="51E20BCA" w14:textId="77777777" w:rsidR="00215226" w:rsidRPr="00093E8E" w:rsidRDefault="00215226" w:rsidP="00504C3A">
            <w:pPr>
              <w:pStyle w:val="Normal-TableText"/>
            </w:pPr>
            <w:r w:rsidRPr="00093E8E">
              <w:t>Or</w:t>
            </w:r>
            <w:r w:rsidRPr="00C6440C">
              <w:t xml:space="preserve"> </w:t>
            </w:r>
            <w:r w:rsidRPr="00093E8E">
              <w:t>one</w:t>
            </w:r>
            <w:r w:rsidRPr="00C6440C">
              <w:t xml:space="preserve"> </w:t>
            </w:r>
            <w:r w:rsidRPr="00093E8E">
              <w:t>of</w:t>
            </w:r>
            <w:r w:rsidRPr="00C6440C">
              <w:t xml:space="preserve"> </w:t>
            </w:r>
            <w:r w:rsidRPr="00093E8E">
              <w:t>the</w:t>
            </w:r>
            <w:r w:rsidRPr="00C6440C">
              <w:t xml:space="preserve"> f</w:t>
            </w:r>
            <w:r w:rsidRPr="00093E8E">
              <w:t>ollowing</w:t>
            </w:r>
            <w:r w:rsidRPr="00C6440C">
              <w:t xml:space="preserve"> s</w:t>
            </w:r>
            <w:r w:rsidRPr="00093E8E">
              <w:t>i</w:t>
            </w:r>
            <w:r w:rsidRPr="00C6440C">
              <w:t>g</w:t>
            </w:r>
            <w:r w:rsidRPr="00093E8E">
              <w:t>n</w:t>
            </w:r>
            <w:r w:rsidRPr="00C6440C">
              <w:t>a</w:t>
            </w:r>
            <w:r w:rsidRPr="00093E8E">
              <w:t>tu</w:t>
            </w:r>
            <w:r w:rsidRPr="00C6440C">
              <w:t>r</w:t>
            </w:r>
            <w:r w:rsidRPr="00093E8E">
              <w:t>e</w:t>
            </w:r>
            <w:r w:rsidRPr="00C6440C">
              <w:t xml:space="preserve"> alg</w:t>
            </w:r>
            <w:r w:rsidRPr="00093E8E">
              <w:t>o</w:t>
            </w:r>
            <w:r w:rsidRPr="00C6440C">
              <w:t>r</w:t>
            </w:r>
            <w:r w:rsidRPr="00093E8E">
              <w:t>ithms:</w:t>
            </w:r>
          </w:p>
          <w:p w14:paraId="67EB227E" w14:textId="77777777" w:rsidR="00215226" w:rsidRPr="00093E8E" w:rsidRDefault="00215226" w:rsidP="00504C3A">
            <w:pPr>
              <w:pStyle w:val="Bullet1"/>
            </w:pPr>
            <w:r w:rsidRPr="00093E8E">
              <w:t>sha224WithRSAEncryption {1 2 840 113549 1 1 14}</w:t>
            </w:r>
          </w:p>
          <w:p w14:paraId="42973203" w14:textId="77777777" w:rsidR="00215226" w:rsidRPr="00093E8E" w:rsidRDefault="00215226" w:rsidP="00504C3A">
            <w:pPr>
              <w:pStyle w:val="Bullet1"/>
            </w:pPr>
            <w:r w:rsidRPr="00093E8E">
              <w:t>sh</w:t>
            </w:r>
            <w:r w:rsidRPr="00D825A0">
              <w:t>a</w:t>
            </w:r>
            <w:r w:rsidRPr="00093E8E">
              <w:t>384</w:t>
            </w:r>
            <w:r w:rsidRPr="00D825A0">
              <w:t>W</w:t>
            </w:r>
            <w:r w:rsidRPr="00093E8E">
              <w:t>ith</w:t>
            </w:r>
            <w:r w:rsidRPr="00D825A0">
              <w:t>RS</w:t>
            </w:r>
            <w:r w:rsidRPr="00093E8E">
              <w:t>AEn</w:t>
            </w:r>
            <w:r w:rsidRPr="00D825A0">
              <w:t>cry</w:t>
            </w:r>
            <w:r w:rsidRPr="00093E8E">
              <w:t>ption {1 2 840 113549 1 1 12}</w:t>
            </w:r>
          </w:p>
          <w:p w14:paraId="3D6668B1" w14:textId="77777777" w:rsidR="00215226" w:rsidRPr="00093E8E" w:rsidRDefault="00215226" w:rsidP="00504C3A">
            <w:pPr>
              <w:pStyle w:val="Bullet1"/>
            </w:pPr>
            <w:r w:rsidRPr="00093E8E">
              <w:t>sh</w:t>
            </w:r>
            <w:r w:rsidRPr="00D825A0">
              <w:t>a</w:t>
            </w:r>
            <w:r w:rsidRPr="00093E8E">
              <w:t>512</w:t>
            </w:r>
            <w:r w:rsidRPr="00D825A0">
              <w:t>W</w:t>
            </w:r>
            <w:r w:rsidRPr="00093E8E">
              <w:t>ith</w:t>
            </w:r>
            <w:r w:rsidRPr="00D825A0">
              <w:t>RS</w:t>
            </w:r>
            <w:r w:rsidRPr="00093E8E">
              <w:t>AEn</w:t>
            </w:r>
            <w:r w:rsidRPr="00D825A0">
              <w:t>cry</w:t>
            </w:r>
            <w:r w:rsidRPr="00093E8E">
              <w:t>ption {1 2 840 113549 1 1 13}</w:t>
            </w:r>
          </w:p>
          <w:p w14:paraId="1CCB32B5" w14:textId="77777777" w:rsidR="00215226" w:rsidRPr="00093E8E" w:rsidRDefault="00215226" w:rsidP="00504C3A">
            <w:pPr>
              <w:pStyle w:val="Bullet1"/>
            </w:pPr>
            <w:r w:rsidRPr="00D825A0">
              <w:t>ec</w:t>
            </w:r>
            <w:r w:rsidRPr="00093E8E">
              <w:t>ds</w:t>
            </w:r>
            <w:r w:rsidRPr="00D825A0">
              <w:t>a-</w:t>
            </w:r>
            <w:r w:rsidRPr="00093E8E">
              <w:t>with</w:t>
            </w:r>
            <w:r w:rsidRPr="00D825A0">
              <w:t>-S</w:t>
            </w:r>
            <w:r w:rsidRPr="00093E8E">
              <w:t xml:space="preserve">HA1 {1 2 </w:t>
            </w:r>
            <w:r w:rsidRPr="00D825A0">
              <w:t>8</w:t>
            </w:r>
            <w:r w:rsidRPr="00093E8E">
              <w:t>40 10045 4 1}</w:t>
            </w:r>
          </w:p>
          <w:p w14:paraId="3A650C84" w14:textId="77777777" w:rsidR="00215226" w:rsidRPr="00093E8E" w:rsidRDefault="00215226" w:rsidP="00504C3A">
            <w:pPr>
              <w:pStyle w:val="Bullet1"/>
            </w:pPr>
            <w:r w:rsidRPr="00D825A0">
              <w:t>ec</w:t>
            </w:r>
            <w:r w:rsidRPr="00093E8E">
              <w:t>ds</w:t>
            </w:r>
            <w:r w:rsidRPr="00D825A0">
              <w:t>a-</w:t>
            </w:r>
            <w:r w:rsidRPr="00093E8E">
              <w:t>with</w:t>
            </w:r>
            <w:r w:rsidRPr="00D825A0">
              <w:t>-S</w:t>
            </w:r>
            <w:r w:rsidRPr="00093E8E">
              <w:t>HA256 {1 2</w:t>
            </w:r>
            <w:r w:rsidRPr="00D825A0">
              <w:t xml:space="preserve"> </w:t>
            </w:r>
            <w:r w:rsidRPr="00093E8E">
              <w:t>840 10045 4 3 2}</w:t>
            </w:r>
          </w:p>
          <w:p w14:paraId="519DF7B9" w14:textId="77777777" w:rsidR="00215226" w:rsidRPr="00093E8E" w:rsidRDefault="00215226" w:rsidP="00504C3A">
            <w:pPr>
              <w:pStyle w:val="Bullet1"/>
            </w:pPr>
            <w:r w:rsidRPr="00D825A0">
              <w:t>ec</w:t>
            </w:r>
            <w:r w:rsidRPr="00093E8E">
              <w:t>ds</w:t>
            </w:r>
            <w:r w:rsidRPr="00D825A0">
              <w:t>a-</w:t>
            </w:r>
            <w:r w:rsidRPr="00093E8E">
              <w:t>with</w:t>
            </w:r>
            <w:r w:rsidRPr="00D825A0">
              <w:t>-S</w:t>
            </w:r>
            <w:r w:rsidRPr="00093E8E">
              <w:t>HA384 {1 2</w:t>
            </w:r>
            <w:r w:rsidRPr="00D825A0">
              <w:t xml:space="preserve"> </w:t>
            </w:r>
            <w:r w:rsidRPr="00093E8E">
              <w:t>840 10045 4 3 3}</w:t>
            </w:r>
          </w:p>
          <w:p w14:paraId="343550E5" w14:textId="77777777" w:rsidR="00215226" w:rsidRPr="00093E8E" w:rsidRDefault="00215226" w:rsidP="00504C3A">
            <w:pPr>
              <w:pStyle w:val="Bullet1"/>
            </w:pPr>
            <w:r w:rsidRPr="00D825A0">
              <w:t>ec</w:t>
            </w:r>
            <w:r w:rsidRPr="00093E8E">
              <w:t>ds</w:t>
            </w:r>
            <w:r w:rsidRPr="00D825A0">
              <w:t>a-</w:t>
            </w:r>
            <w:r w:rsidRPr="00093E8E">
              <w:t>with</w:t>
            </w:r>
            <w:r w:rsidRPr="00D825A0">
              <w:t>-S</w:t>
            </w:r>
            <w:r w:rsidRPr="00093E8E">
              <w:t>HA512 {1 2</w:t>
            </w:r>
            <w:r w:rsidRPr="00D825A0">
              <w:t xml:space="preserve"> </w:t>
            </w:r>
            <w:r w:rsidRPr="00093E8E">
              <w:t>840 10045 4</w:t>
            </w:r>
            <w:r>
              <w:t xml:space="preserve"> </w:t>
            </w:r>
            <w:r w:rsidRPr="00093E8E">
              <w:t>3 4}</w:t>
            </w:r>
          </w:p>
        </w:tc>
      </w:tr>
      <w:tr w:rsidR="00215226" w:rsidRPr="00093E8E" w14:paraId="15A2B264" w14:textId="77777777" w:rsidTr="00504C3A">
        <w:trPr>
          <w:trHeight w:val="113"/>
        </w:trPr>
        <w:tc>
          <w:tcPr>
            <w:tcW w:w="1406" w:type="pct"/>
            <w:vMerge w:val="restart"/>
          </w:tcPr>
          <w:p w14:paraId="03B56825" w14:textId="77777777" w:rsidR="00215226" w:rsidRPr="00093E8E" w:rsidRDefault="00215226" w:rsidP="00504C3A">
            <w:pPr>
              <w:pStyle w:val="Normal-TableText"/>
            </w:pPr>
            <w:r w:rsidRPr="00C6440C">
              <w:t>I</w:t>
            </w:r>
            <w:r w:rsidRPr="00093E8E">
              <w:t>ss</w:t>
            </w:r>
            <w:r w:rsidRPr="00C6440C">
              <w:t>ue</w:t>
            </w:r>
            <w:r w:rsidRPr="00093E8E">
              <w:t>r</w:t>
            </w:r>
            <w:r w:rsidRPr="00C6440C">
              <w:t xml:space="preserve"> </w:t>
            </w:r>
            <w:r w:rsidRPr="00093E8E">
              <w:t>Distin</w:t>
            </w:r>
            <w:r w:rsidRPr="00C6440C">
              <w:t>g</w:t>
            </w:r>
            <w:r w:rsidRPr="00093E8E">
              <w:t>uish</w:t>
            </w:r>
            <w:r w:rsidRPr="00C6440C">
              <w:t>e</w:t>
            </w:r>
            <w:r w:rsidRPr="00093E8E">
              <w:t>d</w:t>
            </w:r>
            <w:r w:rsidRPr="00C6440C">
              <w:t xml:space="preserve"> </w:t>
            </w:r>
            <w:r w:rsidRPr="00093E8E">
              <w:t>N</w:t>
            </w:r>
            <w:r w:rsidRPr="00C6440C">
              <w:t>a</w:t>
            </w:r>
            <w:r w:rsidRPr="00093E8E">
              <w:t>me</w:t>
            </w:r>
          </w:p>
        </w:tc>
        <w:tc>
          <w:tcPr>
            <w:tcW w:w="3594" w:type="pct"/>
          </w:tcPr>
          <w:p w14:paraId="6169099D" w14:textId="77777777" w:rsidR="00215226" w:rsidRPr="00093E8E" w:rsidRDefault="00215226" w:rsidP="00504C3A">
            <w:pPr>
              <w:pStyle w:val="Normal-TableText"/>
            </w:pPr>
            <w:r w:rsidRPr="00C6440C">
              <w:rPr>
                <w:rStyle w:val="Strong"/>
              </w:rPr>
              <w:t>Required</w:t>
            </w:r>
          </w:p>
        </w:tc>
      </w:tr>
      <w:tr w:rsidR="00215226" w:rsidRPr="00093E8E" w14:paraId="3259CAD7" w14:textId="77777777" w:rsidTr="00504C3A">
        <w:trPr>
          <w:trHeight w:val="113"/>
        </w:trPr>
        <w:tc>
          <w:tcPr>
            <w:tcW w:w="1406" w:type="pct"/>
            <w:vMerge/>
          </w:tcPr>
          <w:p w14:paraId="1DA25E74" w14:textId="77777777" w:rsidR="00215226" w:rsidRPr="00093E8E" w:rsidRDefault="00215226" w:rsidP="00504C3A">
            <w:pPr>
              <w:pStyle w:val="Normal-TableText"/>
            </w:pPr>
          </w:p>
        </w:tc>
        <w:tc>
          <w:tcPr>
            <w:tcW w:w="3594" w:type="pct"/>
          </w:tcPr>
          <w:p w14:paraId="790E3D7D" w14:textId="77777777" w:rsidR="00215226" w:rsidRPr="00093E8E" w:rsidRDefault="00215226" w:rsidP="00504C3A">
            <w:pPr>
              <w:pStyle w:val="Normal-TableText"/>
            </w:pPr>
            <w:r w:rsidRPr="00093E8E">
              <w:t>E</w:t>
            </w:r>
            <w:r w:rsidRPr="00C6440C">
              <w:t>ac</w:t>
            </w:r>
            <w:r w:rsidRPr="00093E8E">
              <w:t xml:space="preserve">h </w:t>
            </w:r>
            <w:r w:rsidRPr="00C6440C">
              <w:t>R</w:t>
            </w:r>
            <w:r w:rsidRPr="00093E8E">
              <w:t>DN is a</w:t>
            </w:r>
            <w:r w:rsidRPr="00C6440C">
              <w:t xml:space="preserve"> </w:t>
            </w:r>
            <w:r w:rsidRPr="00093E8E">
              <w:t>p</w:t>
            </w:r>
            <w:r w:rsidRPr="00C6440C">
              <w:t>r</w:t>
            </w:r>
            <w:r w:rsidRPr="00093E8E">
              <w:t>int</w:t>
            </w:r>
            <w:r w:rsidRPr="00C6440C">
              <w:t>a</w:t>
            </w:r>
            <w:r w:rsidRPr="00093E8E">
              <w:t>b</w:t>
            </w:r>
            <w:r w:rsidRPr="00C6440C">
              <w:t>leS</w:t>
            </w:r>
            <w:r w:rsidRPr="00093E8E">
              <w:t>t</w:t>
            </w:r>
            <w:r w:rsidRPr="00C6440C">
              <w:t>r</w:t>
            </w:r>
            <w:r w:rsidRPr="00093E8E">
              <w:t>ing</w:t>
            </w:r>
            <w:r w:rsidRPr="00C6440C">
              <w:t xml:space="preserve"> a</w:t>
            </w:r>
            <w:r w:rsidRPr="00093E8E">
              <w:t xml:space="preserve">nd </w:t>
            </w:r>
            <w:r w:rsidRPr="00C6440C">
              <w:t>c</w:t>
            </w:r>
            <w:r w:rsidRPr="00093E8E">
              <w:t>ont</w:t>
            </w:r>
            <w:r w:rsidRPr="00C6440C">
              <w:t>a</w:t>
            </w:r>
            <w:r w:rsidRPr="00093E8E">
              <w:t>ins</w:t>
            </w:r>
            <w:r w:rsidRPr="00C6440C">
              <w:t xml:space="preserve"> </w:t>
            </w:r>
            <w:r w:rsidRPr="00093E8E">
              <w:t>a</w:t>
            </w:r>
            <w:r w:rsidRPr="00C6440C">
              <w:t xml:space="preserve"> </w:t>
            </w:r>
            <w:r w:rsidRPr="00093E8E">
              <w:t>sin</w:t>
            </w:r>
            <w:r w:rsidRPr="00C6440C">
              <w:t>g</w:t>
            </w:r>
            <w:r w:rsidRPr="00093E8E">
              <w:t>le</w:t>
            </w:r>
            <w:r w:rsidRPr="00C6440C">
              <w:t xml:space="preserve"> a</w:t>
            </w:r>
            <w:r w:rsidRPr="00093E8E">
              <w:t>tt</w:t>
            </w:r>
            <w:r w:rsidRPr="00C6440C">
              <w:t>r</w:t>
            </w:r>
            <w:r w:rsidRPr="00093E8E">
              <w:t>ibute</w:t>
            </w:r>
            <w:r w:rsidRPr="00C6440C">
              <w:t xml:space="preserve"> typ</w:t>
            </w:r>
            <w:r w:rsidRPr="00093E8E">
              <w:t>e</w:t>
            </w:r>
            <w:r w:rsidRPr="00C6440C">
              <w:t xml:space="preserve"> a</w:t>
            </w:r>
            <w:r w:rsidRPr="00093E8E">
              <w:t xml:space="preserve">nd </w:t>
            </w:r>
            <w:r w:rsidRPr="00C6440C">
              <w:t>a</w:t>
            </w:r>
            <w:r w:rsidRPr="00093E8E">
              <w:t>tt</w:t>
            </w:r>
            <w:r w:rsidRPr="00C6440C">
              <w:t>r</w:t>
            </w:r>
            <w:r w:rsidRPr="00093E8E">
              <w:t>ibute</w:t>
            </w:r>
            <w:r w:rsidRPr="00C6440C">
              <w:t xml:space="preserve"> </w:t>
            </w:r>
            <w:r w:rsidRPr="00093E8E">
              <w:t>v</w:t>
            </w:r>
            <w:r w:rsidRPr="00C6440C">
              <w:t>a</w:t>
            </w:r>
            <w:r w:rsidRPr="00093E8E">
              <w:t>lue</w:t>
            </w:r>
            <w:r w:rsidRPr="00C6440C">
              <w:t xml:space="preserve"> </w:t>
            </w:r>
            <w:r w:rsidRPr="00093E8E">
              <w:t>tuple</w:t>
            </w:r>
          </w:p>
        </w:tc>
      </w:tr>
      <w:tr w:rsidR="00215226" w:rsidRPr="00093E8E" w14:paraId="55AAFECE" w14:textId="77777777" w:rsidTr="00504C3A">
        <w:trPr>
          <w:trHeight w:val="113"/>
        </w:trPr>
        <w:tc>
          <w:tcPr>
            <w:tcW w:w="1406" w:type="pct"/>
            <w:vMerge w:val="restart"/>
          </w:tcPr>
          <w:p w14:paraId="39C75945" w14:textId="77777777" w:rsidR="00215226" w:rsidRPr="00093E8E" w:rsidRDefault="00215226" w:rsidP="00504C3A">
            <w:pPr>
              <w:pStyle w:val="Normal-TableText"/>
            </w:pPr>
            <w:r w:rsidRPr="00093E8E">
              <w:t>V</w:t>
            </w:r>
            <w:r w:rsidRPr="00C6440C">
              <w:t>a</w:t>
            </w:r>
            <w:r w:rsidRPr="00093E8E">
              <w:t>lidi</w:t>
            </w:r>
            <w:r w:rsidRPr="00C6440C">
              <w:t>t</w:t>
            </w:r>
            <w:r w:rsidRPr="00093E8E">
              <w:t>y</w:t>
            </w:r>
            <w:r w:rsidRPr="00C6440C">
              <w:t xml:space="preserve"> Per</w:t>
            </w:r>
            <w:r w:rsidRPr="00093E8E">
              <w:t>iod</w:t>
            </w:r>
          </w:p>
        </w:tc>
        <w:tc>
          <w:tcPr>
            <w:tcW w:w="3594" w:type="pct"/>
          </w:tcPr>
          <w:p w14:paraId="2FB88AA1" w14:textId="77777777" w:rsidR="00215226" w:rsidRPr="00093E8E" w:rsidRDefault="00215226" w:rsidP="00504C3A">
            <w:pPr>
              <w:pStyle w:val="Normal-TableText"/>
            </w:pPr>
            <w:r w:rsidRPr="00C6440C">
              <w:rPr>
                <w:rStyle w:val="Strong"/>
              </w:rPr>
              <w:t>Required</w:t>
            </w:r>
          </w:p>
        </w:tc>
      </w:tr>
      <w:tr w:rsidR="00215226" w:rsidRPr="00093E8E" w14:paraId="7D4DA55F" w14:textId="77777777" w:rsidTr="00504C3A">
        <w:trPr>
          <w:trHeight w:val="113"/>
        </w:trPr>
        <w:tc>
          <w:tcPr>
            <w:tcW w:w="1406" w:type="pct"/>
            <w:vMerge/>
          </w:tcPr>
          <w:p w14:paraId="1BFE0725" w14:textId="77777777" w:rsidR="00215226" w:rsidRPr="00093E8E" w:rsidRDefault="00215226" w:rsidP="00504C3A">
            <w:pPr>
              <w:pStyle w:val="Normal-TableText"/>
            </w:pPr>
          </w:p>
        </w:tc>
        <w:tc>
          <w:tcPr>
            <w:tcW w:w="3594" w:type="pct"/>
          </w:tcPr>
          <w:p w14:paraId="7B64D5E7" w14:textId="77777777" w:rsidR="00215226" w:rsidRPr="00093E8E" w:rsidRDefault="00215226" w:rsidP="00504C3A">
            <w:pPr>
              <w:pStyle w:val="Normal-TableText"/>
            </w:pPr>
            <w:r w:rsidRPr="00093E8E">
              <w:t>Maximum of 2 years from date of issue in UTC format if using 112-bits of security</w:t>
            </w:r>
          </w:p>
          <w:p w14:paraId="666EF959" w14:textId="77777777" w:rsidR="00215226" w:rsidRDefault="00215226" w:rsidP="00504C3A">
            <w:pPr>
              <w:pStyle w:val="Normal-TableText"/>
            </w:pPr>
            <w:r w:rsidRPr="00093E8E">
              <w:t>M</w:t>
            </w:r>
            <w:r w:rsidRPr="00C6440C">
              <w:t>ax</w:t>
            </w:r>
            <w:r w:rsidRPr="00093E8E">
              <w:t>imum 3</w:t>
            </w:r>
            <w:r w:rsidRPr="00C6440C">
              <w:t xml:space="preserve"> year</w:t>
            </w:r>
            <w:r w:rsidRPr="00093E8E">
              <w:t xml:space="preserve">s </w:t>
            </w:r>
            <w:r w:rsidRPr="00C6440C">
              <w:t>fr</w:t>
            </w:r>
            <w:r w:rsidRPr="00093E8E">
              <w:t xml:space="preserve">om </w:t>
            </w:r>
            <w:r w:rsidRPr="00C6440C">
              <w:t>da</w:t>
            </w:r>
            <w:r w:rsidRPr="00093E8E">
              <w:t>te</w:t>
            </w:r>
            <w:r w:rsidRPr="00C6440C">
              <w:t xml:space="preserve"> </w:t>
            </w:r>
            <w:r w:rsidRPr="00093E8E">
              <w:t>of</w:t>
            </w:r>
            <w:r w:rsidRPr="00C6440C">
              <w:t xml:space="preserve"> </w:t>
            </w:r>
            <w:r w:rsidRPr="00093E8E">
              <w:t>issue</w:t>
            </w:r>
            <w:r w:rsidRPr="00C6440C">
              <w:t xml:space="preserve"> </w:t>
            </w:r>
            <w:r w:rsidRPr="00093E8E">
              <w:t>in UT</w:t>
            </w:r>
            <w:r w:rsidRPr="00C6440C">
              <w:t>C</w:t>
            </w:r>
            <w:r w:rsidRPr="00093E8E">
              <w:t xml:space="preserve"> </w:t>
            </w:r>
            <w:r w:rsidRPr="00C6440C">
              <w:t>f</w:t>
            </w:r>
            <w:r w:rsidRPr="00093E8E">
              <w:t>o</w:t>
            </w:r>
            <w:r w:rsidRPr="00C6440C">
              <w:t>r</w:t>
            </w:r>
            <w:r w:rsidRPr="00093E8E">
              <w:t>m</w:t>
            </w:r>
            <w:r w:rsidRPr="00C6440C">
              <w:t>a</w:t>
            </w:r>
            <w:r w:rsidRPr="00093E8E">
              <w:t>t if using at latest 128-bits of security.</w:t>
            </w:r>
          </w:p>
          <w:p w14:paraId="4A60C40B" w14:textId="77777777" w:rsidR="00215226" w:rsidRPr="00093E8E" w:rsidRDefault="00215226" w:rsidP="004628D5">
            <w:pPr>
              <w:pStyle w:val="Normal-TableText"/>
            </w:pPr>
            <w:r w:rsidRPr="00093E8E">
              <w:t>Not</w:t>
            </w:r>
            <w:r w:rsidRPr="00C6440C">
              <w:t>e</w:t>
            </w:r>
            <w:r w:rsidRPr="00093E8E">
              <w:t>: the</w:t>
            </w:r>
            <w:r w:rsidRPr="00C6440C">
              <w:t xml:space="preserve"> </w:t>
            </w:r>
            <w:r w:rsidRPr="00093E8E">
              <w:t>not</w:t>
            </w:r>
            <w:r w:rsidRPr="00C6440C">
              <w:t>Bef</w:t>
            </w:r>
            <w:r w:rsidRPr="00093E8E">
              <w:t>o</w:t>
            </w:r>
            <w:r w:rsidRPr="00C6440C">
              <w:t>r</w:t>
            </w:r>
            <w:r w:rsidRPr="00093E8E">
              <w:t>e</w:t>
            </w:r>
            <w:r w:rsidRPr="00C6440C">
              <w:t xml:space="preserve"> c</w:t>
            </w:r>
            <w:r w:rsidRPr="00093E8E">
              <w:t>ompon</w:t>
            </w:r>
            <w:r w:rsidRPr="00C6440C">
              <w:t>e</w:t>
            </w:r>
            <w:r w:rsidRPr="00093E8E">
              <w:t>nt will be</w:t>
            </w:r>
            <w:r w:rsidRPr="00C6440C">
              <w:t xml:space="preserve"> </w:t>
            </w:r>
            <w:r w:rsidRPr="00093E8E">
              <w:t>the</w:t>
            </w:r>
            <w:r w:rsidRPr="00C6440C">
              <w:t xml:space="preserve"> cer</w:t>
            </w:r>
            <w:r w:rsidRPr="00093E8E">
              <w:t>ti</w:t>
            </w:r>
            <w:r w:rsidRPr="00C6440C">
              <w:t>fica</w:t>
            </w:r>
            <w:r w:rsidRPr="00093E8E">
              <w:t>t</w:t>
            </w:r>
            <w:r w:rsidRPr="00C6440C">
              <w:t>e’</w:t>
            </w:r>
            <w:r w:rsidRPr="00093E8E">
              <w:t>s issue</w:t>
            </w:r>
            <w:r w:rsidRPr="00C6440C">
              <w:t xml:space="preserve"> da</w:t>
            </w:r>
            <w:r w:rsidRPr="00093E8E">
              <w:t>t</w:t>
            </w:r>
            <w:r w:rsidRPr="00C6440C">
              <w:t xml:space="preserve">e. </w:t>
            </w:r>
            <w:r w:rsidRPr="00093E8E">
              <w:t>The</w:t>
            </w:r>
            <w:r w:rsidR="004628D5">
              <w:t> </w:t>
            </w:r>
            <w:r w:rsidRPr="00093E8E">
              <w:t>notA</w:t>
            </w:r>
            <w:r w:rsidRPr="00C6440C">
              <w:t>f</w:t>
            </w:r>
            <w:r w:rsidRPr="00093E8E">
              <w:t>t</w:t>
            </w:r>
            <w:r w:rsidRPr="00C6440C">
              <w:t>e</w:t>
            </w:r>
            <w:r w:rsidRPr="00093E8E">
              <w:t>r</w:t>
            </w:r>
            <w:r w:rsidRPr="00C6440C">
              <w:t xml:space="preserve"> c</w:t>
            </w:r>
            <w:r w:rsidRPr="00093E8E">
              <w:t>ompon</w:t>
            </w:r>
            <w:r w:rsidRPr="00C6440C">
              <w:t>e</w:t>
            </w:r>
            <w:r w:rsidRPr="00093E8E">
              <w:t>nt</w:t>
            </w:r>
            <w:r w:rsidRPr="00C6440C">
              <w:t xml:space="preserve"> </w:t>
            </w:r>
            <w:r w:rsidRPr="00093E8E">
              <w:t>is the</w:t>
            </w:r>
            <w:r w:rsidRPr="00C6440C">
              <w:t xml:space="preserve"> </w:t>
            </w:r>
            <w:r w:rsidRPr="00093E8E">
              <w:t>d</w:t>
            </w:r>
            <w:r w:rsidRPr="00C6440C">
              <w:t>a</w:t>
            </w:r>
            <w:r w:rsidRPr="00093E8E">
              <w:t>y</w:t>
            </w:r>
            <w:r w:rsidRPr="00C6440C">
              <w:t xml:space="preserve"> e</w:t>
            </w:r>
            <w:r w:rsidRPr="00093E8E">
              <w:t>nding</w:t>
            </w:r>
            <w:r w:rsidRPr="00C6440C">
              <w:t xml:space="preserve"> </w:t>
            </w:r>
            <w:r w:rsidRPr="00093E8E">
              <w:t>t</w:t>
            </w:r>
            <w:r w:rsidRPr="00C6440C">
              <w:t>h</w:t>
            </w:r>
            <w:r w:rsidRPr="00093E8E">
              <w:t>e</w:t>
            </w:r>
            <w:r w:rsidRPr="00C6440C">
              <w:t xml:space="preserve"> </w:t>
            </w:r>
            <w:r w:rsidRPr="00093E8E">
              <w:t>v</w:t>
            </w:r>
            <w:r w:rsidRPr="00C6440C">
              <w:t>a</w:t>
            </w:r>
            <w:r w:rsidRPr="00093E8E">
              <w:t>l</w:t>
            </w:r>
            <w:r w:rsidRPr="00C6440C">
              <w:t>i</w:t>
            </w:r>
            <w:r w:rsidRPr="00093E8E">
              <w:t>di</w:t>
            </w:r>
            <w:r w:rsidRPr="00C6440C">
              <w:t>t</w:t>
            </w:r>
            <w:r w:rsidRPr="00093E8E">
              <w:t>y</w:t>
            </w:r>
            <w:r w:rsidRPr="00C6440C">
              <w:t xml:space="preserve"> </w:t>
            </w:r>
            <w:r w:rsidRPr="00093E8E">
              <w:t>p</w:t>
            </w:r>
            <w:r w:rsidRPr="00C6440C">
              <w:t>er</w:t>
            </w:r>
            <w:r w:rsidRPr="00093E8E">
              <w:t>iod.</w:t>
            </w:r>
          </w:p>
        </w:tc>
      </w:tr>
      <w:tr w:rsidR="00215226" w:rsidRPr="00093E8E" w14:paraId="420D5784" w14:textId="77777777" w:rsidTr="00504C3A">
        <w:trPr>
          <w:trHeight w:val="113"/>
        </w:trPr>
        <w:tc>
          <w:tcPr>
            <w:tcW w:w="1406" w:type="pct"/>
            <w:vMerge w:val="restart"/>
          </w:tcPr>
          <w:p w14:paraId="26CE2360" w14:textId="77777777" w:rsidR="00215226" w:rsidRPr="00093E8E" w:rsidRDefault="00215226" w:rsidP="00504C3A">
            <w:pPr>
              <w:pStyle w:val="Normal-TableText"/>
            </w:pPr>
            <w:r w:rsidRPr="00C6440C">
              <w:t>S</w:t>
            </w:r>
            <w:r w:rsidRPr="00093E8E">
              <w:t>ubj</w:t>
            </w:r>
            <w:r w:rsidRPr="00C6440C">
              <w:t>ec</w:t>
            </w:r>
            <w:r w:rsidRPr="00093E8E">
              <w:t>t Distin</w:t>
            </w:r>
            <w:r w:rsidRPr="00C6440C">
              <w:t>g</w:t>
            </w:r>
            <w:r w:rsidRPr="00093E8E">
              <w:t>uish</w:t>
            </w:r>
            <w:r w:rsidRPr="00C6440C">
              <w:t>e</w:t>
            </w:r>
            <w:r w:rsidRPr="00093E8E">
              <w:t>d</w:t>
            </w:r>
            <w:r w:rsidR="00504C3A">
              <w:t xml:space="preserve"> </w:t>
            </w:r>
            <w:r w:rsidRPr="00093E8E">
              <w:t>N</w:t>
            </w:r>
            <w:r w:rsidRPr="00C6440C">
              <w:t>a</w:t>
            </w:r>
            <w:r w:rsidRPr="00093E8E">
              <w:t>me</w:t>
            </w:r>
          </w:p>
        </w:tc>
        <w:tc>
          <w:tcPr>
            <w:tcW w:w="3594" w:type="pct"/>
          </w:tcPr>
          <w:p w14:paraId="4D2FE913" w14:textId="77777777" w:rsidR="00215226" w:rsidRPr="00093E8E" w:rsidRDefault="00215226" w:rsidP="00504C3A">
            <w:pPr>
              <w:pStyle w:val="Normal-TableText"/>
            </w:pPr>
            <w:r w:rsidRPr="00C6440C">
              <w:rPr>
                <w:rStyle w:val="Strong"/>
              </w:rPr>
              <w:t>Required</w:t>
            </w:r>
          </w:p>
        </w:tc>
      </w:tr>
      <w:tr w:rsidR="00215226" w:rsidRPr="00093E8E" w14:paraId="5819CF0E" w14:textId="77777777" w:rsidTr="00504C3A">
        <w:trPr>
          <w:trHeight w:val="113"/>
        </w:trPr>
        <w:tc>
          <w:tcPr>
            <w:tcW w:w="1406" w:type="pct"/>
            <w:vMerge/>
          </w:tcPr>
          <w:p w14:paraId="14E34616" w14:textId="77777777" w:rsidR="00215226" w:rsidRPr="00093E8E" w:rsidRDefault="00215226" w:rsidP="00504C3A">
            <w:pPr>
              <w:pStyle w:val="Normal-TableText"/>
            </w:pPr>
          </w:p>
        </w:tc>
        <w:tc>
          <w:tcPr>
            <w:tcW w:w="3594" w:type="pct"/>
          </w:tcPr>
          <w:p w14:paraId="6E047961" w14:textId="77777777" w:rsidR="00215226" w:rsidRDefault="00215226" w:rsidP="00504C3A">
            <w:pPr>
              <w:pStyle w:val="Normal-TableText"/>
            </w:pPr>
            <w:r w:rsidRPr="00093E8E">
              <w:t>E</w:t>
            </w:r>
            <w:r w:rsidRPr="00C6440C">
              <w:t>ac</w:t>
            </w:r>
            <w:r w:rsidRPr="00093E8E">
              <w:t xml:space="preserve">h </w:t>
            </w:r>
            <w:r w:rsidRPr="00C6440C">
              <w:t>R</w:t>
            </w:r>
            <w:r w:rsidRPr="00093E8E">
              <w:t>DN is a</w:t>
            </w:r>
            <w:r w:rsidRPr="00C6440C">
              <w:t xml:space="preserve"> </w:t>
            </w:r>
            <w:r w:rsidRPr="00093E8E">
              <w:t>p</w:t>
            </w:r>
            <w:r w:rsidRPr="00C6440C">
              <w:t>r</w:t>
            </w:r>
            <w:r w:rsidRPr="00093E8E">
              <w:t>int</w:t>
            </w:r>
            <w:r w:rsidRPr="00C6440C">
              <w:t>a</w:t>
            </w:r>
            <w:r w:rsidRPr="00093E8E">
              <w:t>b</w:t>
            </w:r>
            <w:r w:rsidRPr="00C6440C">
              <w:t>leS</w:t>
            </w:r>
            <w:r w:rsidRPr="00093E8E">
              <w:t>t</w:t>
            </w:r>
            <w:r w:rsidRPr="00C6440C">
              <w:t>r</w:t>
            </w:r>
            <w:r w:rsidRPr="00093E8E">
              <w:t>ing</w:t>
            </w:r>
            <w:r w:rsidRPr="00C6440C">
              <w:t xml:space="preserve"> a</w:t>
            </w:r>
            <w:r w:rsidRPr="00093E8E">
              <w:t xml:space="preserve">nd </w:t>
            </w:r>
            <w:r w:rsidRPr="00C6440C">
              <w:t>c</w:t>
            </w:r>
            <w:r w:rsidRPr="00093E8E">
              <w:t>ont</w:t>
            </w:r>
            <w:r w:rsidRPr="00C6440C">
              <w:t>a</w:t>
            </w:r>
            <w:r w:rsidRPr="00093E8E">
              <w:t>ins</w:t>
            </w:r>
            <w:r w:rsidRPr="00C6440C">
              <w:t xml:space="preserve"> </w:t>
            </w:r>
            <w:r w:rsidRPr="00093E8E">
              <w:t>a</w:t>
            </w:r>
            <w:r w:rsidRPr="00C6440C">
              <w:t xml:space="preserve"> </w:t>
            </w:r>
            <w:r w:rsidRPr="00093E8E">
              <w:t>sin</w:t>
            </w:r>
            <w:r w:rsidRPr="00C6440C">
              <w:t>g</w:t>
            </w:r>
            <w:r w:rsidRPr="00093E8E">
              <w:t>le</w:t>
            </w:r>
            <w:r w:rsidRPr="00C6440C">
              <w:t xml:space="preserve"> a</w:t>
            </w:r>
            <w:r w:rsidRPr="00093E8E">
              <w:t>tt</w:t>
            </w:r>
            <w:r w:rsidRPr="00C6440C">
              <w:t>r</w:t>
            </w:r>
            <w:r w:rsidRPr="00093E8E">
              <w:t>ibute</w:t>
            </w:r>
            <w:r w:rsidRPr="00C6440C">
              <w:t xml:space="preserve"> typ</w:t>
            </w:r>
            <w:r w:rsidRPr="00093E8E">
              <w:t xml:space="preserve">e </w:t>
            </w:r>
            <w:r w:rsidRPr="00C6440C">
              <w:t>a</w:t>
            </w:r>
            <w:r w:rsidRPr="00093E8E">
              <w:t xml:space="preserve">nd </w:t>
            </w:r>
            <w:r w:rsidRPr="00C6440C">
              <w:t>a</w:t>
            </w:r>
            <w:r w:rsidRPr="00093E8E">
              <w:t>tt</w:t>
            </w:r>
            <w:r w:rsidRPr="00C6440C">
              <w:t>r</w:t>
            </w:r>
            <w:r w:rsidRPr="00093E8E">
              <w:t>ibute</w:t>
            </w:r>
            <w:r w:rsidRPr="00C6440C">
              <w:t xml:space="preserve"> </w:t>
            </w:r>
            <w:r w:rsidRPr="00093E8E">
              <w:t>v</w:t>
            </w:r>
            <w:r w:rsidRPr="00C6440C">
              <w:t>a</w:t>
            </w:r>
            <w:r w:rsidRPr="00093E8E">
              <w:t>lue</w:t>
            </w:r>
            <w:r w:rsidRPr="00C6440C">
              <w:t xml:space="preserve"> </w:t>
            </w:r>
            <w:r w:rsidRPr="00093E8E">
              <w:t>tuple</w:t>
            </w:r>
          </w:p>
          <w:p w14:paraId="3CB171B4" w14:textId="77777777" w:rsidR="00215226" w:rsidRPr="00093E8E" w:rsidRDefault="00215226" w:rsidP="00504C3A">
            <w:pPr>
              <w:pStyle w:val="Normal-TableText"/>
            </w:pPr>
            <w:r w:rsidRPr="00093E8E">
              <w:t>di</w:t>
            </w:r>
            <w:r w:rsidRPr="00C6440C">
              <w:t>rec</w:t>
            </w:r>
            <w:r w:rsidRPr="00093E8E">
              <w:t>to</w:t>
            </w:r>
            <w:r w:rsidRPr="00C6440C">
              <w:t>ryS</w:t>
            </w:r>
            <w:r w:rsidRPr="00093E8E">
              <w:t>t</w:t>
            </w:r>
            <w:r w:rsidRPr="00C6440C">
              <w:t>r</w:t>
            </w:r>
            <w:r w:rsidRPr="00093E8E">
              <w:t>ing</w:t>
            </w:r>
            <w:r w:rsidRPr="00C6440C">
              <w:t xml:space="preserve"> </w:t>
            </w:r>
            <w:r w:rsidRPr="00093E8E">
              <w:t>is</w:t>
            </w:r>
            <w:r w:rsidRPr="00C6440C">
              <w:t xml:space="preserve"> e</w:t>
            </w:r>
            <w:r w:rsidRPr="00093E8E">
              <w:t>n</w:t>
            </w:r>
            <w:r w:rsidRPr="00C6440C">
              <w:t>c</w:t>
            </w:r>
            <w:r w:rsidRPr="00093E8E">
              <w:t>od</w:t>
            </w:r>
            <w:r w:rsidRPr="00C6440C">
              <w:t>e</w:t>
            </w:r>
            <w:r w:rsidRPr="00093E8E">
              <w:t xml:space="preserve">d </w:t>
            </w:r>
            <w:r w:rsidRPr="00C6440C">
              <w:t>a</w:t>
            </w:r>
            <w:r w:rsidRPr="00093E8E">
              <w:t>s p</w:t>
            </w:r>
            <w:r w:rsidRPr="00C6440C">
              <w:t>r</w:t>
            </w:r>
            <w:r w:rsidRPr="00093E8E">
              <w:t>int</w:t>
            </w:r>
            <w:r w:rsidRPr="00C6440C">
              <w:t>a</w:t>
            </w:r>
            <w:r w:rsidRPr="00093E8E">
              <w:t>bl</w:t>
            </w:r>
            <w:r w:rsidRPr="00C6440C">
              <w:t>eS</w:t>
            </w:r>
            <w:r w:rsidRPr="00093E8E">
              <w:t>t</w:t>
            </w:r>
            <w:r w:rsidRPr="00C6440C">
              <w:t>r</w:t>
            </w:r>
            <w:r w:rsidRPr="00093E8E">
              <w:t>ing</w:t>
            </w:r>
          </w:p>
          <w:p w14:paraId="7E63DCC8" w14:textId="77777777" w:rsidR="00215226" w:rsidRPr="00093E8E" w:rsidRDefault="00215226" w:rsidP="00504C3A">
            <w:pPr>
              <w:pStyle w:val="Normal-TableText"/>
            </w:pPr>
            <w:r w:rsidRPr="00C6440C">
              <w:t>c</w:t>
            </w:r>
            <w:r w:rsidRPr="00093E8E">
              <w:t>n</w:t>
            </w:r>
            <w:r w:rsidRPr="00C6440C">
              <w:t>=</w:t>
            </w:r>
            <w:r w:rsidRPr="00093E8E">
              <w:t>{ Host U</w:t>
            </w:r>
            <w:r w:rsidRPr="00C6440C">
              <w:t>R</w:t>
            </w:r>
            <w:r w:rsidRPr="00093E8E">
              <w:t>L |</w:t>
            </w:r>
            <w:r w:rsidRPr="00C6440C">
              <w:t xml:space="preserve"> </w:t>
            </w:r>
            <w:r w:rsidRPr="00093E8E">
              <w:t>Host</w:t>
            </w:r>
            <w:r w:rsidRPr="00C6440C">
              <w:t xml:space="preserve"> IP </w:t>
            </w:r>
            <w:r w:rsidRPr="00093E8E">
              <w:t>Add</w:t>
            </w:r>
            <w:r w:rsidRPr="00C6440C">
              <w:t>re</w:t>
            </w:r>
            <w:r w:rsidRPr="00093E8E">
              <w:t>ss</w:t>
            </w:r>
            <w:r w:rsidRPr="00C6440C">
              <w:t xml:space="preserve"> </w:t>
            </w:r>
            <w:r w:rsidRPr="00093E8E">
              <w:t>|</w:t>
            </w:r>
            <w:r w:rsidRPr="00C6440C">
              <w:t xml:space="preserve"> </w:t>
            </w:r>
            <w:r w:rsidRPr="00093E8E">
              <w:t xml:space="preserve">Host </w:t>
            </w:r>
            <w:r w:rsidRPr="00C6440C">
              <w:t>Na</w:t>
            </w:r>
            <w:r w:rsidRPr="00093E8E">
              <w:t>me</w:t>
            </w:r>
            <w:r w:rsidRPr="00C6440C">
              <w:t xml:space="preserve"> </w:t>
            </w:r>
            <w:r w:rsidRPr="00093E8E">
              <w:t>}</w:t>
            </w:r>
          </w:p>
        </w:tc>
      </w:tr>
      <w:tr w:rsidR="00215226" w:rsidRPr="00093E8E" w14:paraId="193D99AC" w14:textId="77777777" w:rsidTr="00504C3A">
        <w:trPr>
          <w:trHeight w:val="113"/>
        </w:trPr>
        <w:tc>
          <w:tcPr>
            <w:tcW w:w="1406" w:type="pct"/>
            <w:vMerge w:val="restart"/>
          </w:tcPr>
          <w:p w14:paraId="7129233A" w14:textId="77777777" w:rsidR="00215226" w:rsidRPr="00093E8E" w:rsidRDefault="00215226" w:rsidP="00504C3A">
            <w:pPr>
              <w:pStyle w:val="Normal-TableText"/>
            </w:pPr>
            <w:r w:rsidRPr="00093E8E">
              <w:t>Subj</w:t>
            </w:r>
            <w:r w:rsidRPr="00C6440C">
              <w:t>ec</w:t>
            </w:r>
            <w:r w:rsidRPr="00093E8E">
              <w:t xml:space="preserve">t </w:t>
            </w:r>
            <w:r w:rsidRPr="00C6440C">
              <w:t>P</w:t>
            </w:r>
            <w:r w:rsidRPr="00093E8E">
              <w:t>ublic</w:t>
            </w:r>
            <w:r w:rsidRPr="00C6440C">
              <w:t xml:space="preserve"> </w:t>
            </w:r>
            <w:r w:rsidRPr="00093E8E">
              <w:t>K</w:t>
            </w:r>
            <w:r w:rsidRPr="00C6440C">
              <w:t>e</w:t>
            </w:r>
            <w:r w:rsidRPr="00093E8E">
              <w:t>y</w:t>
            </w:r>
          </w:p>
          <w:p w14:paraId="52394B6D" w14:textId="77777777" w:rsidR="00215226" w:rsidRPr="00093E8E" w:rsidRDefault="00215226" w:rsidP="00504C3A">
            <w:pPr>
              <w:pStyle w:val="Normal-TableText"/>
            </w:pPr>
            <w:r w:rsidRPr="00C6440C">
              <w:lastRenderedPageBreak/>
              <w:t>Inf</w:t>
            </w:r>
            <w:r w:rsidRPr="00093E8E">
              <w:t>o</w:t>
            </w:r>
            <w:r w:rsidRPr="00C6440C">
              <w:t>r</w:t>
            </w:r>
            <w:r w:rsidRPr="00093E8E">
              <w:t>m</w:t>
            </w:r>
            <w:r w:rsidRPr="00C6440C">
              <w:t>a</w:t>
            </w:r>
            <w:r w:rsidRPr="00093E8E">
              <w:t>tion</w:t>
            </w:r>
          </w:p>
        </w:tc>
        <w:tc>
          <w:tcPr>
            <w:tcW w:w="3594" w:type="pct"/>
          </w:tcPr>
          <w:p w14:paraId="7B0F690A" w14:textId="77777777" w:rsidR="00215226" w:rsidRPr="00093E8E" w:rsidRDefault="00215226" w:rsidP="00504C3A">
            <w:pPr>
              <w:pStyle w:val="Normal-TableText"/>
            </w:pPr>
            <w:r w:rsidRPr="00C6440C">
              <w:rPr>
                <w:rStyle w:val="Strong"/>
              </w:rPr>
              <w:lastRenderedPageBreak/>
              <w:t>Required</w:t>
            </w:r>
          </w:p>
        </w:tc>
      </w:tr>
      <w:tr w:rsidR="00215226" w:rsidRPr="00093E8E" w14:paraId="3EBE2A63" w14:textId="77777777" w:rsidTr="00504C3A">
        <w:trPr>
          <w:trHeight w:val="113"/>
        </w:trPr>
        <w:tc>
          <w:tcPr>
            <w:tcW w:w="1406" w:type="pct"/>
            <w:vMerge/>
          </w:tcPr>
          <w:p w14:paraId="6B3D2AD5" w14:textId="77777777" w:rsidR="00215226" w:rsidRPr="00093E8E" w:rsidRDefault="00215226" w:rsidP="00504C3A">
            <w:pPr>
              <w:pStyle w:val="Normal-TableText"/>
            </w:pPr>
          </w:p>
        </w:tc>
        <w:tc>
          <w:tcPr>
            <w:tcW w:w="3594" w:type="pct"/>
          </w:tcPr>
          <w:p w14:paraId="24A114EF" w14:textId="77777777" w:rsidR="00215226" w:rsidRPr="00C6440C" w:rsidRDefault="00215226" w:rsidP="00504C3A">
            <w:pPr>
              <w:pStyle w:val="Normal-TableText"/>
            </w:pPr>
            <w:r w:rsidRPr="00093E8E">
              <w:t>K</w:t>
            </w:r>
            <w:r w:rsidRPr="00C6440C">
              <w:t>e</w:t>
            </w:r>
            <w:r w:rsidRPr="00093E8E">
              <w:t>y</w:t>
            </w:r>
            <w:r w:rsidRPr="00C6440C">
              <w:t xml:space="preserve"> </w:t>
            </w:r>
            <w:r w:rsidRPr="00093E8E">
              <w:t>si</w:t>
            </w:r>
            <w:r w:rsidRPr="00C6440C">
              <w:t>z</w:t>
            </w:r>
            <w:r w:rsidRPr="00093E8E">
              <w:t>e</w:t>
            </w:r>
            <w:r w:rsidRPr="00C6440C">
              <w:t xml:space="preserve"> </w:t>
            </w:r>
            <w:r w:rsidRPr="00093E8E">
              <w:t>to p</w:t>
            </w:r>
            <w:r w:rsidRPr="00C6440C">
              <w:t>r</w:t>
            </w:r>
            <w:r w:rsidRPr="00093E8E">
              <w:t xml:space="preserve">ovide </w:t>
            </w:r>
            <w:r w:rsidRPr="00C6440C">
              <w:t>a</w:t>
            </w:r>
            <w:r w:rsidRPr="00093E8E">
              <w:t>t least 112 bits of s</w:t>
            </w:r>
            <w:r w:rsidRPr="00C6440C">
              <w:t>ec</w:t>
            </w:r>
            <w:r w:rsidRPr="00093E8E">
              <w:t>u</w:t>
            </w:r>
            <w:r w:rsidRPr="00C6440C">
              <w:t>r</w:t>
            </w:r>
            <w:r w:rsidRPr="00093E8E">
              <w:t>i</w:t>
            </w:r>
            <w:r w:rsidRPr="00C6440C">
              <w:t>t</w:t>
            </w:r>
            <w:r w:rsidRPr="00093E8E">
              <w:t>y strength</w:t>
            </w:r>
            <w:r w:rsidRPr="00C6440C">
              <w:t xml:space="preserve"> </w:t>
            </w:r>
            <w:r w:rsidRPr="00093E8E">
              <w:t xml:space="preserve">or </w:t>
            </w:r>
            <w:r w:rsidRPr="00C6440C">
              <w:t>grea</w:t>
            </w:r>
            <w:r w:rsidRPr="00093E8E">
              <w:t>t</w:t>
            </w:r>
            <w:r w:rsidRPr="00C6440C">
              <w:t>e</w:t>
            </w:r>
            <w:r w:rsidRPr="00093E8E">
              <w:t>r</w:t>
            </w:r>
            <w:r w:rsidRPr="00C6440C">
              <w:t xml:space="preserve"> for certificates with a maximum validity period of 2 years</w:t>
            </w:r>
          </w:p>
          <w:p w14:paraId="52ACC97F" w14:textId="77777777" w:rsidR="00215226" w:rsidRPr="00C6440C" w:rsidRDefault="00215226" w:rsidP="00504C3A">
            <w:pPr>
              <w:pStyle w:val="Normal-TableText"/>
            </w:pPr>
            <w:r w:rsidRPr="00093E8E">
              <w:t>K</w:t>
            </w:r>
            <w:r w:rsidRPr="00C6440C">
              <w:t>e</w:t>
            </w:r>
            <w:r w:rsidRPr="00093E8E">
              <w:t>y</w:t>
            </w:r>
            <w:r w:rsidRPr="00C6440C">
              <w:t xml:space="preserve"> </w:t>
            </w:r>
            <w:r w:rsidRPr="00093E8E">
              <w:t>si</w:t>
            </w:r>
            <w:r w:rsidRPr="00C6440C">
              <w:t>z</w:t>
            </w:r>
            <w:r w:rsidRPr="00093E8E">
              <w:t>e</w:t>
            </w:r>
            <w:r w:rsidRPr="00C6440C">
              <w:t xml:space="preserve"> </w:t>
            </w:r>
            <w:r w:rsidRPr="00093E8E">
              <w:t>to p</w:t>
            </w:r>
            <w:r w:rsidRPr="00C6440C">
              <w:t>r</w:t>
            </w:r>
            <w:r w:rsidRPr="00093E8E">
              <w:t xml:space="preserve">ovide </w:t>
            </w:r>
            <w:r w:rsidRPr="00C6440C">
              <w:t>a</w:t>
            </w:r>
            <w:r w:rsidRPr="00093E8E">
              <w:t>t least 128 bits of s</w:t>
            </w:r>
            <w:r w:rsidRPr="00C6440C">
              <w:t>ec</w:t>
            </w:r>
            <w:r w:rsidRPr="00093E8E">
              <w:t>u</w:t>
            </w:r>
            <w:r w:rsidRPr="00C6440C">
              <w:t>r</w:t>
            </w:r>
            <w:r w:rsidRPr="00093E8E">
              <w:t>i</w:t>
            </w:r>
            <w:r w:rsidRPr="00C6440C">
              <w:t>t</w:t>
            </w:r>
            <w:r w:rsidRPr="00093E8E">
              <w:t>y strength</w:t>
            </w:r>
            <w:r w:rsidRPr="00C6440C">
              <w:t xml:space="preserve"> </w:t>
            </w:r>
            <w:r w:rsidRPr="00093E8E">
              <w:t xml:space="preserve">or </w:t>
            </w:r>
            <w:r w:rsidRPr="00C6440C">
              <w:t>grea</w:t>
            </w:r>
            <w:r w:rsidRPr="00093E8E">
              <w:t>t</w:t>
            </w:r>
            <w:r w:rsidRPr="00C6440C">
              <w:t>e</w:t>
            </w:r>
            <w:r w:rsidRPr="00093E8E">
              <w:t>r</w:t>
            </w:r>
            <w:r w:rsidRPr="00C6440C">
              <w:t xml:space="preserve"> for certificates with a maximum validity period of 3 years</w:t>
            </w:r>
          </w:p>
          <w:p w14:paraId="49BB0193" w14:textId="77777777" w:rsidR="00215226" w:rsidRPr="00093E8E" w:rsidRDefault="00215226" w:rsidP="00504C3A">
            <w:pPr>
              <w:pStyle w:val="Normal-TableText"/>
            </w:pPr>
            <w:r w:rsidRPr="00093E8E">
              <w:t>The</w:t>
            </w:r>
            <w:r w:rsidRPr="00C6440C">
              <w:t xml:space="preserve"> f</w:t>
            </w:r>
            <w:r w:rsidRPr="00093E8E">
              <w:t xml:space="preserve">ollowing </w:t>
            </w:r>
            <w:r w:rsidRPr="00C6440C">
              <w:t>e</w:t>
            </w:r>
            <w:r w:rsidRPr="00093E8E">
              <w:t>n</w:t>
            </w:r>
            <w:r w:rsidRPr="00C6440C">
              <w:t>cry</w:t>
            </w:r>
            <w:r w:rsidRPr="00093E8E">
              <w:t>ption</w:t>
            </w:r>
            <w:r w:rsidRPr="00C6440C">
              <w:t xml:space="preserve"> a</w:t>
            </w:r>
            <w:r w:rsidRPr="00093E8E">
              <w:t>l</w:t>
            </w:r>
            <w:r w:rsidRPr="00C6440C">
              <w:t>g</w:t>
            </w:r>
            <w:r w:rsidRPr="00093E8E">
              <w:t>o</w:t>
            </w:r>
            <w:r w:rsidRPr="00C6440C">
              <w:t>r</w:t>
            </w:r>
            <w:r w:rsidRPr="00093E8E">
              <w:t xml:space="preserve">ithms </w:t>
            </w:r>
            <w:r w:rsidRPr="00C6440C">
              <w:t>ar</w:t>
            </w:r>
            <w:r w:rsidRPr="00093E8E">
              <w:t>e</w:t>
            </w:r>
            <w:r w:rsidRPr="00C6440C">
              <w:t xml:space="preserve"> acce</w:t>
            </w:r>
            <w:r w:rsidRPr="00093E8E">
              <w:t>p</w:t>
            </w:r>
            <w:r w:rsidRPr="00C6440C">
              <w:t>ta</w:t>
            </w:r>
            <w:r w:rsidRPr="00093E8E">
              <w:t>bl</w:t>
            </w:r>
            <w:r w:rsidRPr="00C6440C">
              <w:t>e:</w:t>
            </w:r>
          </w:p>
          <w:p w14:paraId="26384895" w14:textId="77777777" w:rsidR="00215226" w:rsidRPr="00093E8E" w:rsidRDefault="00215226" w:rsidP="00504C3A">
            <w:pPr>
              <w:pStyle w:val="Bullet1"/>
            </w:pPr>
            <w:r w:rsidRPr="00D825A0">
              <w:t>RS</w:t>
            </w:r>
            <w:r w:rsidRPr="00093E8E">
              <w:t>AEn</w:t>
            </w:r>
            <w:r w:rsidRPr="00D825A0">
              <w:t>cry</w:t>
            </w:r>
            <w:r w:rsidRPr="00093E8E">
              <w:t>ption {1 2 840</w:t>
            </w:r>
            <w:r w:rsidRPr="00D825A0">
              <w:t xml:space="preserve"> </w:t>
            </w:r>
            <w:r w:rsidRPr="00093E8E">
              <w:t>113549 1 1 1 }</w:t>
            </w:r>
          </w:p>
          <w:p w14:paraId="58455059" w14:textId="77777777" w:rsidR="00215226" w:rsidRPr="00093E8E" w:rsidRDefault="00215226" w:rsidP="00504C3A">
            <w:pPr>
              <w:pStyle w:val="Bullet1"/>
            </w:pPr>
            <w:r w:rsidRPr="00093E8E">
              <w:t>id</w:t>
            </w:r>
            <w:r w:rsidRPr="00D825A0">
              <w:t>-ecP</w:t>
            </w:r>
            <w:r w:rsidRPr="00093E8E">
              <w:t>ubli</w:t>
            </w:r>
            <w:r w:rsidRPr="00D825A0">
              <w:t>c</w:t>
            </w:r>
            <w:r w:rsidRPr="00093E8E">
              <w:t>K</w:t>
            </w:r>
            <w:r w:rsidRPr="00D825A0">
              <w:t>e</w:t>
            </w:r>
            <w:r w:rsidRPr="00093E8E">
              <w:t>y</w:t>
            </w:r>
            <w:r w:rsidRPr="00D825A0">
              <w:t xml:space="preserve"> </w:t>
            </w:r>
            <w:r w:rsidRPr="00093E8E">
              <w:t>{1 2 840</w:t>
            </w:r>
            <w:r w:rsidRPr="00D825A0">
              <w:t xml:space="preserve"> </w:t>
            </w:r>
            <w:r w:rsidRPr="00093E8E">
              <w:t>10045 2 1}</w:t>
            </w:r>
          </w:p>
          <w:p w14:paraId="76284676" w14:textId="77777777" w:rsidR="00215226" w:rsidRPr="00093E8E" w:rsidRDefault="00215226" w:rsidP="00504C3A">
            <w:pPr>
              <w:pStyle w:val="Bullet1"/>
            </w:pPr>
            <w:r w:rsidRPr="00093E8E">
              <w:t>id</w:t>
            </w:r>
            <w:r w:rsidRPr="00D825A0">
              <w:t>-ec</w:t>
            </w:r>
            <w:r w:rsidRPr="00093E8E">
              <w:t>DH {1 3 132 1 12}</w:t>
            </w:r>
          </w:p>
          <w:p w14:paraId="02241ECC" w14:textId="77777777" w:rsidR="00215226" w:rsidRPr="00093E8E" w:rsidRDefault="00215226" w:rsidP="00504C3A">
            <w:pPr>
              <w:pStyle w:val="Bullet1"/>
            </w:pPr>
            <w:r w:rsidRPr="00093E8E">
              <w:t>dhpubli</w:t>
            </w:r>
            <w:r w:rsidRPr="00D825A0">
              <w:t>c</w:t>
            </w:r>
            <w:r w:rsidRPr="00093E8E">
              <w:t>numb</w:t>
            </w:r>
            <w:r w:rsidRPr="00D825A0">
              <w:t>e</w:t>
            </w:r>
            <w:r w:rsidRPr="00093E8E">
              <w:t>r</w:t>
            </w:r>
            <w:r w:rsidRPr="00D825A0">
              <w:t xml:space="preserve"> </w:t>
            </w:r>
            <w:r w:rsidRPr="00093E8E">
              <w:t>{1 2 840 10046 2 1}</w:t>
            </w:r>
          </w:p>
        </w:tc>
      </w:tr>
      <w:tr w:rsidR="00215226" w:rsidRPr="00093E8E" w14:paraId="6540BA95" w14:textId="77777777" w:rsidTr="00504C3A">
        <w:trPr>
          <w:trHeight w:val="113"/>
        </w:trPr>
        <w:tc>
          <w:tcPr>
            <w:tcW w:w="1406" w:type="pct"/>
          </w:tcPr>
          <w:p w14:paraId="206CED3D" w14:textId="77777777" w:rsidR="00215226" w:rsidRPr="00093E8E" w:rsidRDefault="00215226" w:rsidP="00504C3A">
            <w:pPr>
              <w:pStyle w:val="Normal-TableText"/>
            </w:pPr>
            <w:r w:rsidRPr="00C6440C">
              <w:lastRenderedPageBreak/>
              <w:t>I</w:t>
            </w:r>
            <w:r w:rsidRPr="00093E8E">
              <w:t>ss</w:t>
            </w:r>
            <w:r w:rsidRPr="00C6440C">
              <w:t>ue</w:t>
            </w:r>
            <w:r w:rsidRPr="00093E8E">
              <w:t>r</w:t>
            </w:r>
            <w:r w:rsidRPr="00C6440C">
              <w:t xml:space="preserve"> </w:t>
            </w:r>
            <w:r w:rsidRPr="00093E8E">
              <w:t>Unique</w:t>
            </w:r>
            <w:r w:rsidRPr="00C6440C">
              <w:t xml:space="preserve"> I</w:t>
            </w:r>
            <w:r w:rsidRPr="00093E8E">
              <w:t>d</w:t>
            </w:r>
            <w:r w:rsidRPr="00C6440C">
              <w:t>e</w:t>
            </w:r>
            <w:r w:rsidRPr="00093E8E">
              <w:t>nti</w:t>
            </w:r>
            <w:r w:rsidRPr="00C6440C">
              <w:t>f</w:t>
            </w:r>
            <w:r w:rsidRPr="00093E8E">
              <w:t>i</w:t>
            </w:r>
            <w:r w:rsidRPr="00C6440C">
              <w:t>e</w:t>
            </w:r>
            <w:r w:rsidRPr="00093E8E">
              <w:t>r</w:t>
            </w:r>
          </w:p>
        </w:tc>
        <w:tc>
          <w:tcPr>
            <w:tcW w:w="3594" w:type="pct"/>
          </w:tcPr>
          <w:p w14:paraId="0DD5FC67" w14:textId="77777777" w:rsidR="00215226" w:rsidRPr="00093E8E" w:rsidRDefault="00215226" w:rsidP="00504C3A">
            <w:pPr>
              <w:pStyle w:val="Normal-TableText"/>
            </w:pPr>
            <w:r w:rsidRPr="00C6440C">
              <w:rPr>
                <w:rStyle w:val="Strong"/>
              </w:rPr>
              <w:t>Not Used</w:t>
            </w:r>
          </w:p>
        </w:tc>
      </w:tr>
      <w:tr w:rsidR="00215226" w:rsidRPr="00093E8E" w14:paraId="3E536DC8" w14:textId="77777777" w:rsidTr="00504C3A">
        <w:trPr>
          <w:trHeight w:val="113"/>
        </w:trPr>
        <w:tc>
          <w:tcPr>
            <w:tcW w:w="1406" w:type="pct"/>
          </w:tcPr>
          <w:p w14:paraId="7F42C4AF" w14:textId="77777777" w:rsidR="00215226" w:rsidRPr="00093E8E" w:rsidRDefault="00215226" w:rsidP="00504C3A">
            <w:pPr>
              <w:pStyle w:val="Normal-TableText"/>
            </w:pPr>
            <w:r w:rsidRPr="00C6440C">
              <w:t>S</w:t>
            </w:r>
            <w:r w:rsidRPr="00093E8E">
              <w:t>ubj</w:t>
            </w:r>
            <w:r w:rsidRPr="00C6440C">
              <w:t>ec</w:t>
            </w:r>
            <w:r w:rsidRPr="00093E8E">
              <w:t>t Unique</w:t>
            </w:r>
            <w:r w:rsidRPr="00C6440C">
              <w:t xml:space="preserve"> I</w:t>
            </w:r>
            <w:r w:rsidRPr="00093E8E">
              <w:t>d</w:t>
            </w:r>
            <w:r w:rsidRPr="00C6440C">
              <w:t>e</w:t>
            </w:r>
            <w:r w:rsidRPr="00093E8E">
              <w:t>nti</w:t>
            </w:r>
            <w:r w:rsidRPr="00C6440C">
              <w:t>f</w:t>
            </w:r>
            <w:r w:rsidRPr="00093E8E">
              <w:t>i</w:t>
            </w:r>
            <w:r w:rsidRPr="00C6440C">
              <w:t>e</w:t>
            </w:r>
            <w:r w:rsidRPr="00093E8E">
              <w:t>r</w:t>
            </w:r>
          </w:p>
        </w:tc>
        <w:tc>
          <w:tcPr>
            <w:tcW w:w="3594" w:type="pct"/>
          </w:tcPr>
          <w:p w14:paraId="3F80769E" w14:textId="77777777" w:rsidR="00215226" w:rsidRPr="00093E8E" w:rsidRDefault="00215226" w:rsidP="00504C3A">
            <w:pPr>
              <w:pStyle w:val="Normal-TableText"/>
            </w:pPr>
            <w:r w:rsidRPr="00C6440C">
              <w:rPr>
                <w:rStyle w:val="Strong"/>
              </w:rPr>
              <w:t>Not Used</w:t>
            </w:r>
          </w:p>
        </w:tc>
      </w:tr>
      <w:tr w:rsidR="00215226" w:rsidRPr="00093E8E" w14:paraId="7A2894E7" w14:textId="77777777" w:rsidTr="00504C3A">
        <w:trPr>
          <w:trHeight w:val="113"/>
        </w:trPr>
        <w:tc>
          <w:tcPr>
            <w:tcW w:w="1406" w:type="pct"/>
            <w:vMerge w:val="restart"/>
          </w:tcPr>
          <w:p w14:paraId="21A75817" w14:textId="77777777" w:rsidR="00215226" w:rsidRPr="00093E8E" w:rsidRDefault="00215226" w:rsidP="00504C3A">
            <w:pPr>
              <w:pStyle w:val="Normal-TableText"/>
            </w:pPr>
            <w:r w:rsidRPr="00C6440C">
              <w:t>I</w:t>
            </w:r>
            <w:r w:rsidRPr="00093E8E">
              <w:t>ss</w:t>
            </w:r>
            <w:r w:rsidRPr="00C6440C">
              <w:t>uer’</w:t>
            </w:r>
            <w:r w:rsidRPr="00093E8E">
              <w:t xml:space="preserve">s </w:t>
            </w:r>
            <w:r w:rsidRPr="00C6440C">
              <w:t>S</w:t>
            </w:r>
            <w:r w:rsidRPr="00093E8E">
              <w:t>i</w:t>
            </w:r>
            <w:r w:rsidRPr="00C6440C">
              <w:t>gna</w:t>
            </w:r>
            <w:r w:rsidRPr="00093E8E">
              <w:t>tu</w:t>
            </w:r>
            <w:r w:rsidRPr="00C6440C">
              <w:t>re</w:t>
            </w:r>
          </w:p>
        </w:tc>
        <w:tc>
          <w:tcPr>
            <w:tcW w:w="3594" w:type="pct"/>
          </w:tcPr>
          <w:p w14:paraId="2BEB3A4E" w14:textId="77777777" w:rsidR="00215226" w:rsidRPr="00093E8E" w:rsidRDefault="00215226" w:rsidP="00504C3A">
            <w:pPr>
              <w:pStyle w:val="Normal-TableText"/>
            </w:pPr>
            <w:r w:rsidRPr="00C6440C">
              <w:rPr>
                <w:rStyle w:val="Strong"/>
              </w:rPr>
              <w:t>Required</w:t>
            </w:r>
          </w:p>
        </w:tc>
      </w:tr>
      <w:tr w:rsidR="00215226" w:rsidRPr="00093E8E" w14:paraId="71C6D089" w14:textId="77777777" w:rsidTr="00504C3A">
        <w:trPr>
          <w:trHeight w:val="113"/>
        </w:trPr>
        <w:tc>
          <w:tcPr>
            <w:tcW w:w="1406" w:type="pct"/>
            <w:vMerge/>
          </w:tcPr>
          <w:p w14:paraId="01E56891" w14:textId="77777777" w:rsidR="00215226" w:rsidRPr="00093E8E" w:rsidRDefault="00215226" w:rsidP="00504C3A">
            <w:pPr>
              <w:pStyle w:val="Normal-TableText"/>
            </w:pPr>
          </w:p>
        </w:tc>
        <w:tc>
          <w:tcPr>
            <w:tcW w:w="3594" w:type="pct"/>
          </w:tcPr>
          <w:p w14:paraId="58E945E3" w14:textId="77777777" w:rsidR="00215226" w:rsidRPr="00093E8E" w:rsidRDefault="00215226" w:rsidP="00504C3A">
            <w:pPr>
              <w:pStyle w:val="Normal-TableText"/>
            </w:pPr>
            <w:r w:rsidRPr="00093E8E">
              <w:t>A</w:t>
            </w:r>
            <w:r w:rsidRPr="00C6440C">
              <w:t>S</w:t>
            </w:r>
            <w:r w:rsidRPr="00093E8E">
              <w:t>N.1 DER</w:t>
            </w:r>
            <w:r w:rsidRPr="00C6440C">
              <w:t xml:space="preserve"> e</w:t>
            </w:r>
            <w:r w:rsidRPr="00093E8E">
              <w:t>n</w:t>
            </w:r>
            <w:r w:rsidRPr="00C6440C">
              <w:t>c</w:t>
            </w:r>
            <w:r w:rsidRPr="00093E8E">
              <w:t>od</w:t>
            </w:r>
            <w:r w:rsidRPr="00C6440C">
              <w:t>e</w:t>
            </w:r>
            <w:r w:rsidRPr="00093E8E">
              <w:t>d</w:t>
            </w:r>
            <w:r w:rsidRPr="00C6440C">
              <w:t xml:space="preserve"> cer</w:t>
            </w:r>
            <w:r w:rsidRPr="00093E8E">
              <w:t>ti</w:t>
            </w:r>
            <w:r w:rsidRPr="00C6440C">
              <w:t>f</w:t>
            </w:r>
            <w:r w:rsidRPr="00093E8E">
              <w:t>i</w:t>
            </w:r>
            <w:r w:rsidRPr="00C6440C">
              <w:t>ca</w:t>
            </w:r>
            <w:r w:rsidRPr="00093E8E">
              <w:t>te</w:t>
            </w:r>
            <w:r w:rsidRPr="00C6440C">
              <w:t xml:space="preserve"> </w:t>
            </w:r>
            <w:r w:rsidRPr="00093E8E">
              <w:t>si</w:t>
            </w:r>
            <w:r w:rsidRPr="00C6440C">
              <w:t>gna</w:t>
            </w:r>
            <w:r w:rsidRPr="00093E8E">
              <w:t>tu</w:t>
            </w:r>
            <w:r w:rsidRPr="00C6440C">
              <w:t>r</w:t>
            </w:r>
            <w:r w:rsidRPr="00093E8E">
              <w:t>e</w:t>
            </w:r>
            <w:r w:rsidRPr="00C6440C">
              <w:t xml:space="preserve"> va</w:t>
            </w:r>
            <w:r w:rsidRPr="00093E8E">
              <w:t>lue</w:t>
            </w:r>
            <w:r w:rsidRPr="00C6440C">
              <w:t xml:space="preserve"> c</w:t>
            </w:r>
            <w:r w:rsidRPr="00093E8E">
              <w:t>o</w:t>
            </w:r>
            <w:r w:rsidRPr="00C6440C">
              <w:t>rre</w:t>
            </w:r>
            <w:r w:rsidRPr="00093E8E">
              <w:t>spondi</w:t>
            </w:r>
            <w:r w:rsidRPr="00C6440C">
              <w:t>n</w:t>
            </w:r>
            <w:r w:rsidRPr="00093E8E">
              <w:t>g</w:t>
            </w:r>
            <w:r w:rsidRPr="00C6440C">
              <w:t xml:space="preserve"> </w:t>
            </w:r>
            <w:r w:rsidRPr="00093E8E">
              <w:t>to</w:t>
            </w:r>
          </w:p>
          <w:p w14:paraId="082AECB0" w14:textId="77777777" w:rsidR="00215226" w:rsidRPr="00093E8E" w:rsidRDefault="00215226" w:rsidP="00504C3A">
            <w:pPr>
              <w:pStyle w:val="Normal-TableText"/>
            </w:pPr>
            <w:r w:rsidRPr="00C6440C">
              <w:t>I</w:t>
            </w:r>
            <w:r w:rsidRPr="00093E8E">
              <w:t>ss</w:t>
            </w:r>
            <w:r w:rsidRPr="00C6440C">
              <w:t>ue</w:t>
            </w:r>
            <w:r w:rsidRPr="00093E8E">
              <w:t>r</w:t>
            </w:r>
            <w:r w:rsidRPr="00C6440C">
              <w:t xml:space="preserve"> </w:t>
            </w:r>
            <w:r w:rsidRPr="00093E8E">
              <w:t>s</w:t>
            </w:r>
            <w:r w:rsidRPr="00C6440C">
              <w:t>ig</w:t>
            </w:r>
            <w:r w:rsidRPr="00093E8E">
              <w:t>n</w:t>
            </w:r>
            <w:r w:rsidRPr="00C6440C">
              <w:t>a</w:t>
            </w:r>
            <w:r w:rsidRPr="00093E8E">
              <w:t>tu</w:t>
            </w:r>
            <w:r w:rsidRPr="00C6440C">
              <w:t>r</w:t>
            </w:r>
            <w:r w:rsidRPr="00093E8E">
              <w:t>e</w:t>
            </w:r>
            <w:r w:rsidRPr="00C6440C">
              <w:t xml:space="preserve"> alg</w:t>
            </w:r>
            <w:r w:rsidRPr="00093E8E">
              <w:t>o</w:t>
            </w:r>
            <w:r w:rsidRPr="00C6440C">
              <w:t>r</w:t>
            </w:r>
            <w:r w:rsidRPr="00093E8E">
              <w:t>ithm</w:t>
            </w:r>
          </w:p>
        </w:tc>
      </w:tr>
      <w:tr w:rsidR="00215226" w:rsidRPr="00093E8E" w14:paraId="7EF3ABA7" w14:textId="77777777" w:rsidTr="00504C3A">
        <w:trPr>
          <w:trHeight w:val="113"/>
        </w:trPr>
        <w:tc>
          <w:tcPr>
            <w:tcW w:w="1406" w:type="pct"/>
            <w:vMerge w:val="restart"/>
          </w:tcPr>
          <w:p w14:paraId="733B053D" w14:textId="77777777" w:rsidR="00215226" w:rsidRPr="00093E8E" w:rsidRDefault="00215226" w:rsidP="00504C3A">
            <w:pPr>
              <w:pStyle w:val="Normal-TableText"/>
            </w:pPr>
            <w:r w:rsidRPr="00093E8E">
              <w:t>Autho</w:t>
            </w:r>
            <w:r w:rsidRPr="00C6440C">
              <w:t>r</w:t>
            </w:r>
            <w:r w:rsidRPr="00093E8E">
              <w:t>i</w:t>
            </w:r>
            <w:r w:rsidRPr="00C6440C">
              <w:t>t</w:t>
            </w:r>
            <w:r w:rsidRPr="00093E8E">
              <w:t>y</w:t>
            </w:r>
            <w:r w:rsidRPr="00C6440C">
              <w:t xml:space="preserve"> Ke</w:t>
            </w:r>
            <w:r w:rsidRPr="00093E8E">
              <w:t>y</w:t>
            </w:r>
            <w:r w:rsidRPr="00C6440C">
              <w:t xml:space="preserve"> I</w:t>
            </w:r>
            <w:r w:rsidRPr="00093E8E">
              <w:t>d</w:t>
            </w:r>
            <w:r w:rsidRPr="00C6440C">
              <w:t>e</w:t>
            </w:r>
            <w:r w:rsidRPr="00093E8E">
              <w:t>nti</w:t>
            </w:r>
            <w:r w:rsidRPr="00C6440C">
              <w:t>f</w:t>
            </w:r>
            <w:r w:rsidRPr="00093E8E">
              <w:t>i</w:t>
            </w:r>
            <w:r w:rsidRPr="00C6440C">
              <w:t>e</w:t>
            </w:r>
            <w:r w:rsidRPr="00093E8E">
              <w:t>r</w:t>
            </w:r>
          </w:p>
        </w:tc>
        <w:tc>
          <w:tcPr>
            <w:tcW w:w="3594" w:type="pct"/>
          </w:tcPr>
          <w:p w14:paraId="3A44DD89" w14:textId="77777777" w:rsidR="00215226" w:rsidRPr="00093E8E" w:rsidRDefault="00215226" w:rsidP="00504C3A">
            <w:pPr>
              <w:pStyle w:val="Normal-TableText"/>
            </w:pPr>
            <w:r w:rsidRPr="00C6440C">
              <w:rPr>
                <w:rStyle w:val="Strong"/>
              </w:rPr>
              <w:t>Required</w:t>
            </w:r>
          </w:p>
        </w:tc>
      </w:tr>
      <w:tr w:rsidR="00215226" w:rsidRPr="00093E8E" w14:paraId="6D332338" w14:textId="77777777" w:rsidTr="00504C3A">
        <w:trPr>
          <w:trHeight w:val="113"/>
        </w:trPr>
        <w:tc>
          <w:tcPr>
            <w:tcW w:w="1406" w:type="pct"/>
            <w:vMerge/>
          </w:tcPr>
          <w:p w14:paraId="650D3288" w14:textId="77777777" w:rsidR="00215226" w:rsidRPr="00093E8E" w:rsidRDefault="00215226" w:rsidP="00504C3A">
            <w:pPr>
              <w:pStyle w:val="Normal-TableText"/>
            </w:pPr>
          </w:p>
        </w:tc>
        <w:tc>
          <w:tcPr>
            <w:tcW w:w="3594" w:type="pct"/>
          </w:tcPr>
          <w:p w14:paraId="465877D4" w14:textId="77777777" w:rsidR="00215226" w:rsidRPr="00093E8E" w:rsidRDefault="00215226" w:rsidP="00504C3A">
            <w:pPr>
              <w:pStyle w:val="Normal-TableText"/>
            </w:pPr>
            <w:r w:rsidRPr="00093E8E">
              <w:t>k</w:t>
            </w:r>
            <w:r w:rsidRPr="00C6440C">
              <w:t>eyID</w:t>
            </w:r>
            <w:r w:rsidRPr="00093E8E">
              <w:t xml:space="preserve">, </w:t>
            </w:r>
            <w:r w:rsidRPr="00C6440C">
              <w:t>Oc</w:t>
            </w:r>
            <w:r w:rsidRPr="00093E8E">
              <w:t>t</w:t>
            </w:r>
            <w:r w:rsidRPr="00C6440C">
              <w:t>e</w:t>
            </w:r>
            <w:r w:rsidRPr="00093E8E">
              <w:t xml:space="preserve">t </w:t>
            </w:r>
            <w:r w:rsidRPr="00C6440C">
              <w:t>S</w:t>
            </w:r>
            <w:r w:rsidRPr="00093E8E">
              <w:t>t</w:t>
            </w:r>
            <w:r w:rsidRPr="00C6440C">
              <w:t>r</w:t>
            </w:r>
            <w:r w:rsidRPr="00093E8E">
              <w:t>ing</w:t>
            </w:r>
          </w:p>
          <w:p w14:paraId="4AF9D37C" w14:textId="77777777" w:rsidR="00215226" w:rsidRPr="00093E8E" w:rsidRDefault="00215226" w:rsidP="00504C3A">
            <w:pPr>
              <w:pStyle w:val="Normal-TableText"/>
            </w:pPr>
            <w:r w:rsidRPr="00C6440C">
              <w:t>Rec</w:t>
            </w:r>
            <w:r w:rsidRPr="00093E8E">
              <w:t>omm</w:t>
            </w:r>
            <w:r w:rsidRPr="00C6440C">
              <w:t>e</w:t>
            </w:r>
            <w:r w:rsidRPr="00093E8E">
              <w:t>nd</w:t>
            </w:r>
            <w:r w:rsidRPr="00C6440C">
              <w:t>e</w:t>
            </w:r>
            <w:r w:rsidRPr="00093E8E">
              <w:t>d th</w:t>
            </w:r>
            <w:r w:rsidRPr="00C6440C">
              <w:t>a</w:t>
            </w:r>
            <w:r w:rsidRPr="00093E8E">
              <w:t>t th</w:t>
            </w:r>
            <w:r w:rsidRPr="00C6440C">
              <w:t>a</w:t>
            </w:r>
            <w:r w:rsidRPr="00093E8E">
              <w:t xml:space="preserve">t </w:t>
            </w:r>
            <w:r w:rsidRPr="00C6440C">
              <w:t>t</w:t>
            </w:r>
            <w:r w:rsidRPr="00093E8E">
              <w:t>he</w:t>
            </w:r>
            <w:r w:rsidRPr="00C6440C">
              <w:t xml:space="preserve"> </w:t>
            </w:r>
            <w:r w:rsidRPr="00093E8E">
              <w:t>o</w:t>
            </w:r>
            <w:r w:rsidRPr="00C6440C">
              <w:t>c</w:t>
            </w:r>
            <w:r w:rsidRPr="00093E8E">
              <w:t>t</w:t>
            </w:r>
            <w:r w:rsidRPr="00C6440C">
              <w:t>e</w:t>
            </w:r>
            <w:r w:rsidRPr="00093E8E">
              <w:t>t st</w:t>
            </w:r>
            <w:r w:rsidRPr="00C6440C">
              <w:t>r</w:t>
            </w:r>
            <w:r w:rsidRPr="00093E8E">
              <w:t>i</w:t>
            </w:r>
            <w:r w:rsidRPr="00C6440C">
              <w:t>n</w:t>
            </w:r>
            <w:r w:rsidRPr="00093E8E">
              <w:t>g</w:t>
            </w:r>
            <w:r w:rsidRPr="00C6440C">
              <w:t xml:space="preserve"> c</w:t>
            </w:r>
            <w:r w:rsidRPr="00093E8E">
              <w:t>ont</w:t>
            </w:r>
            <w:r w:rsidRPr="00C6440C">
              <w:t>a</w:t>
            </w:r>
            <w:r w:rsidRPr="00093E8E">
              <w:t>in t</w:t>
            </w:r>
            <w:r w:rsidRPr="00C6440C">
              <w:t>h</w:t>
            </w:r>
            <w:r w:rsidRPr="00093E8E">
              <w:t>e</w:t>
            </w:r>
            <w:r w:rsidRPr="00C6440C">
              <w:t xml:space="preserve"> </w:t>
            </w:r>
            <w:r w:rsidRPr="00093E8E">
              <w:t xml:space="preserve">20 </w:t>
            </w:r>
            <w:r w:rsidRPr="00C6440C">
              <w:t>byt</w:t>
            </w:r>
            <w:r w:rsidRPr="00093E8E">
              <w:t>e</w:t>
            </w:r>
            <w:r w:rsidRPr="00C6440C">
              <w:t xml:space="preserve"> S</w:t>
            </w:r>
            <w:r w:rsidRPr="00093E8E">
              <w:t>HA</w:t>
            </w:r>
            <w:r w:rsidRPr="00C6440C">
              <w:t>–1</w:t>
            </w:r>
            <w:r w:rsidRPr="00093E8E">
              <w:t xml:space="preserve"> h</w:t>
            </w:r>
            <w:r w:rsidRPr="00C6440C">
              <w:t>a</w:t>
            </w:r>
            <w:r w:rsidRPr="00093E8E">
              <w:t>sh of</w:t>
            </w:r>
            <w:r w:rsidRPr="00C6440C">
              <w:t xml:space="preserve"> </w:t>
            </w:r>
            <w:r w:rsidRPr="00093E8E">
              <w:t>the</w:t>
            </w:r>
            <w:r w:rsidRPr="00C6440C">
              <w:t xml:space="preserve"> </w:t>
            </w:r>
            <w:r w:rsidRPr="00093E8E">
              <w:t>bin</w:t>
            </w:r>
            <w:r w:rsidRPr="00C6440C">
              <w:t>ar</w:t>
            </w:r>
            <w:r w:rsidRPr="00093E8E">
              <w:t>y</w:t>
            </w:r>
            <w:r w:rsidRPr="00C6440C">
              <w:t xml:space="preserve"> </w:t>
            </w:r>
            <w:r w:rsidRPr="00093E8E">
              <w:t>DER</w:t>
            </w:r>
            <w:r w:rsidRPr="00C6440C">
              <w:t xml:space="preserve"> e</w:t>
            </w:r>
            <w:r w:rsidRPr="00093E8E">
              <w:t>n</w:t>
            </w:r>
            <w:r w:rsidRPr="00C6440C">
              <w:t>c</w:t>
            </w:r>
            <w:r w:rsidRPr="00093E8E">
              <w:t>oding</w:t>
            </w:r>
            <w:r w:rsidRPr="00C6440C">
              <w:t xml:space="preserve"> o</w:t>
            </w:r>
            <w:r w:rsidRPr="00093E8E">
              <w:t>f</w:t>
            </w:r>
            <w:r w:rsidRPr="00C6440C">
              <w:t xml:space="preserve"> </w:t>
            </w:r>
            <w:r w:rsidRPr="00093E8E">
              <w:t>the</w:t>
            </w:r>
            <w:r w:rsidRPr="00C6440C">
              <w:t xml:space="preserve"> </w:t>
            </w:r>
            <w:r w:rsidRPr="00093E8E">
              <w:t>subj</w:t>
            </w:r>
            <w:r w:rsidRPr="00C6440C">
              <w:t>ec</w:t>
            </w:r>
            <w:r w:rsidRPr="00093E8E">
              <w:t xml:space="preserve">t </w:t>
            </w:r>
            <w:r w:rsidRPr="00C6440C">
              <w:t>C</w:t>
            </w:r>
            <w:r w:rsidRPr="00093E8E">
              <w:t>A</w:t>
            </w:r>
            <w:r w:rsidRPr="00C6440C">
              <w:t>’</w:t>
            </w:r>
            <w:r w:rsidRPr="00093E8E">
              <w:t>s public</w:t>
            </w:r>
            <w:r w:rsidRPr="00C6440C">
              <w:t xml:space="preserve"> </w:t>
            </w:r>
            <w:r w:rsidRPr="00093E8E">
              <w:t>k</w:t>
            </w:r>
            <w:r w:rsidRPr="00C6440C">
              <w:t>e</w:t>
            </w:r>
            <w:r w:rsidRPr="00093E8E">
              <w:t>y in</w:t>
            </w:r>
            <w:r w:rsidRPr="00C6440C">
              <w:t>f</w:t>
            </w:r>
            <w:r w:rsidRPr="00093E8E">
              <w:t>o</w:t>
            </w:r>
            <w:r w:rsidRPr="00C6440C">
              <w:t>r</w:t>
            </w:r>
            <w:r w:rsidRPr="00093E8E">
              <w:t>m</w:t>
            </w:r>
            <w:r w:rsidRPr="00C6440C">
              <w:t>a</w:t>
            </w:r>
            <w:r w:rsidRPr="00093E8E">
              <w:t>tion</w:t>
            </w:r>
          </w:p>
        </w:tc>
      </w:tr>
      <w:tr w:rsidR="00215226" w:rsidRPr="00093E8E" w14:paraId="5A6EC520" w14:textId="77777777" w:rsidTr="00504C3A">
        <w:trPr>
          <w:trHeight w:val="113"/>
        </w:trPr>
        <w:tc>
          <w:tcPr>
            <w:tcW w:w="1406" w:type="pct"/>
            <w:vMerge/>
          </w:tcPr>
          <w:p w14:paraId="5DDB201D" w14:textId="77777777" w:rsidR="00215226" w:rsidRPr="00093E8E" w:rsidRDefault="00215226" w:rsidP="00504C3A">
            <w:pPr>
              <w:pStyle w:val="Normal-TableText"/>
            </w:pPr>
          </w:p>
        </w:tc>
        <w:tc>
          <w:tcPr>
            <w:tcW w:w="3594" w:type="pct"/>
          </w:tcPr>
          <w:p w14:paraId="3A6BF3A5" w14:textId="77777777" w:rsidR="00215226" w:rsidRPr="00093E8E" w:rsidRDefault="00215226" w:rsidP="00504C3A">
            <w:pPr>
              <w:pStyle w:val="Normal-TableText"/>
            </w:pPr>
            <w:r w:rsidRPr="00C6440C">
              <w:rPr>
                <w:rStyle w:val="Strong"/>
              </w:rPr>
              <w:t>Not Used</w:t>
            </w:r>
          </w:p>
        </w:tc>
      </w:tr>
      <w:tr w:rsidR="00215226" w:rsidRPr="00093E8E" w14:paraId="2EF536E9" w14:textId="77777777" w:rsidTr="00504C3A">
        <w:trPr>
          <w:trHeight w:val="113"/>
        </w:trPr>
        <w:tc>
          <w:tcPr>
            <w:tcW w:w="1406" w:type="pct"/>
            <w:vMerge/>
          </w:tcPr>
          <w:p w14:paraId="668D41B4" w14:textId="77777777" w:rsidR="00215226" w:rsidRPr="00093E8E" w:rsidRDefault="00215226" w:rsidP="00504C3A">
            <w:pPr>
              <w:pStyle w:val="Normal-TableText"/>
            </w:pPr>
          </w:p>
        </w:tc>
        <w:tc>
          <w:tcPr>
            <w:tcW w:w="3594" w:type="pct"/>
          </w:tcPr>
          <w:p w14:paraId="541E7181" w14:textId="77777777" w:rsidR="00215226" w:rsidRPr="00093E8E" w:rsidRDefault="00215226" w:rsidP="00504C3A">
            <w:pPr>
              <w:pStyle w:val="Normal-TableText"/>
            </w:pPr>
            <w:r w:rsidRPr="00C6440C">
              <w:t>I</w:t>
            </w:r>
            <w:r w:rsidRPr="00093E8E">
              <w:t>ss</w:t>
            </w:r>
            <w:r w:rsidRPr="00C6440C">
              <w:t>ue</w:t>
            </w:r>
            <w:r w:rsidRPr="00093E8E">
              <w:t>r</w:t>
            </w:r>
            <w:r w:rsidRPr="00C6440C">
              <w:t xml:space="preserve"> </w:t>
            </w:r>
            <w:r w:rsidRPr="00093E8E">
              <w:t xml:space="preserve">DN, </w:t>
            </w:r>
            <w:r w:rsidRPr="00C6440C">
              <w:t>Ser</w:t>
            </w:r>
            <w:r w:rsidRPr="00093E8E">
              <w:t>i</w:t>
            </w:r>
            <w:r w:rsidRPr="00C6440C">
              <w:t>a</w:t>
            </w:r>
            <w:r w:rsidRPr="00093E8E">
              <w:t>l Numb</w:t>
            </w:r>
            <w:r w:rsidRPr="00C6440C">
              <w:t>e</w:t>
            </w:r>
            <w:r w:rsidRPr="00093E8E">
              <w:t>r</w:t>
            </w:r>
            <w:r w:rsidRPr="00C6440C">
              <w:t xml:space="preserve"> </w:t>
            </w:r>
            <w:r w:rsidRPr="00093E8E">
              <w:t>tuple</w:t>
            </w:r>
          </w:p>
        </w:tc>
      </w:tr>
      <w:tr w:rsidR="00215226" w:rsidRPr="00093E8E" w14:paraId="29E3F924" w14:textId="77777777" w:rsidTr="00504C3A">
        <w:trPr>
          <w:trHeight w:val="113"/>
        </w:trPr>
        <w:tc>
          <w:tcPr>
            <w:tcW w:w="1406" w:type="pct"/>
            <w:vMerge w:val="restart"/>
          </w:tcPr>
          <w:p w14:paraId="10484258" w14:textId="77777777" w:rsidR="00215226" w:rsidRPr="00093E8E" w:rsidRDefault="00215226" w:rsidP="00504C3A">
            <w:pPr>
              <w:pStyle w:val="Normal-TableText"/>
            </w:pPr>
            <w:r w:rsidRPr="00C6440C">
              <w:t>S</w:t>
            </w:r>
            <w:r w:rsidRPr="00093E8E">
              <w:t>ubj</w:t>
            </w:r>
            <w:r w:rsidRPr="00C6440C">
              <w:t>ec</w:t>
            </w:r>
            <w:r w:rsidRPr="00093E8E">
              <w:t>t K</w:t>
            </w:r>
            <w:r w:rsidRPr="00C6440C">
              <w:t>e</w:t>
            </w:r>
            <w:r w:rsidRPr="00093E8E">
              <w:t>y</w:t>
            </w:r>
            <w:r w:rsidRPr="00C6440C">
              <w:t xml:space="preserve"> I</w:t>
            </w:r>
            <w:r w:rsidRPr="00093E8E">
              <w:t>d</w:t>
            </w:r>
            <w:r w:rsidRPr="00C6440C">
              <w:t>e</w:t>
            </w:r>
            <w:r w:rsidRPr="00093E8E">
              <w:t>nti</w:t>
            </w:r>
            <w:r w:rsidRPr="00C6440C">
              <w:t>f</w:t>
            </w:r>
            <w:r w:rsidRPr="00093E8E">
              <w:t>i</w:t>
            </w:r>
            <w:r w:rsidRPr="00C6440C">
              <w:t>e</w:t>
            </w:r>
            <w:r w:rsidRPr="00093E8E">
              <w:t>r</w:t>
            </w:r>
          </w:p>
        </w:tc>
        <w:tc>
          <w:tcPr>
            <w:tcW w:w="3594" w:type="pct"/>
          </w:tcPr>
          <w:p w14:paraId="3F25D833" w14:textId="77777777" w:rsidR="00215226" w:rsidRPr="00093E8E" w:rsidRDefault="00215226" w:rsidP="00504C3A">
            <w:pPr>
              <w:pStyle w:val="Normal-TableText"/>
            </w:pPr>
            <w:r w:rsidRPr="00C6440C">
              <w:rPr>
                <w:rStyle w:val="Strong"/>
              </w:rPr>
              <w:t>Required</w:t>
            </w:r>
          </w:p>
        </w:tc>
      </w:tr>
      <w:tr w:rsidR="00215226" w:rsidRPr="00093E8E" w14:paraId="319C12F1" w14:textId="77777777" w:rsidTr="00504C3A">
        <w:trPr>
          <w:trHeight w:val="113"/>
        </w:trPr>
        <w:tc>
          <w:tcPr>
            <w:tcW w:w="1406" w:type="pct"/>
            <w:vMerge/>
          </w:tcPr>
          <w:p w14:paraId="29D9A109" w14:textId="77777777" w:rsidR="00215226" w:rsidRPr="00093E8E" w:rsidRDefault="00215226" w:rsidP="00504C3A">
            <w:pPr>
              <w:pStyle w:val="Normal-TableText"/>
            </w:pPr>
          </w:p>
        </w:tc>
        <w:tc>
          <w:tcPr>
            <w:tcW w:w="3594" w:type="pct"/>
          </w:tcPr>
          <w:p w14:paraId="1D03B0A3" w14:textId="77777777" w:rsidR="00215226" w:rsidRPr="00093E8E" w:rsidRDefault="00215226" w:rsidP="00504C3A">
            <w:pPr>
              <w:pStyle w:val="Normal-TableText"/>
            </w:pPr>
            <w:r w:rsidRPr="00C6440C">
              <w:t>Rec</w:t>
            </w:r>
            <w:r w:rsidRPr="00093E8E">
              <w:t>omm</w:t>
            </w:r>
            <w:r w:rsidRPr="00C6440C">
              <w:t>e</w:t>
            </w:r>
            <w:r w:rsidRPr="00093E8E">
              <w:t>nd</w:t>
            </w:r>
            <w:r w:rsidRPr="00C6440C">
              <w:t>e</w:t>
            </w:r>
            <w:r w:rsidRPr="00093E8E">
              <w:t>d th</w:t>
            </w:r>
            <w:r w:rsidRPr="00C6440C">
              <w:t>a</w:t>
            </w:r>
            <w:r w:rsidRPr="00093E8E">
              <w:t>t th</w:t>
            </w:r>
            <w:r w:rsidRPr="00C6440C">
              <w:t>a</w:t>
            </w:r>
            <w:r w:rsidRPr="00093E8E">
              <w:t xml:space="preserve">t </w:t>
            </w:r>
            <w:r w:rsidRPr="00C6440C">
              <w:t>t</w:t>
            </w:r>
            <w:r w:rsidRPr="00093E8E">
              <w:t>he</w:t>
            </w:r>
            <w:r w:rsidRPr="00C6440C">
              <w:t xml:space="preserve"> </w:t>
            </w:r>
            <w:r w:rsidRPr="00093E8E">
              <w:t>o</w:t>
            </w:r>
            <w:r w:rsidRPr="00C6440C">
              <w:t>c</w:t>
            </w:r>
            <w:r w:rsidRPr="00093E8E">
              <w:t>t</w:t>
            </w:r>
            <w:r w:rsidRPr="00C6440C">
              <w:t>e</w:t>
            </w:r>
            <w:r w:rsidRPr="00093E8E">
              <w:t>t st</w:t>
            </w:r>
            <w:r w:rsidRPr="00C6440C">
              <w:t>r</w:t>
            </w:r>
            <w:r w:rsidRPr="00093E8E">
              <w:t>i</w:t>
            </w:r>
            <w:r w:rsidRPr="00C6440C">
              <w:t>n</w:t>
            </w:r>
            <w:r w:rsidRPr="00093E8E">
              <w:t>g</w:t>
            </w:r>
            <w:r w:rsidRPr="00C6440C">
              <w:t xml:space="preserve"> c</w:t>
            </w:r>
            <w:r w:rsidRPr="00093E8E">
              <w:t>ont</w:t>
            </w:r>
            <w:r w:rsidRPr="00C6440C">
              <w:t>a</w:t>
            </w:r>
            <w:r w:rsidRPr="00093E8E">
              <w:t>in t</w:t>
            </w:r>
            <w:r w:rsidRPr="00C6440C">
              <w:t>h</w:t>
            </w:r>
            <w:r w:rsidRPr="00093E8E">
              <w:t>e</w:t>
            </w:r>
            <w:r w:rsidRPr="00C6440C">
              <w:t xml:space="preserve"> </w:t>
            </w:r>
            <w:r w:rsidRPr="00093E8E">
              <w:t xml:space="preserve">20 </w:t>
            </w:r>
            <w:r w:rsidRPr="00C6440C">
              <w:t>byt</w:t>
            </w:r>
            <w:r w:rsidRPr="00093E8E">
              <w:t>e</w:t>
            </w:r>
            <w:r w:rsidRPr="00C6440C">
              <w:t xml:space="preserve"> S</w:t>
            </w:r>
            <w:r w:rsidRPr="00093E8E">
              <w:t>HA</w:t>
            </w:r>
            <w:r w:rsidRPr="00C6440C">
              <w:t>–1</w:t>
            </w:r>
            <w:r w:rsidRPr="00093E8E">
              <w:t xml:space="preserve"> h</w:t>
            </w:r>
            <w:r w:rsidRPr="00C6440C">
              <w:t>a</w:t>
            </w:r>
            <w:r w:rsidRPr="00093E8E">
              <w:t>sh of</w:t>
            </w:r>
            <w:r w:rsidRPr="00C6440C">
              <w:t xml:space="preserve"> </w:t>
            </w:r>
            <w:r w:rsidRPr="00093E8E">
              <w:t>the</w:t>
            </w:r>
            <w:r w:rsidRPr="00C6440C">
              <w:t xml:space="preserve"> </w:t>
            </w:r>
            <w:r w:rsidRPr="00093E8E">
              <w:t>bin</w:t>
            </w:r>
            <w:r w:rsidRPr="00C6440C">
              <w:t>ar</w:t>
            </w:r>
            <w:r w:rsidRPr="00093E8E">
              <w:t>y</w:t>
            </w:r>
            <w:r w:rsidRPr="00C6440C">
              <w:t xml:space="preserve"> </w:t>
            </w:r>
            <w:r w:rsidRPr="00093E8E">
              <w:t>DER</w:t>
            </w:r>
            <w:r w:rsidRPr="00C6440C">
              <w:t xml:space="preserve"> e</w:t>
            </w:r>
            <w:r w:rsidRPr="00093E8E">
              <w:t>n</w:t>
            </w:r>
            <w:r w:rsidRPr="00C6440C">
              <w:t>c</w:t>
            </w:r>
            <w:r w:rsidRPr="00093E8E">
              <w:t>oding</w:t>
            </w:r>
            <w:r w:rsidRPr="00C6440C">
              <w:t xml:space="preserve"> o</w:t>
            </w:r>
            <w:r w:rsidRPr="00093E8E">
              <w:t>f</w:t>
            </w:r>
            <w:r w:rsidRPr="00C6440C">
              <w:t xml:space="preserve"> </w:t>
            </w:r>
            <w:r w:rsidRPr="00093E8E">
              <w:t>the</w:t>
            </w:r>
            <w:r w:rsidRPr="00C6440C">
              <w:t xml:space="preserve"> </w:t>
            </w:r>
            <w:r w:rsidRPr="00093E8E">
              <w:t>subj</w:t>
            </w:r>
            <w:r w:rsidRPr="00C6440C">
              <w:t>ec</w:t>
            </w:r>
            <w:r w:rsidRPr="00093E8E">
              <w:t xml:space="preserve">t </w:t>
            </w:r>
            <w:r w:rsidRPr="00C6440C">
              <w:t>C</w:t>
            </w:r>
            <w:r w:rsidRPr="00093E8E">
              <w:t>A</w:t>
            </w:r>
            <w:r w:rsidRPr="00C6440C">
              <w:t>’</w:t>
            </w:r>
            <w:r w:rsidRPr="00093E8E">
              <w:t>s public</w:t>
            </w:r>
            <w:r w:rsidRPr="00C6440C">
              <w:t xml:space="preserve"> </w:t>
            </w:r>
            <w:r w:rsidRPr="00093E8E">
              <w:t>k</w:t>
            </w:r>
            <w:r w:rsidRPr="00C6440C">
              <w:t>e</w:t>
            </w:r>
            <w:r w:rsidRPr="00093E8E">
              <w:t>y in</w:t>
            </w:r>
            <w:r w:rsidRPr="00C6440C">
              <w:t>f</w:t>
            </w:r>
            <w:r w:rsidRPr="00093E8E">
              <w:t>o</w:t>
            </w:r>
            <w:r w:rsidRPr="00C6440C">
              <w:t>r</w:t>
            </w:r>
            <w:r w:rsidRPr="00093E8E">
              <w:t>m</w:t>
            </w:r>
            <w:r w:rsidRPr="00C6440C">
              <w:t>a</w:t>
            </w:r>
            <w:r w:rsidRPr="00093E8E">
              <w:t>tion</w:t>
            </w:r>
          </w:p>
        </w:tc>
      </w:tr>
      <w:tr w:rsidR="00215226" w:rsidRPr="00093E8E" w14:paraId="2C183D24" w14:textId="77777777" w:rsidTr="00504C3A">
        <w:trPr>
          <w:trHeight w:val="113"/>
        </w:trPr>
        <w:tc>
          <w:tcPr>
            <w:tcW w:w="1406" w:type="pct"/>
          </w:tcPr>
          <w:p w14:paraId="4B8F6418" w14:textId="77777777" w:rsidR="00215226" w:rsidRPr="00093E8E" w:rsidRDefault="00215226" w:rsidP="00504C3A">
            <w:pPr>
              <w:pStyle w:val="Normal-TableText"/>
            </w:pPr>
            <w:r w:rsidRPr="00093E8E">
              <w:t>K</w:t>
            </w:r>
            <w:r w:rsidRPr="00C6440C">
              <w:t>e</w:t>
            </w:r>
            <w:r w:rsidRPr="00093E8E">
              <w:t>y</w:t>
            </w:r>
            <w:r w:rsidRPr="00C6440C">
              <w:t xml:space="preserve"> </w:t>
            </w:r>
            <w:r w:rsidRPr="00093E8E">
              <w:t>Us</w:t>
            </w:r>
            <w:r w:rsidRPr="00C6440C">
              <w:t>a</w:t>
            </w:r>
            <w:r w:rsidRPr="00093E8E">
              <w:t>ge</w:t>
            </w:r>
          </w:p>
        </w:tc>
        <w:tc>
          <w:tcPr>
            <w:tcW w:w="3594" w:type="pct"/>
          </w:tcPr>
          <w:p w14:paraId="56FFBD91" w14:textId="77777777" w:rsidR="00215226" w:rsidRPr="00093E8E" w:rsidRDefault="00215226" w:rsidP="00504C3A">
            <w:pPr>
              <w:pStyle w:val="Normal-TableText"/>
            </w:pPr>
            <w:r w:rsidRPr="00C6440C">
              <w:rPr>
                <w:rStyle w:val="Strong"/>
              </w:rPr>
              <w:t>Required</w:t>
            </w:r>
          </w:p>
        </w:tc>
      </w:tr>
      <w:tr w:rsidR="00215226" w:rsidRPr="00093E8E" w14:paraId="7603FE29" w14:textId="77777777" w:rsidTr="00504C3A">
        <w:trPr>
          <w:trHeight w:val="113"/>
        </w:trPr>
        <w:tc>
          <w:tcPr>
            <w:tcW w:w="1406" w:type="pct"/>
            <w:vMerge w:val="restart"/>
          </w:tcPr>
          <w:p w14:paraId="38EE6346" w14:textId="77777777" w:rsidR="00215226" w:rsidRPr="00093E8E" w:rsidRDefault="00215226" w:rsidP="00504C3A">
            <w:pPr>
              <w:pStyle w:val="Normal-TableText"/>
            </w:pPr>
          </w:p>
        </w:tc>
        <w:tc>
          <w:tcPr>
            <w:tcW w:w="3594" w:type="pct"/>
          </w:tcPr>
          <w:p w14:paraId="2C633C10" w14:textId="77777777" w:rsidR="00215226" w:rsidRPr="00093E8E" w:rsidRDefault="00215226" w:rsidP="00504C3A">
            <w:pPr>
              <w:pStyle w:val="Normal-TableText"/>
            </w:pPr>
            <w:r w:rsidRPr="00C6440C">
              <w:rPr>
                <w:rStyle w:val="Strong"/>
              </w:rPr>
              <w:t>Critical</w:t>
            </w:r>
          </w:p>
        </w:tc>
      </w:tr>
      <w:tr w:rsidR="00215226" w:rsidRPr="00093E8E" w14:paraId="6A5E491A" w14:textId="77777777" w:rsidTr="00504C3A">
        <w:trPr>
          <w:trHeight w:val="113"/>
        </w:trPr>
        <w:tc>
          <w:tcPr>
            <w:tcW w:w="1406" w:type="pct"/>
            <w:vMerge/>
          </w:tcPr>
          <w:p w14:paraId="123A6E9F" w14:textId="77777777" w:rsidR="00215226" w:rsidRPr="00093E8E" w:rsidRDefault="00215226" w:rsidP="00504C3A">
            <w:pPr>
              <w:pStyle w:val="Normal-TableText"/>
            </w:pPr>
          </w:p>
        </w:tc>
        <w:tc>
          <w:tcPr>
            <w:tcW w:w="3594" w:type="pct"/>
          </w:tcPr>
          <w:p w14:paraId="66B289D3" w14:textId="77777777" w:rsidR="00215226" w:rsidRPr="00093E8E" w:rsidRDefault="00215226" w:rsidP="00504C3A">
            <w:pPr>
              <w:pStyle w:val="Normal-TableText"/>
            </w:pPr>
            <w:r w:rsidRPr="00093E8E">
              <w:t>One</w:t>
            </w:r>
            <w:r w:rsidRPr="00C6440C">
              <w:t xml:space="preserve"> </w:t>
            </w:r>
            <w:r w:rsidRPr="00093E8E">
              <w:t>or</w:t>
            </w:r>
            <w:r w:rsidRPr="00C6440C">
              <w:t xml:space="preserve"> </w:t>
            </w:r>
            <w:r w:rsidRPr="00093E8E">
              <w:t>mo</w:t>
            </w:r>
            <w:r w:rsidRPr="00C6440C">
              <w:t>r</w:t>
            </w:r>
            <w:r w:rsidRPr="00093E8E">
              <w:t>e</w:t>
            </w:r>
            <w:r w:rsidRPr="00C6440C">
              <w:t xml:space="preserve"> of</w:t>
            </w:r>
            <w:r w:rsidRPr="00093E8E">
              <w:t>: di</w:t>
            </w:r>
            <w:r w:rsidRPr="00C6440C">
              <w:t>g</w:t>
            </w:r>
            <w:r w:rsidRPr="00093E8E">
              <w:t>it</w:t>
            </w:r>
            <w:r w:rsidRPr="00C6440C">
              <w:t>a</w:t>
            </w:r>
            <w:r w:rsidRPr="00093E8E">
              <w:t>l s</w:t>
            </w:r>
            <w:r w:rsidRPr="00C6440C">
              <w:t>ig</w:t>
            </w:r>
            <w:r w:rsidRPr="00093E8E">
              <w:t>n</w:t>
            </w:r>
            <w:r w:rsidRPr="00C6440C">
              <w:t>a</w:t>
            </w:r>
            <w:r w:rsidRPr="00093E8E">
              <w:t>tu</w:t>
            </w:r>
            <w:r w:rsidRPr="00C6440C">
              <w:t>re</w:t>
            </w:r>
            <w:r w:rsidRPr="00093E8E">
              <w:t xml:space="preserve">, non </w:t>
            </w:r>
            <w:r w:rsidRPr="00C6440C">
              <w:t>re</w:t>
            </w:r>
            <w:r w:rsidRPr="00093E8E">
              <w:t>pudi</w:t>
            </w:r>
            <w:r w:rsidRPr="00C6440C">
              <w:t>a</w:t>
            </w:r>
            <w:r w:rsidRPr="00093E8E">
              <w:t>tion, k</w:t>
            </w:r>
            <w:r w:rsidRPr="00C6440C">
              <w:t>e</w:t>
            </w:r>
            <w:r w:rsidRPr="00093E8E">
              <w:t xml:space="preserve">y </w:t>
            </w:r>
            <w:r w:rsidRPr="00C6440C">
              <w:t>e</w:t>
            </w:r>
            <w:r w:rsidRPr="00093E8E">
              <w:t>n</w:t>
            </w:r>
            <w:r w:rsidRPr="00C6440C">
              <w:t>c</w:t>
            </w:r>
            <w:r w:rsidRPr="00093E8E">
              <w:t>iph</w:t>
            </w:r>
            <w:r w:rsidRPr="00C6440C">
              <w:t>er</w:t>
            </w:r>
            <w:r w:rsidRPr="00093E8E">
              <w:t>m</w:t>
            </w:r>
            <w:r w:rsidRPr="00C6440C">
              <w:t>e</w:t>
            </w:r>
            <w:r w:rsidRPr="00093E8E">
              <w:t>nt, data encipherment,</w:t>
            </w:r>
            <w:r>
              <w:t xml:space="preserve"> </w:t>
            </w:r>
            <w:r w:rsidRPr="00C6440C">
              <w:t>ke</w:t>
            </w:r>
            <w:r w:rsidRPr="00093E8E">
              <w:t>y</w:t>
            </w:r>
            <w:r w:rsidRPr="00C6440C">
              <w:t xml:space="preserve"> agree</w:t>
            </w:r>
            <w:r w:rsidRPr="00093E8E">
              <w:t>m</w:t>
            </w:r>
            <w:r w:rsidRPr="00C6440C">
              <w:t>e</w:t>
            </w:r>
            <w:r w:rsidRPr="00093E8E">
              <w:t>nt</w:t>
            </w:r>
          </w:p>
        </w:tc>
      </w:tr>
      <w:tr w:rsidR="00215226" w:rsidRPr="00093E8E" w14:paraId="201D6E7E" w14:textId="77777777" w:rsidTr="00504C3A">
        <w:trPr>
          <w:trHeight w:val="113"/>
        </w:trPr>
        <w:tc>
          <w:tcPr>
            <w:tcW w:w="1406" w:type="pct"/>
          </w:tcPr>
          <w:p w14:paraId="3E276866" w14:textId="77777777" w:rsidR="00215226" w:rsidRPr="00093E8E" w:rsidRDefault="00215226" w:rsidP="00504C3A">
            <w:pPr>
              <w:pStyle w:val="Normal-TableText"/>
            </w:pPr>
            <w:r w:rsidRPr="00C6440C">
              <w:t>Ba</w:t>
            </w:r>
            <w:r w:rsidRPr="00093E8E">
              <w:t>sic</w:t>
            </w:r>
            <w:r w:rsidRPr="00C6440C">
              <w:t xml:space="preserve"> C</w:t>
            </w:r>
            <w:r w:rsidRPr="00093E8E">
              <w:t>onst</w:t>
            </w:r>
            <w:r w:rsidRPr="00C6440C">
              <w:t>ra</w:t>
            </w:r>
            <w:r w:rsidRPr="00093E8E">
              <w:t>ints</w:t>
            </w:r>
          </w:p>
        </w:tc>
        <w:tc>
          <w:tcPr>
            <w:tcW w:w="3594" w:type="pct"/>
          </w:tcPr>
          <w:p w14:paraId="08DCF7DC" w14:textId="77777777" w:rsidR="00215226" w:rsidRPr="00093E8E" w:rsidRDefault="00215226" w:rsidP="00504C3A">
            <w:pPr>
              <w:pStyle w:val="Normal-TableText"/>
            </w:pPr>
            <w:r w:rsidRPr="00C6440C">
              <w:rPr>
                <w:rStyle w:val="Strong"/>
              </w:rPr>
              <w:t>Not Used</w:t>
            </w:r>
          </w:p>
        </w:tc>
      </w:tr>
      <w:tr w:rsidR="00215226" w:rsidRPr="00093E8E" w14:paraId="0103C17F" w14:textId="77777777" w:rsidTr="00504C3A">
        <w:trPr>
          <w:trHeight w:val="113"/>
        </w:trPr>
        <w:tc>
          <w:tcPr>
            <w:tcW w:w="1406" w:type="pct"/>
          </w:tcPr>
          <w:p w14:paraId="24249AC3" w14:textId="77777777" w:rsidR="00215226" w:rsidRPr="00093E8E" w:rsidRDefault="00215226" w:rsidP="00504C3A">
            <w:pPr>
              <w:pStyle w:val="Normal-TableText"/>
            </w:pPr>
            <w:r w:rsidRPr="00093E8E">
              <w:t>E</w:t>
            </w:r>
            <w:r w:rsidRPr="00C6440C">
              <w:t>x</w:t>
            </w:r>
            <w:r w:rsidRPr="00093E8E">
              <w:t>t</w:t>
            </w:r>
            <w:r w:rsidRPr="00C6440C">
              <w:t>e</w:t>
            </w:r>
            <w:r w:rsidRPr="00093E8E">
              <w:t>nd</w:t>
            </w:r>
            <w:r w:rsidRPr="00C6440C">
              <w:t>e</w:t>
            </w:r>
            <w:r w:rsidRPr="00093E8E">
              <w:t>d K</w:t>
            </w:r>
            <w:r w:rsidRPr="00C6440C">
              <w:t>e</w:t>
            </w:r>
            <w:r w:rsidRPr="00093E8E">
              <w:t>y</w:t>
            </w:r>
            <w:r w:rsidRPr="00C6440C">
              <w:t xml:space="preserve"> </w:t>
            </w:r>
            <w:r w:rsidRPr="00093E8E">
              <w:t>Us</w:t>
            </w:r>
            <w:r w:rsidRPr="00C6440C">
              <w:t>ag</w:t>
            </w:r>
            <w:r w:rsidRPr="00093E8E">
              <w:t>e</w:t>
            </w:r>
          </w:p>
        </w:tc>
        <w:tc>
          <w:tcPr>
            <w:tcW w:w="3594" w:type="pct"/>
          </w:tcPr>
          <w:p w14:paraId="2B51ED27" w14:textId="77777777" w:rsidR="00215226" w:rsidRPr="00093E8E" w:rsidRDefault="00215226" w:rsidP="00504C3A">
            <w:pPr>
              <w:pStyle w:val="Normal-TableText"/>
            </w:pPr>
            <w:r w:rsidRPr="00C6440C">
              <w:rPr>
                <w:rStyle w:val="Strong"/>
              </w:rPr>
              <w:t>Optional</w:t>
            </w:r>
          </w:p>
        </w:tc>
      </w:tr>
      <w:tr w:rsidR="00215226" w:rsidRPr="00093E8E" w14:paraId="19A40464" w14:textId="77777777" w:rsidTr="00504C3A">
        <w:trPr>
          <w:trHeight w:val="113"/>
        </w:trPr>
        <w:tc>
          <w:tcPr>
            <w:tcW w:w="1406" w:type="pct"/>
          </w:tcPr>
          <w:p w14:paraId="0822CDD4" w14:textId="77777777" w:rsidR="00215226" w:rsidRPr="00093E8E" w:rsidRDefault="00215226" w:rsidP="00504C3A">
            <w:pPr>
              <w:pStyle w:val="Normal-TableText"/>
            </w:pPr>
            <w:r w:rsidRPr="00C6440C">
              <w:lastRenderedPageBreak/>
              <w:t>Pr</w:t>
            </w:r>
            <w:r w:rsidRPr="00093E8E">
              <w:t>iv</w:t>
            </w:r>
            <w:r w:rsidRPr="00C6440C">
              <w:t>a</w:t>
            </w:r>
            <w:r w:rsidRPr="00093E8E">
              <w:t>te</w:t>
            </w:r>
            <w:r w:rsidRPr="00C6440C">
              <w:t xml:space="preserve"> </w:t>
            </w:r>
            <w:r w:rsidRPr="00093E8E">
              <w:t>K</w:t>
            </w:r>
            <w:r w:rsidRPr="00C6440C">
              <w:t>e</w:t>
            </w:r>
            <w:r w:rsidRPr="00093E8E">
              <w:t>y</w:t>
            </w:r>
            <w:r w:rsidRPr="00C6440C">
              <w:t xml:space="preserve"> </w:t>
            </w:r>
            <w:r w:rsidRPr="00093E8E">
              <w:t>Us</w:t>
            </w:r>
            <w:r w:rsidRPr="00C6440C">
              <w:t>a</w:t>
            </w:r>
            <w:r w:rsidRPr="00093E8E">
              <w:t>ge</w:t>
            </w:r>
            <w:r w:rsidRPr="00C6440C">
              <w:t xml:space="preserve"> Per</w:t>
            </w:r>
            <w:r w:rsidRPr="00093E8E">
              <w:t>i</w:t>
            </w:r>
            <w:r w:rsidRPr="00C6440C">
              <w:t>o</w:t>
            </w:r>
            <w:r w:rsidRPr="00093E8E">
              <w:t>d</w:t>
            </w:r>
          </w:p>
        </w:tc>
        <w:tc>
          <w:tcPr>
            <w:tcW w:w="3594" w:type="pct"/>
          </w:tcPr>
          <w:p w14:paraId="3A3EE355" w14:textId="77777777" w:rsidR="00215226" w:rsidRPr="00093E8E" w:rsidRDefault="00215226" w:rsidP="00504C3A">
            <w:pPr>
              <w:pStyle w:val="Normal-TableText"/>
            </w:pPr>
            <w:r w:rsidRPr="00C6440C">
              <w:rPr>
                <w:rStyle w:val="Strong"/>
              </w:rPr>
              <w:t>Not Used</w:t>
            </w:r>
          </w:p>
        </w:tc>
      </w:tr>
      <w:tr w:rsidR="00215226" w:rsidRPr="00093E8E" w14:paraId="4C4773E5" w14:textId="77777777" w:rsidTr="00504C3A">
        <w:trPr>
          <w:trHeight w:val="113"/>
        </w:trPr>
        <w:tc>
          <w:tcPr>
            <w:tcW w:w="1406" w:type="pct"/>
            <w:vMerge w:val="restart"/>
          </w:tcPr>
          <w:p w14:paraId="44493DA7" w14:textId="77777777" w:rsidR="00215226" w:rsidRPr="00093E8E" w:rsidRDefault="00215226" w:rsidP="00504C3A">
            <w:pPr>
              <w:pStyle w:val="Normal-TableText"/>
            </w:pPr>
            <w:r w:rsidRPr="00C6440C">
              <w:t>Cer</w:t>
            </w:r>
            <w:r w:rsidRPr="00093E8E">
              <w:t>ti</w:t>
            </w:r>
            <w:r w:rsidRPr="00C6440C">
              <w:t>f</w:t>
            </w:r>
            <w:r w:rsidRPr="00093E8E">
              <w:t>i</w:t>
            </w:r>
            <w:r w:rsidRPr="00C6440C">
              <w:t>ca</w:t>
            </w:r>
            <w:r w:rsidRPr="00093E8E">
              <w:t>te</w:t>
            </w:r>
            <w:r w:rsidRPr="00C6440C">
              <w:t xml:space="preserve"> P</w:t>
            </w:r>
            <w:r w:rsidRPr="00093E8E">
              <w:t>oli</w:t>
            </w:r>
            <w:r w:rsidRPr="00C6440C">
              <w:t>c</w:t>
            </w:r>
            <w:r w:rsidRPr="00093E8E">
              <w:t>i</w:t>
            </w:r>
            <w:r w:rsidRPr="00C6440C">
              <w:t>e</w:t>
            </w:r>
            <w:r w:rsidRPr="00093E8E">
              <w:t>s</w:t>
            </w:r>
          </w:p>
        </w:tc>
        <w:tc>
          <w:tcPr>
            <w:tcW w:w="3594" w:type="pct"/>
          </w:tcPr>
          <w:p w14:paraId="48CF1AE4" w14:textId="77777777" w:rsidR="00215226" w:rsidRPr="00093E8E" w:rsidRDefault="00215226" w:rsidP="00504C3A">
            <w:pPr>
              <w:pStyle w:val="Normal-TableText"/>
            </w:pPr>
            <w:r w:rsidRPr="00C6440C">
              <w:rPr>
                <w:rStyle w:val="Strong"/>
              </w:rPr>
              <w:t>Required</w:t>
            </w:r>
          </w:p>
        </w:tc>
      </w:tr>
      <w:tr w:rsidR="00215226" w:rsidRPr="00093E8E" w14:paraId="01318D71" w14:textId="77777777" w:rsidTr="00504C3A">
        <w:trPr>
          <w:trHeight w:val="113"/>
        </w:trPr>
        <w:tc>
          <w:tcPr>
            <w:tcW w:w="1406" w:type="pct"/>
            <w:vMerge/>
          </w:tcPr>
          <w:p w14:paraId="6C35F493" w14:textId="77777777" w:rsidR="00215226" w:rsidRPr="00093E8E" w:rsidRDefault="00215226" w:rsidP="00504C3A">
            <w:pPr>
              <w:pStyle w:val="Normal-TableText"/>
            </w:pPr>
          </w:p>
        </w:tc>
        <w:tc>
          <w:tcPr>
            <w:tcW w:w="3594" w:type="pct"/>
          </w:tcPr>
          <w:p w14:paraId="6CF4AA2E" w14:textId="77777777" w:rsidR="00215226" w:rsidRPr="00093E8E" w:rsidRDefault="00215226" w:rsidP="00504C3A">
            <w:pPr>
              <w:pStyle w:val="Normal-TableText"/>
            </w:pPr>
            <w:r w:rsidRPr="00C6440C">
              <w:t>Se</w:t>
            </w:r>
            <w:r w:rsidRPr="00093E8E">
              <w:t>qu</w:t>
            </w:r>
            <w:r w:rsidRPr="00C6440C">
              <w:t>e</w:t>
            </w:r>
            <w:r w:rsidRPr="00093E8E">
              <w:t>n</w:t>
            </w:r>
            <w:r w:rsidRPr="00C6440C">
              <w:t>c</w:t>
            </w:r>
            <w:r w:rsidRPr="00093E8E">
              <w:t>e</w:t>
            </w:r>
            <w:r w:rsidRPr="00C6440C">
              <w:t xml:space="preserve"> </w:t>
            </w:r>
            <w:r w:rsidRPr="00093E8E">
              <w:t>of</w:t>
            </w:r>
            <w:r w:rsidRPr="00C6440C">
              <w:t xml:space="preserve"> o</w:t>
            </w:r>
            <w:r w:rsidRPr="00093E8E">
              <w:t>ne</w:t>
            </w:r>
            <w:r w:rsidRPr="00C6440C">
              <w:t xml:space="preserve"> </w:t>
            </w:r>
            <w:r w:rsidRPr="00093E8E">
              <w:t>or</w:t>
            </w:r>
            <w:r w:rsidRPr="00C6440C">
              <w:t xml:space="preserve"> </w:t>
            </w:r>
            <w:r w:rsidRPr="00093E8E">
              <w:t>mo</w:t>
            </w:r>
            <w:r w:rsidRPr="00C6440C">
              <w:t>r</w:t>
            </w:r>
            <w:r w:rsidRPr="00093E8E">
              <w:t>e</w:t>
            </w:r>
            <w:r w:rsidRPr="00C6440C">
              <w:t xml:space="preserve"> </w:t>
            </w:r>
            <w:r w:rsidRPr="00093E8E">
              <w:t>poli</w:t>
            </w:r>
            <w:r w:rsidRPr="00C6440C">
              <w:t>c</w:t>
            </w:r>
            <w:r w:rsidRPr="00093E8E">
              <w:t>y</w:t>
            </w:r>
            <w:r w:rsidRPr="00C6440C">
              <w:t xml:space="preserve"> </w:t>
            </w:r>
            <w:r w:rsidRPr="00093E8E">
              <w:t>in</w:t>
            </w:r>
            <w:r w:rsidRPr="00C6440C">
              <w:t>f</w:t>
            </w:r>
            <w:r w:rsidRPr="00093E8E">
              <w:t>o</w:t>
            </w:r>
            <w:r w:rsidRPr="00C6440C">
              <w:t>rma</w:t>
            </w:r>
            <w:r w:rsidRPr="00093E8E">
              <w:t>tion t</w:t>
            </w:r>
            <w:r w:rsidRPr="00C6440C">
              <w:t>er</w:t>
            </w:r>
            <w:r w:rsidRPr="00093E8E">
              <w:t xml:space="preserve">ms, </w:t>
            </w:r>
            <w:r w:rsidRPr="00C6440C">
              <w:t>eac</w:t>
            </w:r>
            <w:r w:rsidRPr="00093E8E">
              <w:t>h of</w:t>
            </w:r>
            <w:r w:rsidRPr="00C6440C">
              <w:t xml:space="preserve"> </w:t>
            </w:r>
            <w:r w:rsidRPr="00093E8E">
              <w:t>whi</w:t>
            </w:r>
            <w:r w:rsidRPr="00C6440C">
              <w:t>c</w:t>
            </w:r>
            <w:r w:rsidRPr="00093E8E">
              <w:t xml:space="preserve">h </w:t>
            </w:r>
            <w:r w:rsidRPr="00C6440C">
              <w:t>c</w:t>
            </w:r>
            <w:r w:rsidRPr="00093E8E">
              <w:t>onsists of</w:t>
            </w:r>
            <w:r w:rsidRPr="00C6440C">
              <w:t xml:space="preserve"> a</w:t>
            </w:r>
            <w:r w:rsidRPr="00093E8E">
              <w:t xml:space="preserve">n </w:t>
            </w:r>
            <w:r w:rsidRPr="00C6440C">
              <w:t>OID a</w:t>
            </w:r>
            <w:r w:rsidRPr="00093E8E">
              <w:t>nd option</w:t>
            </w:r>
            <w:r w:rsidRPr="00C6440C">
              <w:t>a</w:t>
            </w:r>
            <w:r w:rsidRPr="00093E8E">
              <w:t>l</w:t>
            </w:r>
            <w:r w:rsidRPr="00C6440C">
              <w:t xml:space="preserve"> </w:t>
            </w:r>
            <w:r w:rsidRPr="00093E8E">
              <w:t>qu</w:t>
            </w:r>
            <w:r w:rsidRPr="00C6440C">
              <w:t>a</w:t>
            </w:r>
            <w:r w:rsidRPr="00093E8E">
              <w:t>li</w:t>
            </w:r>
            <w:r w:rsidRPr="00C6440C">
              <w:t>f</w:t>
            </w:r>
            <w:r w:rsidRPr="00093E8E">
              <w:t>i</w:t>
            </w:r>
            <w:r w:rsidRPr="00C6440C">
              <w:t>er</w:t>
            </w:r>
            <w:r w:rsidRPr="00093E8E">
              <w:t>s</w:t>
            </w:r>
          </w:p>
        </w:tc>
      </w:tr>
      <w:tr w:rsidR="00215226" w:rsidRPr="00093E8E" w14:paraId="3E563E96" w14:textId="77777777" w:rsidTr="00504C3A">
        <w:trPr>
          <w:trHeight w:val="113"/>
        </w:trPr>
        <w:tc>
          <w:tcPr>
            <w:tcW w:w="1406" w:type="pct"/>
          </w:tcPr>
          <w:p w14:paraId="650BDCB9" w14:textId="77777777" w:rsidR="00215226" w:rsidRPr="00093E8E" w:rsidRDefault="00215226" w:rsidP="00504C3A">
            <w:pPr>
              <w:pStyle w:val="Normal-TableText"/>
            </w:pPr>
            <w:r w:rsidRPr="00C6440C">
              <w:t>P</w:t>
            </w:r>
            <w:r w:rsidRPr="00093E8E">
              <w:t>oli</w:t>
            </w:r>
            <w:r w:rsidRPr="00C6440C">
              <w:t>c</w:t>
            </w:r>
            <w:r w:rsidRPr="00093E8E">
              <w:t>y</w:t>
            </w:r>
            <w:r w:rsidRPr="00C6440C">
              <w:t xml:space="preserve"> </w:t>
            </w:r>
            <w:r w:rsidRPr="00093E8E">
              <w:t>M</w:t>
            </w:r>
            <w:r w:rsidRPr="00C6440C">
              <w:t>a</w:t>
            </w:r>
            <w:r w:rsidRPr="00093E8E">
              <w:t>ppi</w:t>
            </w:r>
            <w:r w:rsidRPr="00C6440C">
              <w:t>ng</w:t>
            </w:r>
            <w:r w:rsidRPr="00093E8E">
              <w:t>s</w:t>
            </w:r>
          </w:p>
        </w:tc>
        <w:tc>
          <w:tcPr>
            <w:tcW w:w="3594" w:type="pct"/>
          </w:tcPr>
          <w:p w14:paraId="131F99A6" w14:textId="77777777" w:rsidR="00215226" w:rsidRPr="00093E8E" w:rsidRDefault="00215226" w:rsidP="00504C3A">
            <w:pPr>
              <w:pStyle w:val="Normal-TableText"/>
            </w:pPr>
            <w:r w:rsidRPr="00C6440C">
              <w:rPr>
                <w:rStyle w:val="Strong"/>
              </w:rPr>
              <w:t>Optional</w:t>
            </w:r>
          </w:p>
        </w:tc>
      </w:tr>
      <w:tr w:rsidR="00215226" w:rsidRPr="00093E8E" w14:paraId="1A4F7284" w14:textId="77777777" w:rsidTr="00504C3A">
        <w:trPr>
          <w:trHeight w:val="113"/>
        </w:trPr>
        <w:tc>
          <w:tcPr>
            <w:tcW w:w="1406" w:type="pct"/>
          </w:tcPr>
          <w:p w14:paraId="0DABCCB3" w14:textId="77777777" w:rsidR="00215226" w:rsidRPr="00093E8E" w:rsidRDefault="00215226" w:rsidP="00504C3A">
            <w:pPr>
              <w:pStyle w:val="Normal-TableText"/>
            </w:pPr>
            <w:r w:rsidRPr="00C6440C">
              <w:t>S</w:t>
            </w:r>
            <w:r w:rsidRPr="00093E8E">
              <w:t>ubj</w:t>
            </w:r>
            <w:r w:rsidRPr="00C6440C">
              <w:t>ec</w:t>
            </w:r>
            <w:r w:rsidRPr="00093E8E">
              <w:t>t Alt</w:t>
            </w:r>
            <w:r w:rsidRPr="00C6440C">
              <w:t>er</w:t>
            </w:r>
            <w:r w:rsidRPr="00093E8E">
              <w:t>n</w:t>
            </w:r>
            <w:r w:rsidRPr="00C6440C">
              <w:t>a</w:t>
            </w:r>
            <w:r w:rsidRPr="00093E8E">
              <w:t>tive</w:t>
            </w:r>
            <w:r w:rsidRPr="00C6440C">
              <w:t xml:space="preserve"> </w:t>
            </w:r>
            <w:r w:rsidRPr="00093E8E">
              <w:t>N</w:t>
            </w:r>
            <w:r w:rsidRPr="00C6440C">
              <w:t>am</w:t>
            </w:r>
            <w:r w:rsidRPr="00093E8E">
              <w:t>e</w:t>
            </w:r>
          </w:p>
        </w:tc>
        <w:tc>
          <w:tcPr>
            <w:tcW w:w="3594" w:type="pct"/>
          </w:tcPr>
          <w:p w14:paraId="12D89817" w14:textId="77777777" w:rsidR="00215226" w:rsidRPr="00093E8E" w:rsidRDefault="00215226" w:rsidP="00504C3A">
            <w:pPr>
              <w:pStyle w:val="Normal-TableText"/>
            </w:pPr>
            <w:r w:rsidRPr="00C6440C">
              <w:rPr>
                <w:rStyle w:val="Strong"/>
              </w:rPr>
              <w:t xml:space="preserve">Optional; </w:t>
            </w:r>
            <w:r w:rsidRPr="00093E8E">
              <w:t>R</w:t>
            </w:r>
            <w:r w:rsidRPr="00C6440C">
              <w:t>ecommende</w:t>
            </w:r>
            <w:r w:rsidRPr="00093E8E">
              <w:t>d</w:t>
            </w:r>
            <w:r w:rsidRPr="00C6440C">
              <w:t xml:space="preserve"> </w:t>
            </w:r>
            <w:r w:rsidRPr="00093E8E">
              <w:t>R</w:t>
            </w:r>
            <w:r w:rsidRPr="00C6440C">
              <w:t>F</w:t>
            </w:r>
            <w:r w:rsidRPr="00093E8E">
              <w:t>C 822 N</w:t>
            </w:r>
            <w:r w:rsidRPr="00C6440C">
              <w:t>am</w:t>
            </w:r>
            <w:r w:rsidRPr="00093E8E">
              <w:t>e</w:t>
            </w:r>
            <w:r w:rsidRPr="00C6440C">
              <w:t xml:space="preserve"> </w:t>
            </w:r>
            <w:r w:rsidRPr="00093E8E">
              <w:t>a</w:t>
            </w:r>
            <w:r w:rsidRPr="00C6440C">
              <w:t>n</w:t>
            </w:r>
            <w:r w:rsidRPr="00093E8E">
              <w:t>d</w:t>
            </w:r>
            <w:r w:rsidRPr="00C6440C">
              <w:t xml:space="preserve"> UP</w:t>
            </w:r>
            <w:r w:rsidRPr="00093E8E">
              <w:t>N</w:t>
            </w:r>
          </w:p>
        </w:tc>
      </w:tr>
      <w:tr w:rsidR="00215226" w:rsidRPr="00093E8E" w14:paraId="3BDDF0CD" w14:textId="77777777" w:rsidTr="00504C3A">
        <w:trPr>
          <w:trHeight w:val="113"/>
        </w:trPr>
        <w:tc>
          <w:tcPr>
            <w:tcW w:w="1406" w:type="pct"/>
          </w:tcPr>
          <w:p w14:paraId="74E8E25B" w14:textId="77777777" w:rsidR="00215226" w:rsidRPr="00093E8E" w:rsidRDefault="00215226" w:rsidP="00504C3A">
            <w:pPr>
              <w:pStyle w:val="Normal-TableText"/>
            </w:pPr>
            <w:r w:rsidRPr="00C6440C">
              <w:t>I</w:t>
            </w:r>
            <w:r w:rsidRPr="00093E8E">
              <w:t>ss</w:t>
            </w:r>
            <w:r w:rsidRPr="00C6440C">
              <w:t>ue</w:t>
            </w:r>
            <w:r w:rsidRPr="00093E8E">
              <w:t>r</w:t>
            </w:r>
            <w:r w:rsidRPr="00C6440C">
              <w:t xml:space="preserve"> </w:t>
            </w:r>
            <w:r w:rsidRPr="00093E8E">
              <w:t>Alt</w:t>
            </w:r>
            <w:r w:rsidRPr="00C6440C">
              <w:t>erna</w:t>
            </w:r>
            <w:r w:rsidRPr="00093E8E">
              <w:t>tive</w:t>
            </w:r>
            <w:r w:rsidRPr="00C6440C">
              <w:t xml:space="preserve"> </w:t>
            </w:r>
            <w:r w:rsidRPr="00093E8E">
              <w:t>N</w:t>
            </w:r>
            <w:r w:rsidRPr="00C6440C">
              <w:t>a</w:t>
            </w:r>
            <w:r w:rsidRPr="00093E8E">
              <w:t>me</w:t>
            </w:r>
          </w:p>
        </w:tc>
        <w:tc>
          <w:tcPr>
            <w:tcW w:w="3594" w:type="pct"/>
          </w:tcPr>
          <w:p w14:paraId="2540A3F0" w14:textId="77777777" w:rsidR="00215226" w:rsidRPr="00093E8E" w:rsidRDefault="00215226" w:rsidP="00504C3A">
            <w:pPr>
              <w:pStyle w:val="Normal-TableText"/>
            </w:pPr>
            <w:r w:rsidRPr="00C6440C">
              <w:rPr>
                <w:rStyle w:val="Strong"/>
              </w:rPr>
              <w:t>Not Used</w:t>
            </w:r>
          </w:p>
        </w:tc>
      </w:tr>
      <w:tr w:rsidR="00215226" w:rsidRPr="00093E8E" w14:paraId="6B24BCE1" w14:textId="77777777" w:rsidTr="00504C3A">
        <w:trPr>
          <w:trHeight w:val="113"/>
        </w:trPr>
        <w:tc>
          <w:tcPr>
            <w:tcW w:w="1406" w:type="pct"/>
          </w:tcPr>
          <w:p w14:paraId="4C6BAE4E" w14:textId="77777777" w:rsidR="00215226" w:rsidRPr="00093E8E" w:rsidRDefault="00215226" w:rsidP="00832469">
            <w:pPr>
              <w:pStyle w:val="Normal-TableText"/>
            </w:pPr>
            <w:r w:rsidRPr="00C6440C">
              <w:t>S</w:t>
            </w:r>
            <w:r w:rsidRPr="00093E8E">
              <w:t>ubj</w:t>
            </w:r>
            <w:r w:rsidRPr="00C6440C">
              <w:t>ec</w:t>
            </w:r>
            <w:r w:rsidRPr="00093E8E">
              <w:t>t Di</w:t>
            </w:r>
            <w:r w:rsidRPr="00C6440C">
              <w:t>rec</w:t>
            </w:r>
            <w:r w:rsidRPr="00093E8E">
              <w:t>to</w:t>
            </w:r>
            <w:r w:rsidRPr="00C6440C">
              <w:t>r</w:t>
            </w:r>
            <w:r w:rsidRPr="00093E8E">
              <w:t>y</w:t>
            </w:r>
            <w:r w:rsidR="00832469">
              <w:t xml:space="preserve"> </w:t>
            </w:r>
            <w:r w:rsidRPr="00093E8E">
              <w:t>Att</w:t>
            </w:r>
            <w:r w:rsidRPr="00C6440C">
              <w:t>r</w:t>
            </w:r>
            <w:r w:rsidRPr="00093E8E">
              <w:t>ibut</w:t>
            </w:r>
            <w:r w:rsidRPr="00C6440C">
              <w:t>e</w:t>
            </w:r>
            <w:r w:rsidRPr="00093E8E">
              <w:t>s</w:t>
            </w:r>
          </w:p>
        </w:tc>
        <w:tc>
          <w:tcPr>
            <w:tcW w:w="3594" w:type="pct"/>
          </w:tcPr>
          <w:p w14:paraId="5A0ACB43" w14:textId="77777777" w:rsidR="00215226" w:rsidRPr="00093E8E" w:rsidRDefault="00215226" w:rsidP="00504C3A">
            <w:pPr>
              <w:pStyle w:val="Normal-TableText"/>
            </w:pPr>
            <w:r w:rsidRPr="00C6440C">
              <w:rPr>
                <w:rStyle w:val="Strong"/>
              </w:rPr>
              <w:t>Optional</w:t>
            </w:r>
          </w:p>
        </w:tc>
      </w:tr>
      <w:tr w:rsidR="00215226" w:rsidRPr="00093E8E" w14:paraId="1F8CB0FF" w14:textId="77777777" w:rsidTr="00504C3A">
        <w:trPr>
          <w:trHeight w:val="113"/>
        </w:trPr>
        <w:tc>
          <w:tcPr>
            <w:tcW w:w="1406" w:type="pct"/>
          </w:tcPr>
          <w:p w14:paraId="7B6EE105" w14:textId="77777777" w:rsidR="00215226" w:rsidRPr="00093E8E" w:rsidRDefault="00215226" w:rsidP="00504C3A">
            <w:pPr>
              <w:pStyle w:val="Normal-TableText"/>
            </w:pPr>
            <w:r w:rsidRPr="00093E8E">
              <w:t>N</w:t>
            </w:r>
            <w:r w:rsidRPr="00C6440C">
              <w:t>a</w:t>
            </w:r>
            <w:r w:rsidRPr="00093E8E">
              <w:t>me</w:t>
            </w:r>
            <w:r w:rsidRPr="00C6440C">
              <w:t xml:space="preserve"> C</w:t>
            </w:r>
            <w:r w:rsidRPr="00093E8E">
              <w:t>onst</w:t>
            </w:r>
            <w:r w:rsidRPr="00C6440C">
              <w:t>ra</w:t>
            </w:r>
            <w:r w:rsidRPr="00093E8E">
              <w:t>ints</w:t>
            </w:r>
          </w:p>
        </w:tc>
        <w:tc>
          <w:tcPr>
            <w:tcW w:w="3594" w:type="pct"/>
          </w:tcPr>
          <w:p w14:paraId="67BB8290" w14:textId="77777777" w:rsidR="00215226" w:rsidRPr="00093E8E" w:rsidRDefault="00215226" w:rsidP="00504C3A">
            <w:pPr>
              <w:pStyle w:val="Normal-TableText"/>
            </w:pPr>
            <w:r w:rsidRPr="00C6440C">
              <w:rPr>
                <w:rStyle w:val="Strong"/>
              </w:rPr>
              <w:t>Not Used</w:t>
            </w:r>
          </w:p>
        </w:tc>
      </w:tr>
      <w:tr w:rsidR="00215226" w:rsidRPr="00093E8E" w14:paraId="489CF45D" w14:textId="77777777" w:rsidTr="00504C3A">
        <w:trPr>
          <w:trHeight w:val="113"/>
        </w:trPr>
        <w:tc>
          <w:tcPr>
            <w:tcW w:w="1406" w:type="pct"/>
          </w:tcPr>
          <w:p w14:paraId="736EE294" w14:textId="77777777" w:rsidR="00215226" w:rsidRPr="00093E8E" w:rsidRDefault="00215226" w:rsidP="00504C3A">
            <w:pPr>
              <w:pStyle w:val="Normal-TableText"/>
            </w:pPr>
            <w:r w:rsidRPr="00C6440C">
              <w:t>P</w:t>
            </w:r>
            <w:r w:rsidRPr="00093E8E">
              <w:t>oli</w:t>
            </w:r>
            <w:r w:rsidRPr="00C6440C">
              <w:t>c</w:t>
            </w:r>
            <w:r w:rsidRPr="00093E8E">
              <w:t>y</w:t>
            </w:r>
            <w:r w:rsidRPr="00C6440C">
              <w:t xml:space="preserve"> C</w:t>
            </w:r>
            <w:r w:rsidRPr="00093E8E">
              <w:t>onst</w:t>
            </w:r>
            <w:r w:rsidRPr="00C6440C">
              <w:t>ra</w:t>
            </w:r>
            <w:r w:rsidRPr="00093E8E">
              <w:t>ints</w:t>
            </w:r>
          </w:p>
        </w:tc>
        <w:tc>
          <w:tcPr>
            <w:tcW w:w="3594" w:type="pct"/>
          </w:tcPr>
          <w:p w14:paraId="7FF72D97" w14:textId="77777777" w:rsidR="00215226" w:rsidRPr="00093E8E" w:rsidRDefault="00215226" w:rsidP="00504C3A">
            <w:pPr>
              <w:pStyle w:val="Normal-TableText"/>
            </w:pPr>
            <w:r w:rsidRPr="00C6440C">
              <w:rPr>
                <w:rStyle w:val="Strong"/>
              </w:rPr>
              <w:t>Not Used</w:t>
            </w:r>
          </w:p>
        </w:tc>
      </w:tr>
      <w:tr w:rsidR="00215226" w:rsidRPr="00093E8E" w14:paraId="4E04DE1A" w14:textId="77777777" w:rsidTr="00BD2B67">
        <w:tblPrEx>
          <w:tblLook w:val="0000" w:firstRow="0" w:lastRow="0" w:firstColumn="0" w:lastColumn="0" w:noHBand="0" w:noVBand="0"/>
        </w:tblPrEx>
        <w:trPr>
          <w:trHeight w:val="113"/>
        </w:trPr>
        <w:tc>
          <w:tcPr>
            <w:tcW w:w="1406" w:type="pct"/>
            <w:vMerge w:val="restart"/>
          </w:tcPr>
          <w:p w14:paraId="5CFE65D4" w14:textId="6432028F" w:rsidR="00215226" w:rsidRPr="00093E8E" w:rsidRDefault="00215226" w:rsidP="00BD2B67">
            <w:pPr>
              <w:pStyle w:val="Normal-TableText"/>
              <w:keepNext/>
            </w:pPr>
            <w:r w:rsidRPr="00093E8E">
              <w:t>Autho</w:t>
            </w:r>
            <w:r w:rsidRPr="00C6440C">
              <w:t>r</w:t>
            </w:r>
            <w:r w:rsidRPr="00093E8E">
              <w:t>i</w:t>
            </w:r>
            <w:r w:rsidRPr="00C6440C">
              <w:t>t</w:t>
            </w:r>
            <w:r w:rsidRPr="00093E8E">
              <w:t>y</w:t>
            </w:r>
            <w:r w:rsidRPr="00C6440C">
              <w:t xml:space="preserve"> Inf</w:t>
            </w:r>
            <w:r w:rsidRPr="00093E8E">
              <w:t>o</w:t>
            </w:r>
            <w:r w:rsidRPr="00C6440C">
              <w:t>r</w:t>
            </w:r>
            <w:r w:rsidRPr="00093E8E">
              <w:t>m</w:t>
            </w:r>
            <w:r w:rsidRPr="00C6440C">
              <w:t>a</w:t>
            </w:r>
            <w:r w:rsidRPr="00093E8E">
              <w:t>tion</w:t>
            </w:r>
            <w:r w:rsidR="00BD2B67">
              <w:t xml:space="preserve"> </w:t>
            </w:r>
            <w:r w:rsidRPr="00093E8E">
              <w:t>A</w:t>
            </w:r>
            <w:r w:rsidRPr="00C6440C">
              <w:t>cce</w:t>
            </w:r>
            <w:r w:rsidRPr="00093E8E">
              <w:t>ss</w:t>
            </w:r>
          </w:p>
        </w:tc>
        <w:tc>
          <w:tcPr>
            <w:tcW w:w="3594" w:type="pct"/>
          </w:tcPr>
          <w:p w14:paraId="26957060" w14:textId="77777777" w:rsidR="00215226" w:rsidRPr="00093E8E" w:rsidRDefault="00215226" w:rsidP="00BD2B67">
            <w:pPr>
              <w:pStyle w:val="Normal-TableText"/>
              <w:keepNext/>
            </w:pPr>
            <w:r w:rsidRPr="00C6440C">
              <w:rPr>
                <w:rStyle w:val="Strong"/>
              </w:rPr>
              <w:t>Required</w:t>
            </w:r>
          </w:p>
        </w:tc>
      </w:tr>
      <w:tr w:rsidR="00215226" w:rsidRPr="00093E8E" w14:paraId="6B3E87AA" w14:textId="77777777" w:rsidTr="00BD2B67">
        <w:tblPrEx>
          <w:tblLook w:val="0000" w:firstRow="0" w:lastRow="0" w:firstColumn="0" w:lastColumn="0" w:noHBand="0" w:noVBand="0"/>
        </w:tblPrEx>
        <w:trPr>
          <w:trHeight w:val="113"/>
        </w:trPr>
        <w:tc>
          <w:tcPr>
            <w:tcW w:w="1406" w:type="pct"/>
            <w:vMerge/>
          </w:tcPr>
          <w:p w14:paraId="2BC9735F" w14:textId="77777777" w:rsidR="00215226" w:rsidRPr="00093E8E" w:rsidRDefault="00215226" w:rsidP="00504C3A">
            <w:pPr>
              <w:pStyle w:val="Normal-TableText"/>
            </w:pPr>
          </w:p>
        </w:tc>
        <w:tc>
          <w:tcPr>
            <w:tcW w:w="3594" w:type="pct"/>
          </w:tcPr>
          <w:p w14:paraId="6A5BDAE0" w14:textId="77777777" w:rsidR="00215226" w:rsidRPr="00093E8E" w:rsidRDefault="00215226" w:rsidP="00504C3A">
            <w:pPr>
              <w:pStyle w:val="Normal-TableText"/>
            </w:pPr>
            <w:r w:rsidRPr="00093E8E">
              <w:t>id</w:t>
            </w:r>
            <w:r w:rsidRPr="00C6440C">
              <w:t>-a</w:t>
            </w:r>
            <w:r w:rsidRPr="00093E8E">
              <w:t>d</w:t>
            </w:r>
            <w:r w:rsidRPr="00C6440C">
              <w:t>-caI</w:t>
            </w:r>
            <w:r w:rsidRPr="00093E8E">
              <w:t>ssu</w:t>
            </w:r>
            <w:r w:rsidRPr="00C6440C">
              <w:t>er</w:t>
            </w:r>
            <w:r w:rsidRPr="00093E8E">
              <w:t>s</w:t>
            </w:r>
          </w:p>
          <w:p w14:paraId="60E8BBA2" w14:textId="77777777" w:rsidR="00215226" w:rsidRPr="00093E8E" w:rsidRDefault="00215226" w:rsidP="00504C3A">
            <w:pPr>
              <w:pStyle w:val="Normal-TableText"/>
            </w:pPr>
            <w:r w:rsidRPr="00C6440C">
              <w:t>Pr</w:t>
            </w:r>
            <w:r w:rsidRPr="00093E8E">
              <w:t>im</w:t>
            </w:r>
            <w:r w:rsidRPr="00C6440C">
              <w:t>ar</w:t>
            </w:r>
            <w:r w:rsidRPr="00093E8E">
              <w:t>y</w:t>
            </w:r>
            <w:r w:rsidRPr="00C6440C">
              <w:t xml:space="preserve"> H</w:t>
            </w:r>
            <w:r w:rsidRPr="00093E8E">
              <w:t>TTP</w:t>
            </w:r>
            <w:r w:rsidRPr="00C6440C">
              <w:t xml:space="preserve"> </w:t>
            </w:r>
            <w:r w:rsidRPr="00093E8E">
              <w:t>U</w:t>
            </w:r>
            <w:r w:rsidRPr="00C6440C">
              <w:t>R</w:t>
            </w:r>
            <w:r w:rsidRPr="00093E8E">
              <w:t>I</w:t>
            </w:r>
            <w:r w:rsidRPr="00C6440C">
              <w:t xml:space="preserve"> man</w:t>
            </w:r>
            <w:r w:rsidRPr="00093E8E">
              <w:t>d</w:t>
            </w:r>
            <w:r w:rsidRPr="00C6440C">
              <w:t>a</w:t>
            </w:r>
            <w:r w:rsidRPr="00093E8E">
              <w:t>to</w:t>
            </w:r>
            <w:r w:rsidRPr="00C6440C">
              <w:t>r</w:t>
            </w:r>
            <w:r w:rsidRPr="00093E8E">
              <w:t>y</w:t>
            </w:r>
          </w:p>
          <w:p w14:paraId="5B732425" w14:textId="77777777" w:rsidR="00215226" w:rsidRPr="00093E8E" w:rsidRDefault="00215226" w:rsidP="00504C3A">
            <w:pPr>
              <w:pStyle w:val="Normal-TableText"/>
            </w:pPr>
            <w:r w:rsidRPr="00C6440C">
              <w:t>Sec</w:t>
            </w:r>
            <w:r w:rsidRPr="00093E8E">
              <w:t>ond</w:t>
            </w:r>
            <w:r w:rsidRPr="00C6440C">
              <w:t>ar</w:t>
            </w:r>
            <w:r w:rsidRPr="00093E8E">
              <w:t>y</w:t>
            </w:r>
            <w:r w:rsidRPr="00C6440C">
              <w:t xml:space="preserve"> LD</w:t>
            </w:r>
            <w:r w:rsidRPr="00093E8E">
              <w:t>AP</w:t>
            </w:r>
            <w:r w:rsidRPr="00C6440C">
              <w:t xml:space="preserve"> </w:t>
            </w:r>
            <w:r w:rsidRPr="00093E8E">
              <w:t>U</w:t>
            </w:r>
            <w:r w:rsidRPr="00C6440C">
              <w:t>R</w:t>
            </w:r>
            <w:r w:rsidRPr="00093E8E">
              <w:t>I</w:t>
            </w:r>
            <w:r w:rsidRPr="00C6440C">
              <w:t xml:space="preserve"> o</w:t>
            </w:r>
            <w:r w:rsidRPr="00093E8E">
              <w:t>ption</w:t>
            </w:r>
            <w:r w:rsidRPr="00C6440C">
              <w:t>a</w:t>
            </w:r>
            <w:r w:rsidRPr="00093E8E">
              <w:t>l</w:t>
            </w:r>
          </w:p>
        </w:tc>
      </w:tr>
      <w:tr w:rsidR="00215226" w:rsidRPr="00093E8E" w14:paraId="334FA51C" w14:textId="77777777" w:rsidTr="00BD2B67">
        <w:tblPrEx>
          <w:tblLook w:val="0000" w:firstRow="0" w:lastRow="0" w:firstColumn="0" w:lastColumn="0" w:noHBand="0" w:noVBand="0"/>
        </w:tblPrEx>
        <w:trPr>
          <w:trHeight w:val="113"/>
        </w:trPr>
        <w:tc>
          <w:tcPr>
            <w:tcW w:w="1406" w:type="pct"/>
            <w:vMerge/>
          </w:tcPr>
          <w:p w14:paraId="58E777FF" w14:textId="77777777" w:rsidR="00215226" w:rsidRPr="00093E8E" w:rsidRDefault="00215226" w:rsidP="00504C3A">
            <w:pPr>
              <w:pStyle w:val="Normal-TableText"/>
            </w:pPr>
          </w:p>
        </w:tc>
        <w:tc>
          <w:tcPr>
            <w:tcW w:w="3594" w:type="pct"/>
          </w:tcPr>
          <w:p w14:paraId="42F35990" w14:textId="77777777" w:rsidR="00215226" w:rsidRPr="00093E8E" w:rsidRDefault="00215226" w:rsidP="00504C3A">
            <w:pPr>
              <w:pStyle w:val="Normal-TableText"/>
            </w:pPr>
            <w:r w:rsidRPr="00093E8E">
              <w:t>id</w:t>
            </w:r>
            <w:r w:rsidRPr="00C6440C">
              <w:t>-a</w:t>
            </w:r>
            <w:r w:rsidRPr="00093E8E">
              <w:t>d</w:t>
            </w:r>
            <w:r w:rsidRPr="00C6440C">
              <w:t>-</w:t>
            </w:r>
            <w:r w:rsidRPr="00093E8E">
              <w:t>o</w:t>
            </w:r>
            <w:r w:rsidRPr="00C6440C">
              <w:t>c</w:t>
            </w:r>
            <w:r w:rsidRPr="00093E8E">
              <w:t>sp</w:t>
            </w:r>
          </w:p>
          <w:p w14:paraId="0CBFC0AF" w14:textId="77777777" w:rsidR="00215226" w:rsidRPr="00093E8E" w:rsidRDefault="00215226" w:rsidP="00504C3A">
            <w:pPr>
              <w:pStyle w:val="Normal-TableText"/>
              <w:rPr>
                <w:b/>
              </w:rPr>
            </w:pPr>
            <w:r w:rsidRPr="00C6440C">
              <w:rPr>
                <w:rStyle w:val="Strong"/>
              </w:rPr>
              <w:t>Optional</w:t>
            </w:r>
          </w:p>
        </w:tc>
      </w:tr>
      <w:tr w:rsidR="00215226" w:rsidRPr="00093E8E" w14:paraId="760B8F5C" w14:textId="77777777" w:rsidTr="00BD2B67">
        <w:tblPrEx>
          <w:tblLook w:val="0000" w:firstRow="0" w:lastRow="0" w:firstColumn="0" w:lastColumn="0" w:noHBand="0" w:noVBand="0"/>
        </w:tblPrEx>
        <w:trPr>
          <w:trHeight w:val="113"/>
        </w:trPr>
        <w:tc>
          <w:tcPr>
            <w:tcW w:w="1406" w:type="pct"/>
            <w:vMerge w:val="restart"/>
          </w:tcPr>
          <w:p w14:paraId="117DEB1B" w14:textId="77777777" w:rsidR="00215226" w:rsidRPr="00093E8E" w:rsidRDefault="00215226" w:rsidP="00504C3A">
            <w:pPr>
              <w:pStyle w:val="Normal-TableText"/>
            </w:pPr>
            <w:r w:rsidRPr="00C6440C">
              <w:t>CR</w:t>
            </w:r>
            <w:r w:rsidRPr="00093E8E">
              <w:t>L</w:t>
            </w:r>
            <w:r w:rsidRPr="00C6440C">
              <w:t xml:space="preserve"> </w:t>
            </w:r>
            <w:r w:rsidRPr="00093E8E">
              <w:t>Dist</w:t>
            </w:r>
            <w:r w:rsidRPr="00C6440C">
              <w:t>r</w:t>
            </w:r>
            <w:r w:rsidRPr="00093E8E">
              <w:t xml:space="preserve">ibution </w:t>
            </w:r>
            <w:r w:rsidRPr="00C6440C">
              <w:t>P</w:t>
            </w:r>
            <w:r w:rsidRPr="00093E8E">
              <w:t>oints</w:t>
            </w:r>
          </w:p>
        </w:tc>
        <w:tc>
          <w:tcPr>
            <w:tcW w:w="3594" w:type="pct"/>
          </w:tcPr>
          <w:p w14:paraId="26B12CAC" w14:textId="77777777" w:rsidR="00215226" w:rsidRPr="00093E8E" w:rsidRDefault="00215226" w:rsidP="00504C3A">
            <w:pPr>
              <w:pStyle w:val="Normal-TableText"/>
            </w:pPr>
            <w:r w:rsidRPr="00C6440C">
              <w:rPr>
                <w:rStyle w:val="Strong"/>
              </w:rPr>
              <w:t>Required</w:t>
            </w:r>
          </w:p>
        </w:tc>
      </w:tr>
      <w:tr w:rsidR="00215226" w:rsidRPr="00093E8E" w14:paraId="1B293284" w14:textId="77777777" w:rsidTr="00BD2B67">
        <w:tblPrEx>
          <w:tblLook w:val="0000" w:firstRow="0" w:lastRow="0" w:firstColumn="0" w:lastColumn="0" w:noHBand="0" w:noVBand="0"/>
        </w:tblPrEx>
        <w:trPr>
          <w:trHeight w:val="113"/>
        </w:trPr>
        <w:tc>
          <w:tcPr>
            <w:tcW w:w="1406" w:type="pct"/>
            <w:vMerge/>
          </w:tcPr>
          <w:p w14:paraId="3487A433" w14:textId="77777777" w:rsidR="00215226" w:rsidRPr="00093E8E" w:rsidRDefault="00215226" w:rsidP="00504C3A">
            <w:pPr>
              <w:pStyle w:val="Normal-TableText"/>
            </w:pPr>
          </w:p>
        </w:tc>
        <w:tc>
          <w:tcPr>
            <w:tcW w:w="3594" w:type="pct"/>
          </w:tcPr>
          <w:p w14:paraId="52B30208" w14:textId="77777777" w:rsidR="00215226" w:rsidRPr="00093E8E" w:rsidRDefault="00215226" w:rsidP="00504C3A">
            <w:pPr>
              <w:pStyle w:val="Normal-TableText"/>
            </w:pPr>
            <w:r w:rsidRPr="00C6440C">
              <w:t>Pr</w:t>
            </w:r>
            <w:r w:rsidRPr="00093E8E">
              <w:t>im</w:t>
            </w:r>
            <w:r w:rsidRPr="00C6440C">
              <w:t>ar</w:t>
            </w:r>
            <w:r w:rsidRPr="00093E8E">
              <w:t>y</w:t>
            </w:r>
            <w:r w:rsidRPr="00C6440C">
              <w:t xml:space="preserve"> H</w:t>
            </w:r>
            <w:r w:rsidRPr="00093E8E">
              <w:t>TTP</w:t>
            </w:r>
            <w:r w:rsidRPr="00C6440C">
              <w:t xml:space="preserve"> </w:t>
            </w:r>
            <w:r w:rsidRPr="00093E8E">
              <w:t>U</w:t>
            </w:r>
            <w:r w:rsidRPr="00C6440C">
              <w:t>R</w:t>
            </w:r>
            <w:r w:rsidRPr="00093E8E">
              <w:t>I</w:t>
            </w:r>
            <w:r w:rsidRPr="00C6440C">
              <w:t xml:space="preserve"> man</w:t>
            </w:r>
            <w:r w:rsidRPr="00093E8E">
              <w:t>d</w:t>
            </w:r>
            <w:r w:rsidRPr="00C6440C">
              <w:t>a</w:t>
            </w:r>
            <w:r w:rsidRPr="00093E8E">
              <w:t>to</w:t>
            </w:r>
            <w:r w:rsidRPr="00C6440C">
              <w:t>r</w:t>
            </w:r>
            <w:r w:rsidRPr="00093E8E">
              <w:t>y</w:t>
            </w:r>
          </w:p>
          <w:p w14:paraId="3861CE04" w14:textId="77777777" w:rsidR="00215226" w:rsidRPr="00093E8E" w:rsidRDefault="00215226" w:rsidP="00504C3A">
            <w:pPr>
              <w:pStyle w:val="Normal-TableText"/>
            </w:pPr>
            <w:r w:rsidRPr="00C6440C">
              <w:t>Sec</w:t>
            </w:r>
            <w:r w:rsidRPr="00093E8E">
              <w:t>ond</w:t>
            </w:r>
            <w:r w:rsidRPr="00C6440C">
              <w:t>ar</w:t>
            </w:r>
            <w:r w:rsidRPr="00093E8E">
              <w:t>y</w:t>
            </w:r>
            <w:r w:rsidRPr="00C6440C">
              <w:t xml:space="preserve"> LD</w:t>
            </w:r>
            <w:r w:rsidRPr="00093E8E">
              <w:t>AP</w:t>
            </w:r>
            <w:r w:rsidRPr="00C6440C">
              <w:t xml:space="preserve"> </w:t>
            </w:r>
            <w:r w:rsidRPr="00093E8E">
              <w:t>U</w:t>
            </w:r>
            <w:r w:rsidRPr="00C6440C">
              <w:t>R</w:t>
            </w:r>
            <w:r w:rsidRPr="00093E8E">
              <w:t>I</w:t>
            </w:r>
            <w:r w:rsidRPr="00C6440C">
              <w:t xml:space="preserve"> o</w:t>
            </w:r>
            <w:r w:rsidRPr="00093E8E">
              <w:t>ption</w:t>
            </w:r>
            <w:r w:rsidRPr="00C6440C">
              <w:t>a</w:t>
            </w:r>
            <w:r w:rsidRPr="00093E8E">
              <w:t>l</w:t>
            </w:r>
          </w:p>
        </w:tc>
      </w:tr>
      <w:tr w:rsidR="00215226" w:rsidRPr="00093E8E" w14:paraId="2170046D" w14:textId="77777777" w:rsidTr="00BD2B67">
        <w:tblPrEx>
          <w:tblLook w:val="0000" w:firstRow="0" w:lastRow="0" w:firstColumn="0" w:lastColumn="0" w:noHBand="0" w:noVBand="0"/>
        </w:tblPrEx>
        <w:trPr>
          <w:trHeight w:val="113"/>
        </w:trPr>
        <w:tc>
          <w:tcPr>
            <w:tcW w:w="1406" w:type="pct"/>
          </w:tcPr>
          <w:p w14:paraId="1683BB3C" w14:textId="77777777" w:rsidR="00215226" w:rsidRPr="00093E8E" w:rsidRDefault="00215226" w:rsidP="00504C3A">
            <w:pPr>
              <w:pStyle w:val="Normal-TableText"/>
            </w:pPr>
            <w:r w:rsidRPr="00C6440C">
              <w:t>S</w:t>
            </w:r>
            <w:r w:rsidRPr="00093E8E">
              <w:t>ubj</w:t>
            </w:r>
            <w:r w:rsidRPr="00C6440C">
              <w:t>ec</w:t>
            </w:r>
            <w:r w:rsidRPr="00093E8E">
              <w:t>t</w:t>
            </w:r>
            <w:r w:rsidRPr="00C6440C">
              <w:t xml:space="preserve"> Inf</w:t>
            </w:r>
            <w:r w:rsidRPr="00093E8E">
              <w:t>o</w:t>
            </w:r>
            <w:r w:rsidRPr="00C6440C">
              <w:t>r</w:t>
            </w:r>
            <w:r w:rsidRPr="00093E8E">
              <w:t>m</w:t>
            </w:r>
            <w:r w:rsidRPr="00C6440C">
              <w:t>a</w:t>
            </w:r>
            <w:r w:rsidRPr="00093E8E">
              <w:t>tion A</w:t>
            </w:r>
            <w:r w:rsidRPr="00C6440C">
              <w:t>cce</w:t>
            </w:r>
            <w:r w:rsidRPr="00093E8E">
              <w:t>ss</w:t>
            </w:r>
          </w:p>
        </w:tc>
        <w:tc>
          <w:tcPr>
            <w:tcW w:w="3594" w:type="pct"/>
          </w:tcPr>
          <w:p w14:paraId="56B2B8FF" w14:textId="77777777" w:rsidR="00215226" w:rsidRPr="00093E8E" w:rsidRDefault="00215226" w:rsidP="00504C3A">
            <w:pPr>
              <w:pStyle w:val="Normal-TableText"/>
            </w:pPr>
            <w:r w:rsidRPr="00C6440C">
              <w:rPr>
                <w:rStyle w:val="Strong"/>
              </w:rPr>
              <w:t>Not Used</w:t>
            </w:r>
          </w:p>
        </w:tc>
      </w:tr>
      <w:tr w:rsidR="00215226" w:rsidRPr="00093E8E" w14:paraId="0DBAF19E" w14:textId="77777777" w:rsidTr="00BD2B67">
        <w:tblPrEx>
          <w:tblLook w:val="0000" w:firstRow="0" w:lastRow="0" w:firstColumn="0" w:lastColumn="0" w:noHBand="0" w:noVBand="0"/>
        </w:tblPrEx>
        <w:trPr>
          <w:trHeight w:val="113"/>
        </w:trPr>
        <w:tc>
          <w:tcPr>
            <w:tcW w:w="1406" w:type="pct"/>
          </w:tcPr>
          <w:p w14:paraId="616691C0" w14:textId="77777777" w:rsidR="00215226" w:rsidRPr="00093E8E" w:rsidRDefault="00215226" w:rsidP="00504C3A">
            <w:pPr>
              <w:pStyle w:val="Normal-TableText"/>
            </w:pPr>
            <w:r w:rsidRPr="00C6440C">
              <w:t>Fre</w:t>
            </w:r>
            <w:r w:rsidRPr="00093E8E">
              <w:t>s</w:t>
            </w:r>
            <w:r w:rsidRPr="00C6440C">
              <w:t>he</w:t>
            </w:r>
            <w:r w:rsidRPr="00093E8E">
              <w:t xml:space="preserve">st </w:t>
            </w:r>
            <w:r w:rsidRPr="00C6440C">
              <w:t>CR</w:t>
            </w:r>
            <w:r w:rsidRPr="00093E8E">
              <w:t>L</w:t>
            </w:r>
          </w:p>
        </w:tc>
        <w:tc>
          <w:tcPr>
            <w:tcW w:w="3594" w:type="pct"/>
          </w:tcPr>
          <w:p w14:paraId="36F26FE2" w14:textId="77777777" w:rsidR="00215226" w:rsidRPr="00093E8E" w:rsidRDefault="00215226" w:rsidP="00504C3A">
            <w:pPr>
              <w:pStyle w:val="Normal-TableText"/>
            </w:pPr>
            <w:r w:rsidRPr="00C6440C">
              <w:rPr>
                <w:rStyle w:val="Strong"/>
              </w:rPr>
              <w:t>Not Used</w:t>
            </w:r>
          </w:p>
        </w:tc>
      </w:tr>
      <w:tr w:rsidR="00215226" w:rsidRPr="00093E8E" w14:paraId="3141D5C6" w14:textId="77777777" w:rsidTr="00BD2B67">
        <w:tblPrEx>
          <w:tblLook w:val="0000" w:firstRow="0" w:lastRow="0" w:firstColumn="0" w:lastColumn="0" w:noHBand="0" w:noVBand="0"/>
        </w:tblPrEx>
        <w:trPr>
          <w:trHeight w:val="113"/>
        </w:trPr>
        <w:tc>
          <w:tcPr>
            <w:tcW w:w="1406" w:type="pct"/>
          </w:tcPr>
          <w:p w14:paraId="57D3FCEF" w14:textId="77777777" w:rsidR="00215226" w:rsidRPr="00093E8E" w:rsidRDefault="00215226" w:rsidP="00504C3A">
            <w:pPr>
              <w:pStyle w:val="Normal-TableText"/>
            </w:pPr>
            <w:r w:rsidRPr="00C6440C">
              <w:t>I</w:t>
            </w:r>
            <w:r w:rsidRPr="00093E8E">
              <w:t>nhibit A</w:t>
            </w:r>
            <w:r w:rsidRPr="00C6440C">
              <w:t>n</w:t>
            </w:r>
            <w:r w:rsidRPr="00093E8E">
              <w:t>y</w:t>
            </w:r>
            <w:r w:rsidRPr="00C6440C">
              <w:t xml:space="preserve"> P</w:t>
            </w:r>
            <w:r w:rsidRPr="00093E8E">
              <w:t>oli</w:t>
            </w:r>
            <w:r w:rsidRPr="00C6440C">
              <w:t>c</w:t>
            </w:r>
            <w:r w:rsidRPr="00093E8E">
              <w:t>y</w:t>
            </w:r>
          </w:p>
        </w:tc>
        <w:tc>
          <w:tcPr>
            <w:tcW w:w="3594" w:type="pct"/>
          </w:tcPr>
          <w:p w14:paraId="7A9B420D" w14:textId="77777777" w:rsidR="00215226" w:rsidRPr="00093E8E" w:rsidRDefault="00215226" w:rsidP="00504C3A">
            <w:pPr>
              <w:pStyle w:val="Normal-TableText"/>
            </w:pPr>
            <w:r w:rsidRPr="00C6440C">
              <w:rPr>
                <w:rStyle w:val="Strong"/>
              </w:rPr>
              <w:t>Not Used</w:t>
            </w:r>
          </w:p>
        </w:tc>
      </w:tr>
    </w:tbl>
    <w:p w14:paraId="45B2D9E2" w14:textId="45BE1D22" w:rsidR="00640505" w:rsidRPr="00AF2050" w:rsidRDefault="00640505" w:rsidP="008A2321"/>
    <w:sectPr w:rsidR="00640505" w:rsidRPr="00AF2050" w:rsidSect="00D3101B">
      <w:footerReference w:type="default" r:id="rId39"/>
      <w:pgSz w:w="11906" w:h="16838" w:code="9"/>
      <w:pgMar w:top="1418"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63A51" w14:textId="77777777" w:rsidR="00BA3063" w:rsidRDefault="00BA3063" w:rsidP="00EF4574">
      <w:pPr>
        <w:spacing w:before="0" w:after="0" w:line="240" w:lineRule="auto"/>
      </w:pPr>
      <w:r>
        <w:separator/>
      </w:r>
    </w:p>
  </w:endnote>
  <w:endnote w:type="continuationSeparator" w:id="0">
    <w:p w14:paraId="557043B8" w14:textId="77777777" w:rsidR="00BA3063" w:rsidRDefault="00BA3063" w:rsidP="00EF45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748A3" w14:textId="7F72B7C5" w:rsidR="007438EC" w:rsidRDefault="00AE70A3">
    <w:pPr>
      <w:pStyle w:val="Footer"/>
    </w:pPr>
    <w:fldSimple w:instr=" STYLEREF  Title  \* MERGEFORMAT ">
      <w:r w:rsidR="00EF6246">
        <w:rPr>
          <w:noProof/>
        </w:rPr>
        <w:t>Gatekeeper Public Key Infrastructure Framework</w:t>
      </w:r>
    </w:fldSimple>
    <w:r w:rsidR="007438EC">
      <w:t xml:space="preserve"> </w:t>
    </w:r>
    <w:r w:rsidR="007438EC">
      <w:rPr>
        <w:rFonts w:cstheme="minorHAnsi"/>
      </w:rPr>
      <w:t>–</w:t>
    </w:r>
    <w:r w:rsidR="007438EC">
      <w:t xml:space="preserve"> </w:t>
    </w:r>
    <w:fldSimple w:instr=" STYLEREF  &quot;Subtitle Date&quot;  \* MERGEFORMAT ">
      <w:r w:rsidR="00EF6246" w:rsidRPr="00EF6246">
        <w:rPr>
          <w:b/>
          <w:bCs/>
          <w:noProof/>
          <w:lang w:val="en-US"/>
        </w:rPr>
        <w:t>V 3.1 – December</w:t>
      </w:r>
      <w:r w:rsidR="00EF6246">
        <w:rPr>
          <w:noProof/>
        </w:rPr>
        <w:t xml:space="preserve"> 2015</w:t>
      </w:r>
    </w:fldSimple>
    <w:r w:rsidR="007438EC">
      <w:tab/>
    </w:r>
    <w:r w:rsidR="007438EC" w:rsidRPr="00CF26F0">
      <w:rPr>
        <w:rStyle w:val="PageNumber"/>
      </w:rPr>
      <w:t xml:space="preserve">Page </w:t>
    </w:r>
    <w:r w:rsidR="007438EC" w:rsidRPr="00CF26F0">
      <w:rPr>
        <w:rStyle w:val="PageNumber"/>
      </w:rPr>
      <w:fldChar w:fldCharType="begin"/>
    </w:r>
    <w:r w:rsidR="007438EC" w:rsidRPr="00CF26F0">
      <w:rPr>
        <w:rStyle w:val="PageNumber"/>
      </w:rPr>
      <w:instrText xml:space="preserve"> PAGE  \* Arabic  \* MERGEFORMAT </w:instrText>
    </w:r>
    <w:r w:rsidR="007438EC" w:rsidRPr="00CF26F0">
      <w:rPr>
        <w:rStyle w:val="PageNumber"/>
      </w:rPr>
      <w:fldChar w:fldCharType="separate"/>
    </w:r>
    <w:r w:rsidR="00EF6246">
      <w:rPr>
        <w:rStyle w:val="PageNumber"/>
        <w:noProof/>
      </w:rPr>
      <w:t>2</w:t>
    </w:r>
    <w:r w:rsidR="007438EC" w:rsidRPr="00CF26F0">
      <w:rPr>
        <w:rStyle w:val="PageNumber"/>
      </w:rPr>
      <w:fldChar w:fldCharType="end"/>
    </w:r>
    <w:r w:rsidR="007438EC" w:rsidRPr="00CF26F0">
      <w:rPr>
        <w:rStyle w:val="PageNumber"/>
      </w:rPr>
      <w:t xml:space="preserve"> of </w:t>
    </w:r>
    <w:r w:rsidR="007438EC" w:rsidRPr="00CF26F0">
      <w:rPr>
        <w:rStyle w:val="PageNumber"/>
      </w:rPr>
      <w:fldChar w:fldCharType="begin"/>
    </w:r>
    <w:r w:rsidR="007438EC" w:rsidRPr="00CF26F0">
      <w:rPr>
        <w:rStyle w:val="PageNumber"/>
      </w:rPr>
      <w:instrText xml:space="preserve"> NUMPAGES  \* Arabic  \* MERGEFORMAT </w:instrText>
    </w:r>
    <w:r w:rsidR="007438EC" w:rsidRPr="00CF26F0">
      <w:rPr>
        <w:rStyle w:val="PageNumber"/>
      </w:rPr>
      <w:fldChar w:fldCharType="separate"/>
    </w:r>
    <w:r w:rsidR="00EF6246">
      <w:rPr>
        <w:rStyle w:val="PageNumber"/>
        <w:noProof/>
      </w:rPr>
      <w:t>91</w:t>
    </w:r>
    <w:r w:rsidR="007438EC" w:rsidRPr="00CF26F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6ECC7" w14:textId="60BBC7CC" w:rsidR="007438EC" w:rsidRDefault="00AE70A3" w:rsidP="00EB6345">
    <w:pPr>
      <w:pStyle w:val="FooterLandscape"/>
    </w:pPr>
    <w:fldSimple w:instr=" STYLEREF  Title  \* MERGEFORMAT ">
      <w:r w:rsidR="00EF6246">
        <w:rPr>
          <w:noProof/>
        </w:rPr>
        <w:t>Gatekeeper Public Key Infrastructure Framework</w:t>
      </w:r>
    </w:fldSimple>
    <w:r w:rsidR="007438EC">
      <w:t xml:space="preserve"> </w:t>
    </w:r>
    <w:r w:rsidR="007438EC">
      <w:rPr>
        <w:rFonts w:cstheme="minorHAnsi"/>
      </w:rPr>
      <w:t>–</w:t>
    </w:r>
    <w:r w:rsidR="007438EC">
      <w:t xml:space="preserve"> </w:t>
    </w:r>
    <w:fldSimple w:instr=" STYLEREF  &quot;Subtitle Date&quot;  \* MERGEFORMAT ">
      <w:r w:rsidR="00EF6246" w:rsidRPr="00EF6246">
        <w:rPr>
          <w:b/>
          <w:bCs/>
          <w:noProof/>
          <w:lang w:val="en-US"/>
        </w:rPr>
        <w:t>V 3.1 – December 2015</w:t>
      </w:r>
    </w:fldSimple>
    <w:r w:rsidR="007438EC">
      <w:tab/>
    </w:r>
    <w:r w:rsidR="007438EC" w:rsidRPr="00CF26F0">
      <w:rPr>
        <w:rStyle w:val="PageNumber"/>
      </w:rPr>
      <w:t xml:space="preserve">Page </w:t>
    </w:r>
    <w:r w:rsidR="007438EC" w:rsidRPr="00CF26F0">
      <w:rPr>
        <w:rStyle w:val="PageNumber"/>
      </w:rPr>
      <w:fldChar w:fldCharType="begin"/>
    </w:r>
    <w:r w:rsidR="007438EC" w:rsidRPr="00CF26F0">
      <w:rPr>
        <w:rStyle w:val="PageNumber"/>
      </w:rPr>
      <w:instrText xml:space="preserve"> PAGE  \* Arabic  \* MERGEFORMAT </w:instrText>
    </w:r>
    <w:r w:rsidR="007438EC" w:rsidRPr="00CF26F0">
      <w:rPr>
        <w:rStyle w:val="PageNumber"/>
      </w:rPr>
      <w:fldChar w:fldCharType="separate"/>
    </w:r>
    <w:r w:rsidR="00EF6246">
      <w:rPr>
        <w:rStyle w:val="PageNumber"/>
        <w:noProof/>
      </w:rPr>
      <w:t>61</w:t>
    </w:r>
    <w:r w:rsidR="007438EC" w:rsidRPr="00CF26F0">
      <w:rPr>
        <w:rStyle w:val="PageNumber"/>
      </w:rPr>
      <w:fldChar w:fldCharType="end"/>
    </w:r>
    <w:r w:rsidR="007438EC" w:rsidRPr="00CF26F0">
      <w:rPr>
        <w:rStyle w:val="PageNumber"/>
      </w:rPr>
      <w:t xml:space="preserve"> of </w:t>
    </w:r>
    <w:r w:rsidR="007438EC" w:rsidRPr="00CF26F0">
      <w:rPr>
        <w:rStyle w:val="PageNumber"/>
      </w:rPr>
      <w:fldChar w:fldCharType="begin"/>
    </w:r>
    <w:r w:rsidR="007438EC" w:rsidRPr="00CF26F0">
      <w:rPr>
        <w:rStyle w:val="PageNumber"/>
      </w:rPr>
      <w:instrText xml:space="preserve"> NUMPAGES  \* Arabic  \* MERGEFORMAT </w:instrText>
    </w:r>
    <w:r w:rsidR="007438EC" w:rsidRPr="00CF26F0">
      <w:rPr>
        <w:rStyle w:val="PageNumber"/>
      </w:rPr>
      <w:fldChar w:fldCharType="separate"/>
    </w:r>
    <w:r w:rsidR="00EF6246">
      <w:rPr>
        <w:rStyle w:val="PageNumber"/>
        <w:noProof/>
      </w:rPr>
      <w:t>91</w:t>
    </w:r>
    <w:r w:rsidR="007438EC" w:rsidRPr="00CF26F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AEAFC" w14:textId="0382AB2B" w:rsidR="007438EC" w:rsidRDefault="00AE70A3">
    <w:pPr>
      <w:pStyle w:val="Footer"/>
    </w:pPr>
    <w:fldSimple w:instr=" STYLEREF  Title  \* MERGEFORMAT ">
      <w:r w:rsidR="00EF6246">
        <w:rPr>
          <w:noProof/>
        </w:rPr>
        <w:t>Gatekeeper Public Key Infrastructure Framework</w:t>
      </w:r>
    </w:fldSimple>
    <w:r w:rsidR="007438EC">
      <w:t xml:space="preserve"> </w:t>
    </w:r>
    <w:r w:rsidR="007438EC">
      <w:rPr>
        <w:rFonts w:cstheme="minorHAnsi"/>
      </w:rPr>
      <w:t>–</w:t>
    </w:r>
    <w:r w:rsidR="007438EC">
      <w:t xml:space="preserve"> </w:t>
    </w:r>
    <w:fldSimple w:instr=" STYLEREF  &quot;Subtitle Date&quot;  \* MERGEFORMAT ">
      <w:r w:rsidR="00EF6246" w:rsidRPr="00EF6246">
        <w:rPr>
          <w:b/>
          <w:bCs/>
          <w:noProof/>
          <w:lang w:val="en-US"/>
        </w:rPr>
        <w:t>V 3.1 – December 2015</w:t>
      </w:r>
    </w:fldSimple>
    <w:r w:rsidR="007438EC">
      <w:tab/>
    </w:r>
    <w:r w:rsidR="007438EC" w:rsidRPr="00CF26F0">
      <w:rPr>
        <w:rStyle w:val="PageNumber"/>
      </w:rPr>
      <w:t xml:space="preserve">Page </w:t>
    </w:r>
    <w:r w:rsidR="007438EC" w:rsidRPr="00CF26F0">
      <w:rPr>
        <w:rStyle w:val="PageNumber"/>
      </w:rPr>
      <w:fldChar w:fldCharType="begin"/>
    </w:r>
    <w:r w:rsidR="007438EC" w:rsidRPr="00CF26F0">
      <w:rPr>
        <w:rStyle w:val="PageNumber"/>
      </w:rPr>
      <w:instrText xml:space="preserve"> PAGE  \* Arabic  \* MERGEFORMAT </w:instrText>
    </w:r>
    <w:r w:rsidR="007438EC" w:rsidRPr="00CF26F0">
      <w:rPr>
        <w:rStyle w:val="PageNumber"/>
      </w:rPr>
      <w:fldChar w:fldCharType="separate"/>
    </w:r>
    <w:r w:rsidR="00EF6246">
      <w:rPr>
        <w:rStyle w:val="PageNumber"/>
        <w:noProof/>
      </w:rPr>
      <w:t>68</w:t>
    </w:r>
    <w:r w:rsidR="007438EC" w:rsidRPr="00CF26F0">
      <w:rPr>
        <w:rStyle w:val="PageNumber"/>
      </w:rPr>
      <w:fldChar w:fldCharType="end"/>
    </w:r>
    <w:r w:rsidR="007438EC" w:rsidRPr="00CF26F0">
      <w:rPr>
        <w:rStyle w:val="PageNumber"/>
      </w:rPr>
      <w:t xml:space="preserve"> of </w:t>
    </w:r>
    <w:r w:rsidR="007438EC" w:rsidRPr="00CF26F0">
      <w:rPr>
        <w:rStyle w:val="PageNumber"/>
      </w:rPr>
      <w:fldChar w:fldCharType="begin"/>
    </w:r>
    <w:r w:rsidR="007438EC" w:rsidRPr="00CF26F0">
      <w:rPr>
        <w:rStyle w:val="PageNumber"/>
      </w:rPr>
      <w:instrText xml:space="preserve"> NUMPAGES  \* Arabic  \* MERGEFORMAT </w:instrText>
    </w:r>
    <w:r w:rsidR="007438EC" w:rsidRPr="00CF26F0">
      <w:rPr>
        <w:rStyle w:val="PageNumber"/>
      </w:rPr>
      <w:fldChar w:fldCharType="separate"/>
    </w:r>
    <w:r w:rsidR="00EF6246">
      <w:rPr>
        <w:rStyle w:val="PageNumber"/>
        <w:noProof/>
      </w:rPr>
      <w:t>91</w:t>
    </w:r>
    <w:r w:rsidR="007438EC" w:rsidRPr="00CF26F0">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83D01" w14:textId="56E7F913" w:rsidR="007438EC" w:rsidRDefault="00AE70A3" w:rsidP="00747BFB">
    <w:pPr>
      <w:pStyle w:val="FooterLandscape"/>
    </w:pPr>
    <w:fldSimple w:instr=" STYLEREF  Title  \* MERGEFORMAT ">
      <w:r w:rsidR="00EF6246">
        <w:rPr>
          <w:noProof/>
        </w:rPr>
        <w:t>Gatekeeper Public Key Infrastructure Framework</w:t>
      </w:r>
    </w:fldSimple>
    <w:r w:rsidR="007438EC">
      <w:t xml:space="preserve"> </w:t>
    </w:r>
    <w:r w:rsidR="007438EC">
      <w:rPr>
        <w:rFonts w:cstheme="minorHAnsi"/>
      </w:rPr>
      <w:t>–</w:t>
    </w:r>
    <w:r w:rsidR="007438EC">
      <w:t xml:space="preserve"> </w:t>
    </w:r>
    <w:fldSimple w:instr=" STYLEREF  &quot;Subtitle Date&quot;  \* MERGEFORMAT ">
      <w:r w:rsidR="00EF6246" w:rsidRPr="00EF6246">
        <w:rPr>
          <w:b/>
          <w:bCs/>
          <w:noProof/>
          <w:lang w:val="en-US"/>
        </w:rPr>
        <w:t>V 3.1 – December 2015</w:t>
      </w:r>
    </w:fldSimple>
    <w:r w:rsidR="007438EC">
      <w:tab/>
    </w:r>
    <w:r w:rsidR="007438EC" w:rsidRPr="00CF26F0">
      <w:rPr>
        <w:rStyle w:val="PageNumber"/>
      </w:rPr>
      <w:t xml:space="preserve">Page </w:t>
    </w:r>
    <w:r w:rsidR="007438EC" w:rsidRPr="00CF26F0">
      <w:rPr>
        <w:rStyle w:val="PageNumber"/>
      </w:rPr>
      <w:fldChar w:fldCharType="begin"/>
    </w:r>
    <w:r w:rsidR="007438EC" w:rsidRPr="00CF26F0">
      <w:rPr>
        <w:rStyle w:val="PageNumber"/>
      </w:rPr>
      <w:instrText xml:space="preserve"> PAGE  \* Arabic  \* MERGEFORMAT </w:instrText>
    </w:r>
    <w:r w:rsidR="007438EC" w:rsidRPr="00CF26F0">
      <w:rPr>
        <w:rStyle w:val="PageNumber"/>
      </w:rPr>
      <w:fldChar w:fldCharType="separate"/>
    </w:r>
    <w:r w:rsidR="00EF6246">
      <w:rPr>
        <w:rStyle w:val="PageNumber"/>
        <w:noProof/>
      </w:rPr>
      <w:t>71</w:t>
    </w:r>
    <w:r w:rsidR="007438EC" w:rsidRPr="00CF26F0">
      <w:rPr>
        <w:rStyle w:val="PageNumber"/>
      </w:rPr>
      <w:fldChar w:fldCharType="end"/>
    </w:r>
    <w:r w:rsidR="007438EC" w:rsidRPr="00CF26F0">
      <w:rPr>
        <w:rStyle w:val="PageNumber"/>
      </w:rPr>
      <w:t xml:space="preserve"> of </w:t>
    </w:r>
    <w:r w:rsidR="007438EC" w:rsidRPr="00CF26F0">
      <w:rPr>
        <w:rStyle w:val="PageNumber"/>
      </w:rPr>
      <w:fldChar w:fldCharType="begin"/>
    </w:r>
    <w:r w:rsidR="007438EC" w:rsidRPr="00CF26F0">
      <w:rPr>
        <w:rStyle w:val="PageNumber"/>
      </w:rPr>
      <w:instrText xml:space="preserve"> NUMPAGES  \* Arabic  \* MERGEFORMAT </w:instrText>
    </w:r>
    <w:r w:rsidR="007438EC" w:rsidRPr="00CF26F0">
      <w:rPr>
        <w:rStyle w:val="PageNumber"/>
      </w:rPr>
      <w:fldChar w:fldCharType="separate"/>
    </w:r>
    <w:r w:rsidR="00EF6246">
      <w:rPr>
        <w:rStyle w:val="PageNumber"/>
        <w:noProof/>
      </w:rPr>
      <w:t>91</w:t>
    </w:r>
    <w:r w:rsidR="007438EC" w:rsidRPr="00CF26F0">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333BF" w14:textId="123D7407" w:rsidR="007438EC" w:rsidRDefault="00AE70A3">
    <w:pPr>
      <w:pStyle w:val="Footer"/>
    </w:pPr>
    <w:fldSimple w:instr=" STYLEREF  Title  \* MERGEFORMAT ">
      <w:r w:rsidR="00EF6246">
        <w:rPr>
          <w:noProof/>
        </w:rPr>
        <w:t>Gatekeeper Public Key Infrastructure Framework</w:t>
      </w:r>
    </w:fldSimple>
    <w:r w:rsidR="007438EC">
      <w:t xml:space="preserve"> </w:t>
    </w:r>
    <w:r w:rsidR="007438EC">
      <w:rPr>
        <w:rFonts w:cstheme="minorHAnsi"/>
      </w:rPr>
      <w:t>–</w:t>
    </w:r>
    <w:r w:rsidR="007438EC">
      <w:t xml:space="preserve"> </w:t>
    </w:r>
    <w:fldSimple w:instr=" STYLEREF  &quot;Subtitle Date&quot;  \* MERGEFORMAT ">
      <w:r w:rsidR="00EF6246" w:rsidRPr="00EF6246">
        <w:rPr>
          <w:b/>
          <w:bCs/>
          <w:noProof/>
          <w:lang w:val="en-US"/>
        </w:rPr>
        <w:t>V 3.1 – December 2015</w:t>
      </w:r>
    </w:fldSimple>
    <w:r w:rsidR="007438EC">
      <w:tab/>
    </w:r>
    <w:r w:rsidR="007438EC" w:rsidRPr="00CF26F0">
      <w:rPr>
        <w:rStyle w:val="PageNumber"/>
      </w:rPr>
      <w:t xml:space="preserve">Page </w:t>
    </w:r>
    <w:r w:rsidR="007438EC" w:rsidRPr="00CF26F0">
      <w:rPr>
        <w:rStyle w:val="PageNumber"/>
      </w:rPr>
      <w:fldChar w:fldCharType="begin"/>
    </w:r>
    <w:r w:rsidR="007438EC" w:rsidRPr="00CF26F0">
      <w:rPr>
        <w:rStyle w:val="PageNumber"/>
      </w:rPr>
      <w:instrText xml:space="preserve"> PAGE  \* Arabic  \* MERGEFORMAT </w:instrText>
    </w:r>
    <w:r w:rsidR="007438EC" w:rsidRPr="00CF26F0">
      <w:rPr>
        <w:rStyle w:val="PageNumber"/>
      </w:rPr>
      <w:fldChar w:fldCharType="separate"/>
    </w:r>
    <w:r w:rsidR="00EF6246">
      <w:rPr>
        <w:rStyle w:val="PageNumber"/>
        <w:noProof/>
      </w:rPr>
      <w:t>91</w:t>
    </w:r>
    <w:r w:rsidR="007438EC" w:rsidRPr="00CF26F0">
      <w:rPr>
        <w:rStyle w:val="PageNumber"/>
      </w:rPr>
      <w:fldChar w:fldCharType="end"/>
    </w:r>
    <w:r w:rsidR="007438EC" w:rsidRPr="00CF26F0">
      <w:rPr>
        <w:rStyle w:val="PageNumber"/>
      </w:rPr>
      <w:t xml:space="preserve"> of </w:t>
    </w:r>
    <w:r w:rsidR="007438EC" w:rsidRPr="00CF26F0">
      <w:rPr>
        <w:rStyle w:val="PageNumber"/>
      </w:rPr>
      <w:fldChar w:fldCharType="begin"/>
    </w:r>
    <w:r w:rsidR="007438EC" w:rsidRPr="00CF26F0">
      <w:rPr>
        <w:rStyle w:val="PageNumber"/>
      </w:rPr>
      <w:instrText xml:space="preserve"> NUMPAGES  \* Arabic  \* MERGEFORMAT </w:instrText>
    </w:r>
    <w:r w:rsidR="007438EC" w:rsidRPr="00CF26F0">
      <w:rPr>
        <w:rStyle w:val="PageNumber"/>
      </w:rPr>
      <w:fldChar w:fldCharType="separate"/>
    </w:r>
    <w:r w:rsidR="00EF6246">
      <w:rPr>
        <w:rStyle w:val="PageNumber"/>
        <w:noProof/>
      </w:rPr>
      <w:t>91</w:t>
    </w:r>
    <w:r w:rsidR="007438EC" w:rsidRPr="00CF26F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3C85CF" w14:textId="77777777" w:rsidR="00BA3063" w:rsidRDefault="00BA3063" w:rsidP="00EF4574">
      <w:pPr>
        <w:spacing w:before="0" w:after="0" w:line="240" w:lineRule="auto"/>
      </w:pPr>
      <w:r>
        <w:separator/>
      </w:r>
    </w:p>
  </w:footnote>
  <w:footnote w:type="continuationSeparator" w:id="0">
    <w:p w14:paraId="647F4B52" w14:textId="77777777" w:rsidR="00BA3063" w:rsidRDefault="00BA3063" w:rsidP="00EF4574">
      <w:pPr>
        <w:spacing w:before="0" w:after="0" w:line="240" w:lineRule="auto"/>
      </w:pPr>
      <w:r>
        <w:continuationSeparator/>
      </w:r>
    </w:p>
  </w:footnote>
  <w:footnote w:id="1">
    <w:p w14:paraId="58F31265" w14:textId="77777777" w:rsidR="007438EC" w:rsidRDefault="007438EC" w:rsidP="00215226">
      <w:pPr>
        <w:pStyle w:val="FootnoteText"/>
      </w:pPr>
      <w:r>
        <w:rPr>
          <w:rStyle w:val="FootnoteReference"/>
        </w:rPr>
        <w:footnoteRef/>
      </w:r>
      <w:r>
        <w:t xml:space="preserve"> For further information see [NIPG] at section 13 of the Gatekeeper PKI Framework</w:t>
      </w:r>
    </w:p>
  </w:footnote>
  <w:footnote w:id="2">
    <w:p w14:paraId="00158496" w14:textId="77777777" w:rsidR="007438EC" w:rsidRDefault="007438EC" w:rsidP="00215226">
      <w:pPr>
        <w:pStyle w:val="FootnoteText"/>
        <w:ind w:left="142" w:hanging="142"/>
      </w:pPr>
      <w:r>
        <w:rPr>
          <w:rStyle w:val="FootnoteReference"/>
        </w:rPr>
        <w:footnoteRef/>
      </w:r>
      <w:r>
        <w:t xml:space="preserve"> For further information see [NeAF] at section 13 of the Gatekeeper PKI Framework</w:t>
      </w:r>
    </w:p>
  </w:footnote>
  <w:footnote w:id="3">
    <w:p w14:paraId="548C2471" w14:textId="77777777" w:rsidR="007438EC" w:rsidRDefault="007438EC" w:rsidP="00215226">
      <w:pPr>
        <w:pStyle w:val="FootnoteText"/>
      </w:pPr>
      <w:r>
        <w:rPr>
          <w:rStyle w:val="FootnoteReference"/>
        </w:rPr>
        <w:footnoteRef/>
      </w:r>
      <w:r>
        <w:t xml:space="preserve"> For further information see [IAMG]</w:t>
      </w:r>
      <w:r w:rsidRPr="009C6B5F">
        <w:t xml:space="preserve"> </w:t>
      </w:r>
      <w:r>
        <w:t>at section 13 of the Gatekeeper PKI Framework</w:t>
      </w:r>
    </w:p>
  </w:footnote>
  <w:footnote w:id="4">
    <w:p w14:paraId="1F5ED480" w14:textId="77777777" w:rsidR="007438EC" w:rsidRDefault="007438EC" w:rsidP="00215226">
      <w:pPr>
        <w:pStyle w:val="FootnoteText"/>
      </w:pPr>
      <w:r>
        <w:rPr>
          <w:rStyle w:val="FootnoteReference"/>
        </w:rPr>
        <w:footnoteRef/>
      </w:r>
      <w:r>
        <w:t xml:space="preserve"> In the context of the Gatekeeper PKI Framework a CSP is a Certification Authority.</w:t>
      </w:r>
    </w:p>
  </w:footnote>
  <w:footnote w:id="5">
    <w:p w14:paraId="140B04A0" w14:textId="77777777" w:rsidR="007438EC" w:rsidRDefault="007438EC" w:rsidP="00215226">
      <w:pPr>
        <w:pStyle w:val="FootnoteText"/>
        <w:tabs>
          <w:tab w:val="left" w:pos="0"/>
        </w:tabs>
        <w:ind w:left="0" w:firstLine="0"/>
      </w:pPr>
      <w:r>
        <w:rPr>
          <w:rStyle w:val="FootnoteReference"/>
        </w:rPr>
        <w:footnoteRef/>
      </w:r>
      <w:r>
        <w:t xml:space="preserve"> It is computationally infeasible to forge a digital signature which uses a Government approved cryptographic algorithm.</w:t>
      </w:r>
    </w:p>
  </w:footnote>
  <w:footnote w:id="6">
    <w:p w14:paraId="05BD249A" w14:textId="77777777" w:rsidR="007438EC" w:rsidRDefault="007438EC" w:rsidP="00215226">
      <w:pPr>
        <w:pStyle w:val="FootnoteText"/>
      </w:pPr>
      <w:r w:rsidRPr="00BC018C">
        <w:rPr>
          <w:rStyle w:val="FootnoteReference"/>
        </w:rPr>
        <w:footnoteRef/>
      </w:r>
      <w:r w:rsidRPr="00BC018C">
        <w:t xml:space="preserve"> Any remote connections to the PKI environment must also occur from within Australia.</w:t>
      </w:r>
    </w:p>
  </w:footnote>
  <w:footnote w:id="7">
    <w:p w14:paraId="4431DD72" w14:textId="77777777" w:rsidR="007438EC" w:rsidRDefault="007438EC" w:rsidP="00215226">
      <w:pPr>
        <w:pStyle w:val="FootnoteText"/>
      </w:pPr>
      <w:r>
        <w:rPr>
          <w:rStyle w:val="FootnoteReference"/>
        </w:rPr>
        <w:footnoteRef/>
      </w:r>
      <w:r>
        <w:t xml:space="preserve"> For further information see [GLEP] at section 13 of the Gatekeeper PKI Framework</w:t>
      </w:r>
    </w:p>
  </w:footnote>
  <w:footnote w:id="8">
    <w:p w14:paraId="48092C6A" w14:textId="77777777" w:rsidR="007438EC" w:rsidRDefault="007438EC" w:rsidP="00747BFB">
      <w:pPr>
        <w:pStyle w:val="FootnoteText"/>
      </w:pPr>
      <w:r>
        <w:rPr>
          <w:rStyle w:val="FootnoteReference"/>
        </w:rPr>
        <w:footnoteRef/>
      </w:r>
      <w:r>
        <w:t xml:space="preserve"> </w:t>
      </w:r>
      <w:r>
        <w:tab/>
      </w:r>
      <w:r w:rsidRPr="00747BFB">
        <w:t xml:space="preserve">Verify </w:t>
      </w:r>
      <w:r>
        <w:t>means to determine or test the accuracy of identity documentation submitted by an Applicant (including photographic evidence) and including signature verification in accordance with:</w:t>
      </w:r>
    </w:p>
    <w:p w14:paraId="22F9BBB9" w14:textId="77777777" w:rsidR="007438EC" w:rsidRDefault="007438EC" w:rsidP="00747BFB">
      <w:pPr>
        <w:pStyle w:val="FootnoteText"/>
        <w:numPr>
          <w:ilvl w:val="0"/>
          <w:numId w:val="8"/>
        </w:numPr>
        <w:tabs>
          <w:tab w:val="left" w:pos="-426"/>
        </w:tabs>
        <w:suppressAutoHyphens w:val="0"/>
        <w:spacing w:after="20" w:line="240" w:lineRule="auto"/>
        <w:ind w:left="567" w:hanging="283"/>
      </w:pPr>
      <w:r>
        <w:t>The procedures set out in the RA’s Approved Documents;</w:t>
      </w:r>
    </w:p>
    <w:p w14:paraId="61A35A2F" w14:textId="77777777" w:rsidR="007438EC" w:rsidRDefault="007438EC" w:rsidP="00747BFB">
      <w:pPr>
        <w:pStyle w:val="FootnoteText"/>
        <w:numPr>
          <w:ilvl w:val="0"/>
          <w:numId w:val="8"/>
        </w:numPr>
        <w:tabs>
          <w:tab w:val="left" w:pos="-426"/>
        </w:tabs>
        <w:suppressAutoHyphens w:val="0"/>
        <w:spacing w:after="20" w:line="240" w:lineRule="auto"/>
        <w:ind w:left="567" w:hanging="283"/>
      </w:pPr>
      <w:r>
        <w:t>The relevant CP and CPS; and</w:t>
      </w:r>
    </w:p>
    <w:p w14:paraId="52C79CD5" w14:textId="77777777" w:rsidR="007438EC" w:rsidRDefault="007438EC" w:rsidP="00747BFB">
      <w:pPr>
        <w:pStyle w:val="FootnoteText"/>
        <w:numPr>
          <w:ilvl w:val="0"/>
          <w:numId w:val="8"/>
        </w:numPr>
        <w:tabs>
          <w:tab w:val="left" w:pos="-426"/>
        </w:tabs>
        <w:suppressAutoHyphens w:val="0"/>
        <w:spacing w:after="20" w:line="240" w:lineRule="auto"/>
        <w:ind w:left="567" w:hanging="283"/>
      </w:pPr>
      <w:r>
        <w:t>The service agreement between the RA and CA.</w:t>
      </w:r>
    </w:p>
  </w:footnote>
  <w:footnote w:id="9">
    <w:p w14:paraId="4ED87676" w14:textId="77777777" w:rsidR="007438EC" w:rsidRDefault="007438EC" w:rsidP="00747BFB">
      <w:pPr>
        <w:pStyle w:val="FootnoteText"/>
      </w:pPr>
      <w:r>
        <w:rPr>
          <w:rStyle w:val="FootnoteReference"/>
        </w:rPr>
        <w:footnoteRef/>
      </w:r>
      <w:r>
        <w:t xml:space="preserve"> </w:t>
      </w:r>
      <w:r>
        <w:tab/>
        <w:t>Sufficiency means that the documents submitted by an Applicant in relation to the particular certificate being requested satisfy the Gatekeeper Identity Proofing Policy</w:t>
      </w:r>
    </w:p>
  </w:footnote>
  <w:footnote w:id="10">
    <w:p w14:paraId="614579F6" w14:textId="77777777" w:rsidR="007438EC" w:rsidRPr="00E47806" w:rsidRDefault="007438EC" w:rsidP="00215226">
      <w:pPr>
        <w:pStyle w:val="FootnoteText"/>
        <w:rPr>
          <w:szCs w:val="16"/>
        </w:rPr>
      </w:pPr>
      <w:r>
        <w:rPr>
          <w:rStyle w:val="FootnoteReference"/>
        </w:rPr>
        <w:footnoteRef/>
      </w:r>
      <w:r>
        <w:t xml:space="preserve"> </w:t>
      </w:r>
      <w:r>
        <w:tab/>
        <w:t xml:space="preserve">For further information see </w:t>
      </w:r>
      <w:r>
        <w:rPr>
          <w:szCs w:val="16"/>
        </w:rPr>
        <w:t xml:space="preserve">[SGB] </w:t>
      </w:r>
      <w:r>
        <w:t>at section 13 of the Gatekeeper PKI Framework</w:t>
      </w:r>
    </w:p>
  </w:footnote>
  <w:footnote w:id="11">
    <w:p w14:paraId="4164BE30" w14:textId="77777777" w:rsidR="007438EC" w:rsidRDefault="007438EC" w:rsidP="00215226">
      <w:pPr>
        <w:pStyle w:val="FootnoteText"/>
        <w:spacing w:line="240" w:lineRule="auto"/>
      </w:pPr>
      <w:r>
        <w:rPr>
          <w:rStyle w:val="FootnoteReference"/>
        </w:rPr>
        <w:footnoteRef/>
      </w:r>
      <w:r>
        <w:t xml:space="preserve"> </w:t>
      </w:r>
      <w:r>
        <w:tab/>
        <w:t>For further information see [PA2012] at section 13 of the Gatekeeper PKI Framework</w:t>
      </w:r>
    </w:p>
  </w:footnote>
  <w:footnote w:id="12">
    <w:p w14:paraId="50E11FE3" w14:textId="77777777" w:rsidR="007438EC" w:rsidRDefault="007438EC" w:rsidP="00215226">
      <w:pPr>
        <w:pStyle w:val="FootnoteText"/>
        <w:spacing w:line="240" w:lineRule="auto"/>
      </w:pPr>
      <w:r>
        <w:rPr>
          <w:rStyle w:val="FootnoteReference"/>
        </w:rPr>
        <w:footnoteRef/>
      </w:r>
      <w:r>
        <w:t xml:space="preserve"> </w:t>
      </w:r>
      <w:r>
        <w:tab/>
        <w:t>For further information see [PIA] at section 13 of the Gatekeeper PKI Framework</w:t>
      </w:r>
    </w:p>
  </w:footnote>
  <w:footnote w:id="13">
    <w:p w14:paraId="6791293F" w14:textId="77777777" w:rsidR="007438EC" w:rsidRDefault="007438EC" w:rsidP="00215226">
      <w:pPr>
        <w:pStyle w:val="FootnoteText"/>
      </w:pPr>
      <w:r>
        <w:rPr>
          <w:rStyle w:val="FootnoteReference"/>
        </w:rPr>
        <w:footnoteRef/>
      </w:r>
      <w:r>
        <w:t xml:space="preserve"> </w:t>
      </w:r>
      <w:r>
        <w:tab/>
        <w:t>For further information see [ISMG2] at section 13 of the Gatekeeper PKI Framework</w:t>
      </w:r>
    </w:p>
  </w:footnote>
  <w:footnote w:id="14">
    <w:p w14:paraId="46E8314D" w14:textId="77777777" w:rsidR="007438EC" w:rsidRDefault="007438EC" w:rsidP="00215226">
      <w:pPr>
        <w:pStyle w:val="FootnoteText"/>
      </w:pPr>
      <w:r>
        <w:rPr>
          <w:rStyle w:val="FootnoteReference"/>
        </w:rPr>
        <w:footnoteRef/>
      </w:r>
      <w:r>
        <w:t xml:space="preserve"> </w:t>
      </w:r>
      <w:r>
        <w:tab/>
        <w:t>The table is derived from [27005] &amp; [IRAP]</w:t>
      </w:r>
      <w:r w:rsidRPr="009C6B5F">
        <w:t xml:space="preserve"> </w:t>
      </w:r>
    </w:p>
  </w:footnote>
  <w:footnote w:id="15">
    <w:p w14:paraId="54B82186" w14:textId="77777777" w:rsidR="007438EC" w:rsidRDefault="007438EC" w:rsidP="00215226">
      <w:pPr>
        <w:pStyle w:val="FootnoteText"/>
      </w:pPr>
      <w:r w:rsidRPr="001314D1">
        <w:rPr>
          <w:rStyle w:val="FootnoteReference"/>
        </w:rPr>
        <w:footnoteRef/>
      </w:r>
      <w:r w:rsidRPr="001314D1">
        <w:t xml:space="preserve"> </w:t>
      </w:r>
      <w:r>
        <w:tab/>
        <w:t>For further information see</w:t>
      </w:r>
      <w:r w:rsidRPr="001314D1">
        <w:t xml:space="preserve"> [TCPR]</w:t>
      </w:r>
      <w:r>
        <w:t xml:space="preserve"> at section 13 of the Gatekeeper PKI Framework</w:t>
      </w:r>
    </w:p>
  </w:footnote>
  <w:footnote w:id="16">
    <w:p w14:paraId="36EB079E" w14:textId="77777777" w:rsidR="007438EC" w:rsidRDefault="007438EC" w:rsidP="00215226">
      <w:pPr>
        <w:pStyle w:val="FootnoteText"/>
      </w:pPr>
      <w:r>
        <w:rPr>
          <w:rStyle w:val="FootnoteReference"/>
        </w:rPr>
        <w:footnoteRef/>
      </w:r>
      <w:r>
        <w:t xml:space="preserve"> </w:t>
      </w:r>
      <w:r>
        <w:tab/>
        <w:t>For further information see [ANZ5050] at section 13 of the Gatekeeper PKI Framework</w:t>
      </w:r>
    </w:p>
  </w:footnote>
  <w:footnote w:id="17">
    <w:p w14:paraId="71900E7D" w14:textId="77777777" w:rsidR="007438EC" w:rsidRDefault="007438EC" w:rsidP="00215226">
      <w:pPr>
        <w:pStyle w:val="FootnoteText"/>
      </w:pPr>
      <w:r>
        <w:rPr>
          <w:rStyle w:val="FootnoteReference"/>
        </w:rPr>
        <w:footnoteRef/>
      </w:r>
      <w:r>
        <w:t xml:space="preserve"> </w:t>
      </w:r>
      <w:r>
        <w:tab/>
        <w:t>For further information see [ANAO] at section 13 of the Gatekeeper PKI Framework</w:t>
      </w:r>
    </w:p>
  </w:footnote>
  <w:footnote w:id="18">
    <w:p w14:paraId="3E88C64C" w14:textId="77777777" w:rsidR="007438EC" w:rsidRDefault="007438EC" w:rsidP="00747BFB">
      <w:pPr>
        <w:pStyle w:val="FootnoteText"/>
      </w:pPr>
      <w:r>
        <w:rPr>
          <w:rStyle w:val="FootnoteReference"/>
        </w:rPr>
        <w:footnoteRef/>
      </w:r>
      <w:r>
        <w:t xml:space="preserve"> </w:t>
      </w:r>
      <w:r>
        <w:tab/>
        <w:t xml:space="preserve">This includes authoritative sources accessible to accredited Verification Service Providers under the Third Party Identity Services Assurance Framework. </w:t>
      </w:r>
    </w:p>
  </w:footnote>
  <w:footnote w:id="19">
    <w:p w14:paraId="202C393D" w14:textId="77777777" w:rsidR="007438EC" w:rsidRDefault="007438EC" w:rsidP="00AA3DFF">
      <w:pPr>
        <w:pStyle w:val="FootnoteText"/>
        <w:spacing w:line="240" w:lineRule="auto"/>
      </w:pPr>
      <w:r>
        <w:rPr>
          <w:rStyle w:val="FootnoteReference"/>
        </w:rPr>
        <w:footnoteRef/>
      </w:r>
      <w:r>
        <w:t xml:space="preserve"> </w:t>
      </w:r>
      <w:r>
        <w:tab/>
        <w:t>For further information see [ISMG1] at section 13 of the Gatekeeper PKI Framework</w:t>
      </w:r>
    </w:p>
  </w:footnote>
  <w:footnote w:id="20">
    <w:p w14:paraId="5B9C94A7" w14:textId="77777777" w:rsidR="007438EC" w:rsidRDefault="007438EC" w:rsidP="00215226">
      <w:pPr>
        <w:pStyle w:val="FootnoteText"/>
        <w:spacing w:line="240" w:lineRule="auto"/>
      </w:pPr>
      <w:r>
        <w:rPr>
          <w:rStyle w:val="FootnoteReference"/>
        </w:rPr>
        <w:footnoteRef/>
      </w:r>
      <w:r>
        <w:t xml:space="preserve"> </w:t>
      </w:r>
      <w:r>
        <w:tab/>
        <w:t>For further information see [ISMG2] at section 13 of the Gatekeeper PKI Framework</w:t>
      </w:r>
    </w:p>
  </w:footnote>
  <w:footnote w:id="21">
    <w:p w14:paraId="20FFAD0D" w14:textId="77777777" w:rsidR="007438EC" w:rsidRDefault="007438EC" w:rsidP="00215226">
      <w:pPr>
        <w:pStyle w:val="FootnoteText"/>
      </w:pPr>
      <w:r>
        <w:rPr>
          <w:rStyle w:val="FootnoteReference"/>
        </w:rPr>
        <w:footnoteRef/>
      </w:r>
      <w:r>
        <w:t xml:space="preserve"> </w:t>
      </w:r>
      <w:r>
        <w:tab/>
        <w:t>For further information see [TPISAF] at section 13 of the Gatekeeper PKI Framework</w:t>
      </w:r>
    </w:p>
  </w:footnote>
  <w:footnote w:id="22">
    <w:p w14:paraId="0B9E9229" w14:textId="77777777" w:rsidR="007438EC" w:rsidRDefault="007438EC" w:rsidP="00747BFB">
      <w:pPr>
        <w:pStyle w:val="FootnoteText"/>
      </w:pPr>
      <w:r w:rsidRPr="00996BAC">
        <w:rPr>
          <w:rStyle w:val="FootnoteReference"/>
          <w:rFonts w:cs="Arial"/>
          <w:szCs w:val="16"/>
        </w:rPr>
        <w:footnoteRef/>
      </w:r>
      <w:r>
        <w:t xml:space="preserve"> </w:t>
      </w:r>
      <w:r>
        <w:tab/>
      </w:r>
      <w:r w:rsidRPr="00747BFB">
        <w:t xml:space="preserve">The </w:t>
      </w:r>
      <w:r w:rsidRPr="00996BAC">
        <w:t>use of a non-accredited entity to undertake identity proofing is recognised under Gatekeeper. If the entity undertaking the identity proofing is mandated in regulations or legislation to do so for the Subscriber or for the COI in which the Subscriber participates.</w:t>
      </w:r>
      <w:r>
        <w:t xml:space="preserve"> </w:t>
      </w:r>
      <w:r w:rsidRPr="00996BAC">
        <w:t>In either case the provisions detailed in the regulations or legislation take precedence over the Gatekeeper requirements for identity proofing.</w:t>
      </w:r>
    </w:p>
  </w:footnote>
  <w:footnote w:id="23">
    <w:p w14:paraId="5D59D87A" w14:textId="77777777" w:rsidR="007438EC" w:rsidRDefault="007438EC" w:rsidP="00215226">
      <w:pPr>
        <w:pStyle w:val="FootnoteText"/>
        <w:spacing w:after="0" w:line="240" w:lineRule="auto"/>
      </w:pPr>
      <w:r>
        <w:rPr>
          <w:rStyle w:val="FootnoteReference"/>
        </w:rPr>
        <w:footnoteRef/>
      </w:r>
      <w:r>
        <w:t xml:space="preserve"> </w:t>
      </w:r>
      <w:r>
        <w:tab/>
        <w:t>F</w:t>
      </w:r>
      <w:r w:rsidRPr="006D23FF">
        <w:t>or</w:t>
      </w:r>
      <w:r>
        <w:t xml:space="preserve"> further </w:t>
      </w:r>
      <w:r w:rsidRPr="004F657A">
        <w:t>information see [PSMG2]</w:t>
      </w:r>
      <w:r>
        <w:t xml:space="preserve"> at section 13 of the Gatekeeper PKI Framework</w:t>
      </w:r>
    </w:p>
  </w:footnote>
  <w:footnote w:id="24">
    <w:p w14:paraId="5AD2B941" w14:textId="77777777" w:rsidR="007438EC" w:rsidRDefault="007438EC" w:rsidP="00215226">
      <w:pPr>
        <w:pStyle w:val="FootnoteText"/>
        <w:spacing w:after="0" w:line="240" w:lineRule="auto"/>
      </w:pPr>
      <w:r>
        <w:rPr>
          <w:rStyle w:val="FootnoteReference"/>
        </w:rPr>
        <w:footnoteRef/>
      </w:r>
      <w:r>
        <w:t xml:space="preserve"> </w:t>
      </w:r>
      <w:r>
        <w:tab/>
        <w:t>F</w:t>
      </w:r>
      <w:r w:rsidRPr="006D23FF">
        <w:t>or</w:t>
      </w:r>
      <w:r>
        <w:t xml:space="preserve"> further information see </w:t>
      </w:r>
      <w:r w:rsidRPr="006D23FF">
        <w:t xml:space="preserve">[APSG] </w:t>
      </w:r>
      <w:r>
        <w:t>&amp; [AGPSP]</w:t>
      </w:r>
      <w:r w:rsidRPr="006D23FF">
        <w:t xml:space="preserve"> </w:t>
      </w:r>
      <w:r>
        <w:t>at section 13 of the Gatekeeper PKI Framework</w:t>
      </w:r>
    </w:p>
  </w:footnote>
  <w:footnote w:id="25">
    <w:p w14:paraId="6119D2E5" w14:textId="77777777" w:rsidR="007438EC" w:rsidRDefault="007438EC" w:rsidP="00215226">
      <w:pPr>
        <w:pStyle w:val="FootnoteText"/>
        <w:spacing w:after="0" w:line="240" w:lineRule="auto"/>
        <w:contextualSpacing/>
      </w:pPr>
      <w:r>
        <w:rPr>
          <w:rStyle w:val="FootnoteReference"/>
        </w:rPr>
        <w:footnoteRef/>
      </w:r>
      <w:r>
        <w:t xml:space="preserve"> </w:t>
      </w:r>
      <w:r>
        <w:tab/>
        <w:t>Annex A provides indicative guidance on cryptographic algorithms and key lengths.</w:t>
      </w:r>
    </w:p>
  </w:footnote>
  <w:footnote w:id="26">
    <w:p w14:paraId="36BC84B1" w14:textId="77777777" w:rsidR="007438EC" w:rsidRDefault="007438EC" w:rsidP="00215226">
      <w:pPr>
        <w:pStyle w:val="FootnoteText"/>
      </w:pPr>
      <w:r>
        <w:rPr>
          <w:rStyle w:val="FootnoteReference"/>
        </w:rPr>
        <w:footnoteRef/>
      </w:r>
      <w:r>
        <w:t xml:space="preserve"> </w:t>
      </w:r>
      <w:r>
        <w:tab/>
        <w:t xml:space="preserve">Table derived from [800–57] </w:t>
      </w:r>
    </w:p>
  </w:footnote>
  <w:footnote w:id="27">
    <w:p w14:paraId="793B4A8C" w14:textId="77777777" w:rsidR="007438EC" w:rsidRDefault="007438EC" w:rsidP="00215226">
      <w:pPr>
        <w:pStyle w:val="FootnoteText"/>
        <w:spacing w:line="240" w:lineRule="auto"/>
      </w:pPr>
      <w:r>
        <w:rPr>
          <w:rStyle w:val="FootnoteReference"/>
        </w:rPr>
        <w:footnoteRef/>
      </w:r>
      <w:r>
        <w:t xml:space="preserve"> </w:t>
      </w:r>
      <w:r>
        <w:tab/>
        <w:t xml:space="preserve">Table derived from [800–57] </w:t>
      </w:r>
    </w:p>
  </w:footnote>
  <w:footnote w:id="28">
    <w:p w14:paraId="72A7CB4D" w14:textId="77777777" w:rsidR="007438EC" w:rsidRDefault="007438EC" w:rsidP="00215226">
      <w:pPr>
        <w:pStyle w:val="FootnoteText"/>
        <w:spacing w:line="240" w:lineRule="auto"/>
      </w:pPr>
      <w:r>
        <w:rPr>
          <w:rStyle w:val="FootnoteReference"/>
        </w:rPr>
        <w:footnoteRef/>
      </w:r>
      <w:r>
        <w:t xml:space="preserve"> </w:t>
      </w:r>
      <w:r>
        <w:tab/>
        <w:t>The security strength for key-derivation assumes that the shared secret contains sufficient entropy to support the desired security strength</w:t>
      </w:r>
    </w:p>
  </w:footnote>
  <w:footnote w:id="29">
    <w:p w14:paraId="2A2F3F49" w14:textId="77777777" w:rsidR="007438EC" w:rsidRDefault="007438EC" w:rsidP="00215226">
      <w:pPr>
        <w:pStyle w:val="FootnoteText"/>
        <w:spacing w:line="240" w:lineRule="auto"/>
      </w:pPr>
      <w:r>
        <w:rPr>
          <w:rStyle w:val="FootnoteReference"/>
        </w:rPr>
        <w:footnoteRef/>
      </w:r>
      <w:r>
        <w:t xml:space="preserve"> </w:t>
      </w:r>
      <w:r>
        <w:tab/>
        <w:t>The security strength assumes that the random number generator has been provided with adequate entropy to support the desired security strength</w:t>
      </w:r>
    </w:p>
  </w:footnote>
  <w:footnote w:id="30">
    <w:p w14:paraId="719BA62A" w14:textId="77777777" w:rsidR="007438EC" w:rsidRDefault="007438EC" w:rsidP="00215226">
      <w:pPr>
        <w:pStyle w:val="FootnoteText"/>
        <w:spacing w:line="240" w:lineRule="auto"/>
      </w:pPr>
      <w:r>
        <w:rPr>
          <w:rStyle w:val="FootnoteReference"/>
        </w:rPr>
        <w:footnoteRef/>
      </w:r>
      <w:r>
        <w:t xml:space="preserve"> </w:t>
      </w:r>
      <w:r>
        <w:tab/>
        <w:t>SHA–1 has been demonstrated to provide less than 80 bits of security for digital signatures and may be susceptible to collision attacks. While no practical collision attacks have been published for SHA–1, they may become feasible in the near future. The use of SHA–1 is therefore not suitable for the generation of digital signatures. New systems should use one of the larger hash functions. For the present time SHA–1 is included here for digital signatures to reflect its widespread use in existing systems.</w:t>
      </w:r>
    </w:p>
  </w:footnote>
  <w:footnote w:id="31">
    <w:p w14:paraId="7B428081" w14:textId="77777777" w:rsidR="007438EC" w:rsidRDefault="007438EC" w:rsidP="00215226">
      <w:pPr>
        <w:pStyle w:val="FootnoteText"/>
      </w:pPr>
      <w:r>
        <w:rPr>
          <w:rStyle w:val="FootnoteReference"/>
        </w:rPr>
        <w:footnoteRef/>
      </w:r>
      <w:r>
        <w:t xml:space="preserve"> </w:t>
      </w:r>
      <w:r>
        <w:tab/>
        <w:t xml:space="preserve">Table derived from [800–57] </w:t>
      </w:r>
    </w:p>
  </w:footnote>
  <w:footnote w:id="32">
    <w:p w14:paraId="4148E0C1" w14:textId="77777777" w:rsidR="007438EC" w:rsidRDefault="007438EC" w:rsidP="00215226">
      <w:pPr>
        <w:pStyle w:val="FootnoteText"/>
      </w:pPr>
      <w:r>
        <w:rPr>
          <w:rStyle w:val="FootnoteReference"/>
        </w:rPr>
        <w:footnoteRef/>
      </w:r>
      <w:r>
        <w:t xml:space="preserve"> </w:t>
      </w:r>
      <w:r>
        <w:tab/>
        <w:t xml:space="preserve">Tables have been derived from [ACP185] </w:t>
      </w:r>
    </w:p>
  </w:footnote>
  <w:footnote w:id="33">
    <w:p w14:paraId="23E32AC0" w14:textId="77777777" w:rsidR="007438EC" w:rsidRPr="00747BFB" w:rsidRDefault="007438EC" w:rsidP="00747BFB">
      <w:pPr>
        <w:pStyle w:val="FootnoteText"/>
      </w:pPr>
      <w:r>
        <w:rPr>
          <w:rStyle w:val="FootnoteReference"/>
        </w:rPr>
        <w:footnoteRef/>
      </w:r>
      <w:r>
        <w:t xml:space="preserve"> </w:t>
      </w:r>
      <w:r>
        <w:tab/>
        <w:t>This is not conformant to RFC 5280 however is required do overcome potential application compatibility issues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F0461" w14:textId="77777777" w:rsidR="007438EC" w:rsidRDefault="007438EC">
    <w:pPr>
      <w:pStyle w:val="Header"/>
    </w:pPr>
    <w:r>
      <w:rPr>
        <w:noProof/>
        <w:lang w:eastAsia="en-AU"/>
      </w:rPr>
      <mc:AlternateContent>
        <mc:Choice Requires="wps">
          <w:drawing>
            <wp:anchor distT="0" distB="0" distL="114300" distR="114300" simplePos="0" relativeHeight="251659264" behindDoc="1" locked="0" layoutInCell="1" allowOverlap="1" wp14:anchorId="40CC72FB" wp14:editId="7E63E271">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814537C"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C888F" w14:textId="77777777" w:rsidR="007438EC" w:rsidRDefault="00743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5A5A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BACA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6EC71E"/>
    <w:lvl w:ilvl="0">
      <w:start w:val="1"/>
      <w:numFmt w:val="decimal"/>
      <w:lvlText w:val="%1."/>
      <w:lvlJc w:val="left"/>
      <w:pPr>
        <w:tabs>
          <w:tab w:val="num" w:pos="926"/>
        </w:tabs>
        <w:ind w:left="926" w:hanging="360"/>
      </w:pPr>
    </w:lvl>
  </w:abstractNum>
  <w:abstractNum w:abstractNumId="3" w15:restartNumberingAfterBreak="0">
    <w:nsid w:val="FFFFFF80"/>
    <w:multiLevelType w:val="singleLevel"/>
    <w:tmpl w:val="A19C4488"/>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860AB77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ED268B8"/>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6E0AF9DA"/>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0A2F6B80"/>
    <w:multiLevelType w:val="multilevel"/>
    <w:tmpl w:val="F24617B0"/>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8" w15:restartNumberingAfterBreak="0">
    <w:nsid w:val="0BFD09AA"/>
    <w:multiLevelType w:val="hybridMultilevel"/>
    <w:tmpl w:val="CAF229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94214C9"/>
    <w:multiLevelType w:val="multilevel"/>
    <w:tmpl w:val="0812D606"/>
    <w:styleLink w:val="Bullets"/>
    <w:lvl w:ilvl="0">
      <w:start w:val="1"/>
      <w:numFmt w:val="bullet"/>
      <w:lvlText w:val="•"/>
      <w:lvlJc w:val="left"/>
      <w:pPr>
        <w:tabs>
          <w:tab w:val="num" w:pos="284"/>
        </w:tabs>
        <w:ind w:left="284" w:hanging="284"/>
      </w:pPr>
      <w:rPr>
        <w:rFonts w:ascii="Cambria" w:hAnsi="Cambria" w:hint="default"/>
        <w:color w:val="7F4C86"/>
      </w:rPr>
    </w:lvl>
    <w:lvl w:ilvl="1">
      <w:start w:val="1"/>
      <w:numFmt w:val="bullet"/>
      <w:lvlText w:val="•"/>
      <w:lvlJc w:val="left"/>
      <w:pPr>
        <w:tabs>
          <w:tab w:val="num" w:pos="567"/>
        </w:tabs>
        <w:ind w:left="567" w:hanging="283"/>
      </w:pPr>
      <w:rPr>
        <w:rFonts w:ascii="Cambria" w:hAnsi="Cambria" w:hint="default"/>
        <w:color w:val="7F4C86"/>
      </w:rPr>
    </w:lvl>
    <w:lvl w:ilvl="2">
      <w:start w:val="1"/>
      <w:numFmt w:val="bullet"/>
      <w:lvlText w:val="•"/>
      <w:lvlJc w:val="left"/>
      <w:pPr>
        <w:tabs>
          <w:tab w:val="num" w:pos="284"/>
        </w:tabs>
        <w:ind w:left="284" w:hanging="284"/>
      </w:pPr>
      <w:rPr>
        <w:rFonts w:ascii="Cambria" w:hAnsi="Cambria" w:hint="default"/>
        <w:color w:val="7F4C86"/>
      </w:rPr>
    </w:lvl>
    <w:lvl w:ilvl="3">
      <w:start w:val="1"/>
      <w:numFmt w:val="bullet"/>
      <w:lvlText w:val="•"/>
      <w:lvlJc w:val="left"/>
      <w:pPr>
        <w:tabs>
          <w:tab w:val="num" w:pos="567"/>
        </w:tabs>
        <w:ind w:left="567" w:hanging="283"/>
      </w:pPr>
      <w:rPr>
        <w:rFonts w:ascii="Cambria" w:hAnsi="Cambria" w:hint="default"/>
        <w:color w:val="7F4C86"/>
      </w:rPr>
    </w:lvl>
    <w:lvl w:ilvl="4">
      <w:start w:val="1"/>
      <w:numFmt w:val="none"/>
      <w:lvlText w:val=""/>
      <w:lvlJc w:val="left"/>
      <w:pPr>
        <w:ind w:left="0" w:firstLine="0"/>
      </w:pPr>
      <w:rPr>
        <w:rFonts w:hint="default"/>
      </w:rPr>
    </w:lvl>
    <w:lvl w:ilvl="5">
      <w:start w:val="1"/>
      <w:numFmt w:val="bullet"/>
      <w:lvlText w:val=""/>
      <w:lvlJc w:val="left"/>
      <w:pPr>
        <w:tabs>
          <w:tab w:val="num" w:pos="266"/>
        </w:tabs>
        <w:ind w:left="266" w:hanging="170"/>
      </w:pPr>
      <w:rPr>
        <w:rFonts w:ascii="Symbol" w:hAnsi="Symbol" w:hint="default"/>
        <w:color w:val="7F4C86"/>
        <w:sz w:val="16"/>
      </w:rPr>
    </w:lvl>
    <w:lvl w:ilvl="6">
      <w:start w:val="1"/>
      <w:numFmt w:val="bullet"/>
      <w:lvlText w:val=""/>
      <w:lvlJc w:val="left"/>
      <w:pPr>
        <w:tabs>
          <w:tab w:val="num" w:pos="437"/>
        </w:tabs>
        <w:ind w:left="437" w:hanging="171"/>
      </w:pPr>
      <w:rPr>
        <w:rFonts w:ascii="Symbol" w:hAnsi="Symbol" w:hint="default"/>
        <w:color w:val="7F4C86"/>
        <w:sz w:val="16"/>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2AC33C2E"/>
    <w:multiLevelType w:val="hybridMultilevel"/>
    <w:tmpl w:val="93686040"/>
    <w:lvl w:ilvl="0" w:tplc="DF86913E">
      <w:start w:val="1"/>
      <w:numFmt w:val="decimal"/>
      <w:pStyle w:val="Normal-numbered"/>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0696B37"/>
    <w:multiLevelType w:val="multilevel"/>
    <w:tmpl w:val="0D2E1A8A"/>
    <w:numStyleLink w:val="HeadingsList"/>
  </w:abstractNum>
  <w:abstractNum w:abstractNumId="13" w15:restartNumberingAfterBreak="0">
    <w:nsid w:val="4F1523F7"/>
    <w:multiLevelType w:val="multilevel"/>
    <w:tmpl w:val="8522E0AA"/>
    <w:styleLink w:val="Number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453"/>
        </w:tabs>
        <w:ind w:left="453" w:hanging="737"/>
      </w:pPr>
      <w:rPr>
        <w:rFonts w:hint="default"/>
      </w:rPr>
    </w:lvl>
    <w:lvl w:ilvl="2">
      <w:start w:val="1"/>
      <w:numFmt w:val="decimal"/>
      <w:lvlText w:val="%1.%2.%3"/>
      <w:lvlJc w:val="left"/>
      <w:pPr>
        <w:tabs>
          <w:tab w:val="num" w:pos="453"/>
        </w:tabs>
        <w:ind w:left="453" w:hanging="737"/>
      </w:pPr>
      <w:rPr>
        <w:rFonts w:hint="default"/>
      </w:rPr>
    </w:lvl>
    <w:lvl w:ilvl="3">
      <w:start w:val="1"/>
      <w:numFmt w:val="decimal"/>
      <w:lvlRestart w:val="1"/>
      <w:lvlText w:val="%1.%4"/>
      <w:lvlJc w:val="left"/>
      <w:pPr>
        <w:tabs>
          <w:tab w:val="num" w:pos="283"/>
        </w:tabs>
        <w:ind w:left="283" w:hanging="567"/>
      </w:pPr>
      <w:rPr>
        <w:rFonts w:hint="default"/>
        <w:b/>
        <w:i w:val="0"/>
      </w:rPr>
    </w:lvl>
    <w:lvl w:ilvl="4">
      <w:start w:val="1"/>
      <w:numFmt w:val="lowerLetter"/>
      <w:lvlText w:val="%5."/>
      <w:lvlJc w:val="left"/>
      <w:pPr>
        <w:tabs>
          <w:tab w:val="num" w:pos="567"/>
        </w:tabs>
        <w:ind w:left="567" w:hanging="284"/>
      </w:pPr>
      <w:rPr>
        <w:rFonts w:hint="default"/>
      </w:rPr>
    </w:lvl>
    <w:lvl w:ilvl="5">
      <w:start w:val="1"/>
      <w:numFmt w:val="lowerRoman"/>
      <w:lvlText w:val="%6."/>
      <w:lvlJc w:val="left"/>
      <w:pPr>
        <w:tabs>
          <w:tab w:val="num" w:pos="850"/>
        </w:tabs>
        <w:ind w:left="850" w:hanging="283"/>
      </w:pPr>
      <w:rPr>
        <w:rFonts w:hint="default"/>
      </w:rPr>
    </w:lvl>
    <w:lvl w:ilvl="6">
      <w:start w:val="1"/>
      <w:numFmt w:val="decimal"/>
      <w:lvlRestart w:val="0"/>
      <w:suff w:val="space"/>
      <w:lvlText w:val="Figure %7:"/>
      <w:lvlJc w:val="left"/>
      <w:pPr>
        <w:ind w:left="-284" w:firstLine="0"/>
      </w:pPr>
      <w:rPr>
        <w:rFonts w:hint="default"/>
      </w:rPr>
    </w:lvl>
    <w:lvl w:ilvl="7">
      <w:start w:val="1"/>
      <w:numFmt w:val="decimal"/>
      <w:lvlRestart w:val="0"/>
      <w:suff w:val="space"/>
      <w:lvlText w:val="Note %8:"/>
      <w:lvlJc w:val="left"/>
      <w:pPr>
        <w:ind w:left="-284" w:firstLine="0"/>
      </w:pPr>
      <w:rPr>
        <w:rFonts w:hint="default"/>
      </w:rPr>
    </w:lvl>
    <w:lvl w:ilvl="8">
      <w:start w:val="1"/>
      <w:numFmt w:val="decimal"/>
      <w:lvlRestart w:val="1"/>
      <w:suff w:val="space"/>
      <w:lvlText w:val="Table %1.%9:"/>
      <w:lvlJc w:val="left"/>
      <w:pPr>
        <w:ind w:left="-284" w:firstLine="0"/>
      </w:pPr>
      <w:rPr>
        <w:rFonts w:hint="default"/>
      </w:rPr>
    </w:lvl>
  </w:abstractNum>
  <w:abstractNum w:abstractNumId="14"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5"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6"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16"/>
  </w:num>
  <w:num w:numId="2">
    <w:abstractNumId w:val="7"/>
  </w:num>
  <w:num w:numId="3">
    <w:abstractNumId w:val="11"/>
  </w:num>
  <w:num w:numId="4">
    <w:abstractNumId w:val="14"/>
  </w:num>
  <w:num w:numId="5">
    <w:abstractNumId w:val="15"/>
  </w:num>
  <w:num w:numId="6">
    <w:abstractNumId w:val="12"/>
  </w:num>
  <w:num w:numId="7">
    <w:abstractNumId w:val="10"/>
  </w:num>
  <w:num w:numId="8">
    <w:abstractNumId w:val="8"/>
  </w:num>
  <w:num w:numId="9">
    <w:abstractNumId w:val="9"/>
  </w:num>
  <w:num w:numId="10">
    <w:abstractNumId w:val="13"/>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6"/>
  </w:num>
  <w:num w:numId="18">
    <w:abstractNumId w:val="16"/>
  </w:num>
  <w:num w:numId="19">
    <w:abstractNumId w:val="16"/>
  </w:num>
  <w:num w:numId="20">
    <w:abstractNumId w:val="16"/>
  </w:num>
  <w:num w:numId="21">
    <w:abstractNumId w:val="15"/>
  </w:num>
  <w:num w:numId="22">
    <w:abstractNumId w:val="12"/>
  </w:num>
  <w:num w:numId="23">
    <w:abstractNumId w:val="12"/>
  </w:num>
  <w:num w:numId="24">
    <w:abstractNumId w:val="12"/>
  </w:num>
  <w:num w:numId="25">
    <w:abstractNumId w:val="11"/>
  </w:num>
  <w:num w:numId="26">
    <w:abstractNumId w:val="7"/>
  </w:num>
  <w:num w:numId="27">
    <w:abstractNumId w:val="7"/>
  </w:num>
  <w:num w:numId="28">
    <w:abstractNumId w:val="7"/>
  </w:num>
  <w:num w:numId="29">
    <w:abstractNumId w:val="7"/>
  </w:num>
  <w:num w:numId="30">
    <w:abstractNumId w:val="14"/>
  </w:num>
  <w:num w:numId="31">
    <w:abstractNumId w:val="6"/>
  </w:num>
  <w:num w:numId="32">
    <w:abstractNumId w:val="5"/>
  </w:num>
  <w:num w:numId="33">
    <w:abstractNumId w:val="4"/>
  </w:num>
  <w:num w:numId="34">
    <w:abstractNumId w:val="3"/>
  </w:num>
  <w:num w:numId="35">
    <w:abstractNumId w:val="2"/>
  </w:num>
  <w:num w:numId="36">
    <w:abstractNumId w:val="1"/>
  </w:num>
  <w:num w:numId="37">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016AE"/>
    <w:rsid w:val="0002782F"/>
    <w:rsid w:val="00037866"/>
    <w:rsid w:val="00054E4D"/>
    <w:rsid w:val="00060073"/>
    <w:rsid w:val="000747C3"/>
    <w:rsid w:val="00077B27"/>
    <w:rsid w:val="000A710E"/>
    <w:rsid w:val="00102EEB"/>
    <w:rsid w:val="00121DD1"/>
    <w:rsid w:val="00133C09"/>
    <w:rsid w:val="00152FDE"/>
    <w:rsid w:val="001541EA"/>
    <w:rsid w:val="001866FB"/>
    <w:rsid w:val="001A2B8C"/>
    <w:rsid w:val="001A5DCF"/>
    <w:rsid w:val="001C3825"/>
    <w:rsid w:val="001E1DC0"/>
    <w:rsid w:val="00205A1C"/>
    <w:rsid w:val="002064E2"/>
    <w:rsid w:val="00215226"/>
    <w:rsid w:val="0021694A"/>
    <w:rsid w:val="00224623"/>
    <w:rsid w:val="00234B02"/>
    <w:rsid w:val="00267272"/>
    <w:rsid w:val="00272228"/>
    <w:rsid w:val="002756AB"/>
    <w:rsid w:val="0028602A"/>
    <w:rsid w:val="002A216F"/>
    <w:rsid w:val="002F0A01"/>
    <w:rsid w:val="002F68C1"/>
    <w:rsid w:val="00301144"/>
    <w:rsid w:val="0030777B"/>
    <w:rsid w:val="0031226E"/>
    <w:rsid w:val="00313048"/>
    <w:rsid w:val="003148B7"/>
    <w:rsid w:val="003158C3"/>
    <w:rsid w:val="00323DCA"/>
    <w:rsid w:val="00323F15"/>
    <w:rsid w:val="0032663D"/>
    <w:rsid w:val="003274CD"/>
    <w:rsid w:val="00332C83"/>
    <w:rsid w:val="003409EF"/>
    <w:rsid w:val="00342163"/>
    <w:rsid w:val="0035119D"/>
    <w:rsid w:val="003602BB"/>
    <w:rsid w:val="00367921"/>
    <w:rsid w:val="003939A1"/>
    <w:rsid w:val="003B00C4"/>
    <w:rsid w:val="003B4F12"/>
    <w:rsid w:val="003C7976"/>
    <w:rsid w:val="003D72CB"/>
    <w:rsid w:val="00404563"/>
    <w:rsid w:val="00415759"/>
    <w:rsid w:val="00423F31"/>
    <w:rsid w:val="0042410C"/>
    <w:rsid w:val="00426C67"/>
    <w:rsid w:val="00433FF1"/>
    <w:rsid w:val="00442F2E"/>
    <w:rsid w:val="00443278"/>
    <w:rsid w:val="004628D5"/>
    <w:rsid w:val="00492ACE"/>
    <w:rsid w:val="00496C05"/>
    <w:rsid w:val="004A27F7"/>
    <w:rsid w:val="004B3775"/>
    <w:rsid w:val="004D4B77"/>
    <w:rsid w:val="004E058F"/>
    <w:rsid w:val="004E3B87"/>
    <w:rsid w:val="00504C3A"/>
    <w:rsid w:val="00510921"/>
    <w:rsid w:val="00510AD3"/>
    <w:rsid w:val="00513348"/>
    <w:rsid w:val="00531E05"/>
    <w:rsid w:val="00533B5D"/>
    <w:rsid w:val="00537531"/>
    <w:rsid w:val="00575D58"/>
    <w:rsid w:val="005B08E5"/>
    <w:rsid w:val="005D451C"/>
    <w:rsid w:val="005D7671"/>
    <w:rsid w:val="005E404C"/>
    <w:rsid w:val="00611D41"/>
    <w:rsid w:val="00614AEE"/>
    <w:rsid w:val="00623BA1"/>
    <w:rsid w:val="006346BC"/>
    <w:rsid w:val="00640505"/>
    <w:rsid w:val="0064070C"/>
    <w:rsid w:val="0066652A"/>
    <w:rsid w:val="00682167"/>
    <w:rsid w:val="006A0523"/>
    <w:rsid w:val="006C06D0"/>
    <w:rsid w:val="006C3AEC"/>
    <w:rsid w:val="006C42AF"/>
    <w:rsid w:val="006E7E2C"/>
    <w:rsid w:val="006F301E"/>
    <w:rsid w:val="006F49DA"/>
    <w:rsid w:val="00711D8E"/>
    <w:rsid w:val="00712672"/>
    <w:rsid w:val="00730F9B"/>
    <w:rsid w:val="00734E3F"/>
    <w:rsid w:val="00736985"/>
    <w:rsid w:val="007438EC"/>
    <w:rsid w:val="00747BFB"/>
    <w:rsid w:val="0075026E"/>
    <w:rsid w:val="00750E83"/>
    <w:rsid w:val="007917C1"/>
    <w:rsid w:val="00793E98"/>
    <w:rsid w:val="007A1661"/>
    <w:rsid w:val="007B6200"/>
    <w:rsid w:val="007D5B2A"/>
    <w:rsid w:val="00801202"/>
    <w:rsid w:val="00801B9F"/>
    <w:rsid w:val="008159E3"/>
    <w:rsid w:val="00832469"/>
    <w:rsid w:val="00863E3B"/>
    <w:rsid w:val="00883A8F"/>
    <w:rsid w:val="00896427"/>
    <w:rsid w:val="00897FA3"/>
    <w:rsid w:val="008A2321"/>
    <w:rsid w:val="008C704E"/>
    <w:rsid w:val="008D6733"/>
    <w:rsid w:val="00906D67"/>
    <w:rsid w:val="00916616"/>
    <w:rsid w:val="0091786C"/>
    <w:rsid w:val="00930082"/>
    <w:rsid w:val="009614D3"/>
    <w:rsid w:val="00975A5D"/>
    <w:rsid w:val="009A1B0F"/>
    <w:rsid w:val="009A5F4E"/>
    <w:rsid w:val="009A65CF"/>
    <w:rsid w:val="009B4D3B"/>
    <w:rsid w:val="009B5866"/>
    <w:rsid w:val="009C1B2F"/>
    <w:rsid w:val="009D1A1C"/>
    <w:rsid w:val="009D7407"/>
    <w:rsid w:val="009E0866"/>
    <w:rsid w:val="009E1994"/>
    <w:rsid w:val="009E644C"/>
    <w:rsid w:val="00A02CB4"/>
    <w:rsid w:val="00A103CA"/>
    <w:rsid w:val="00A24A62"/>
    <w:rsid w:val="00A31C9F"/>
    <w:rsid w:val="00A64169"/>
    <w:rsid w:val="00A86921"/>
    <w:rsid w:val="00A91FF5"/>
    <w:rsid w:val="00AA3DFF"/>
    <w:rsid w:val="00AB5AAA"/>
    <w:rsid w:val="00AC164A"/>
    <w:rsid w:val="00AD4117"/>
    <w:rsid w:val="00AE70A3"/>
    <w:rsid w:val="00AF2050"/>
    <w:rsid w:val="00B23A10"/>
    <w:rsid w:val="00B37B1E"/>
    <w:rsid w:val="00BA3063"/>
    <w:rsid w:val="00BB26C5"/>
    <w:rsid w:val="00BC6CAC"/>
    <w:rsid w:val="00BD2B67"/>
    <w:rsid w:val="00BE70AD"/>
    <w:rsid w:val="00BF4DE6"/>
    <w:rsid w:val="00C12941"/>
    <w:rsid w:val="00C13C69"/>
    <w:rsid w:val="00C42CDE"/>
    <w:rsid w:val="00C54AD7"/>
    <w:rsid w:val="00C6440C"/>
    <w:rsid w:val="00C6447D"/>
    <w:rsid w:val="00C6518F"/>
    <w:rsid w:val="00C6699F"/>
    <w:rsid w:val="00C87032"/>
    <w:rsid w:val="00CA37B1"/>
    <w:rsid w:val="00CB1959"/>
    <w:rsid w:val="00CF26F0"/>
    <w:rsid w:val="00D0296C"/>
    <w:rsid w:val="00D1227A"/>
    <w:rsid w:val="00D23DFF"/>
    <w:rsid w:val="00D3101B"/>
    <w:rsid w:val="00D4097B"/>
    <w:rsid w:val="00D47EF7"/>
    <w:rsid w:val="00D50809"/>
    <w:rsid w:val="00D825A0"/>
    <w:rsid w:val="00D91B18"/>
    <w:rsid w:val="00DA0F56"/>
    <w:rsid w:val="00DA4E3D"/>
    <w:rsid w:val="00DA53F3"/>
    <w:rsid w:val="00DB3B37"/>
    <w:rsid w:val="00DC2AE0"/>
    <w:rsid w:val="00DD4B64"/>
    <w:rsid w:val="00DE10AB"/>
    <w:rsid w:val="00E13637"/>
    <w:rsid w:val="00E21751"/>
    <w:rsid w:val="00E53800"/>
    <w:rsid w:val="00E6081F"/>
    <w:rsid w:val="00E64190"/>
    <w:rsid w:val="00E671F0"/>
    <w:rsid w:val="00E86119"/>
    <w:rsid w:val="00EA04B2"/>
    <w:rsid w:val="00EA20F3"/>
    <w:rsid w:val="00EA43EB"/>
    <w:rsid w:val="00EA4FAE"/>
    <w:rsid w:val="00EA5FF0"/>
    <w:rsid w:val="00EB6345"/>
    <w:rsid w:val="00EC359A"/>
    <w:rsid w:val="00ED3F97"/>
    <w:rsid w:val="00ED43D1"/>
    <w:rsid w:val="00ED6587"/>
    <w:rsid w:val="00EE4EE1"/>
    <w:rsid w:val="00EE720E"/>
    <w:rsid w:val="00EF4574"/>
    <w:rsid w:val="00EF6246"/>
    <w:rsid w:val="00F02788"/>
    <w:rsid w:val="00F14483"/>
    <w:rsid w:val="00F2684E"/>
    <w:rsid w:val="00F66DBF"/>
    <w:rsid w:val="00F729EF"/>
    <w:rsid w:val="00F7515E"/>
    <w:rsid w:val="00F962D8"/>
    <w:rsid w:val="00F96BB9"/>
    <w:rsid w:val="00FA7641"/>
    <w:rsid w:val="00FC486C"/>
    <w:rsid w:val="00FE6D51"/>
    <w:rsid w:val="00FF121B"/>
    <w:rsid w:val="00FF2C06"/>
    <w:rsid w:val="00FF4887"/>
    <w:rsid w:val="00FF72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70347"/>
  <w15:docId w15:val="{0485275F-27B6-456C-8857-DA31801D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qFormat="1"/>
    <w:lsdException w:name="List 3" w:semiHidden="1" w:uiPriority="0" w:unhideWhenUsed="1" w:qFormat="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121B"/>
    <w:pPr>
      <w:suppressAutoHyphens/>
      <w:spacing w:before="240" w:line="240" w:lineRule="atLeast"/>
    </w:pPr>
    <w:rPr>
      <w:sz w:val="20"/>
    </w:rPr>
  </w:style>
  <w:style w:type="paragraph" w:styleId="Heading1">
    <w:name w:val="heading 1"/>
    <w:basedOn w:val="Normal"/>
    <w:next w:val="Normal"/>
    <w:link w:val="Heading1Char"/>
    <w:uiPriority w:val="9"/>
    <w:qFormat/>
    <w:rsid w:val="00FF121B"/>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FF121B"/>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FF121B"/>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FF121B"/>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unhideWhenUsed/>
    <w:qFormat/>
    <w:rsid w:val="00FF121B"/>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semiHidden/>
    <w:unhideWhenUsed/>
    <w:qFormat/>
    <w:rsid w:val="00FF121B"/>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semiHidden/>
    <w:unhideWhenUsed/>
    <w:qFormat/>
    <w:rsid w:val="00FF121B"/>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semiHidden/>
    <w:unhideWhenUsed/>
    <w:qFormat/>
    <w:rsid w:val="00FF121B"/>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FF121B"/>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1B"/>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FF121B"/>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FF121B"/>
    <w:rPr>
      <w:rFonts w:asciiTheme="majorHAnsi" w:eastAsiaTheme="majorEastAsia" w:hAnsiTheme="majorHAnsi" w:cstheme="majorBidi"/>
      <w:b/>
      <w:bCs/>
      <w:sz w:val="28"/>
    </w:rPr>
  </w:style>
  <w:style w:type="paragraph" w:customStyle="1" w:styleId="SubtitleDate">
    <w:name w:val="Subtitle Date"/>
    <w:basedOn w:val="Normal"/>
    <w:qFormat/>
    <w:rsid w:val="00FF121B"/>
    <w:rPr>
      <w:b/>
      <w:color w:val="FFFFFF" w:themeColor="background1"/>
      <w:sz w:val="32"/>
    </w:rPr>
  </w:style>
  <w:style w:type="paragraph" w:styleId="Title">
    <w:name w:val="Title"/>
    <w:basedOn w:val="Normal"/>
    <w:next w:val="Normal"/>
    <w:link w:val="TitleChar"/>
    <w:uiPriority w:val="10"/>
    <w:qFormat/>
    <w:rsid w:val="00FF121B"/>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FF121B"/>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FF121B"/>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FF121B"/>
    <w:rPr>
      <w:rFonts w:eastAsiaTheme="majorEastAsia" w:cstheme="majorBidi"/>
      <w:iCs/>
      <w:color w:val="FFFFFF" w:themeColor="background1"/>
      <w:sz w:val="52"/>
      <w:szCs w:val="24"/>
    </w:rPr>
  </w:style>
  <w:style w:type="paragraph" w:customStyle="1" w:styleId="Bullet1">
    <w:name w:val="Bullet 1"/>
    <w:basedOn w:val="Normal"/>
    <w:qFormat/>
    <w:rsid w:val="00FF121B"/>
    <w:pPr>
      <w:numPr>
        <w:numId w:val="20"/>
      </w:numPr>
      <w:spacing w:before="120"/>
    </w:pPr>
  </w:style>
  <w:style w:type="paragraph" w:customStyle="1" w:styleId="Bullet2">
    <w:name w:val="Bullet 2"/>
    <w:basedOn w:val="Normal"/>
    <w:qFormat/>
    <w:rsid w:val="00FF121B"/>
    <w:pPr>
      <w:numPr>
        <w:ilvl w:val="1"/>
        <w:numId w:val="20"/>
      </w:numPr>
      <w:spacing w:before="120"/>
    </w:pPr>
  </w:style>
  <w:style w:type="paragraph" w:customStyle="1" w:styleId="Bullet3">
    <w:name w:val="Bullet 3"/>
    <w:basedOn w:val="Normal"/>
    <w:qFormat/>
    <w:rsid w:val="00FF121B"/>
    <w:pPr>
      <w:keepNext/>
      <w:numPr>
        <w:ilvl w:val="2"/>
        <w:numId w:val="20"/>
      </w:numPr>
      <w:spacing w:before="120"/>
    </w:pPr>
  </w:style>
  <w:style w:type="paragraph" w:customStyle="1" w:styleId="NumberedList1">
    <w:name w:val="Numbered List 1"/>
    <w:basedOn w:val="Normal"/>
    <w:qFormat/>
    <w:rsid w:val="00FF121B"/>
    <w:pPr>
      <w:numPr>
        <w:numId w:val="29"/>
      </w:numPr>
      <w:spacing w:before="120"/>
    </w:pPr>
  </w:style>
  <w:style w:type="paragraph" w:customStyle="1" w:styleId="NumberedList2">
    <w:name w:val="Numbered List 2"/>
    <w:basedOn w:val="NumberedList1"/>
    <w:qFormat/>
    <w:rsid w:val="00FF121B"/>
    <w:pPr>
      <w:numPr>
        <w:ilvl w:val="1"/>
      </w:numPr>
    </w:pPr>
  </w:style>
  <w:style w:type="paragraph" w:customStyle="1" w:styleId="NumberedList3">
    <w:name w:val="Numbered List 3"/>
    <w:basedOn w:val="Normal"/>
    <w:qFormat/>
    <w:rsid w:val="00FF121B"/>
    <w:pPr>
      <w:numPr>
        <w:ilvl w:val="2"/>
        <w:numId w:val="29"/>
      </w:numPr>
      <w:spacing w:before="120"/>
    </w:pPr>
  </w:style>
  <w:style w:type="paragraph" w:customStyle="1" w:styleId="Heading1Numbered">
    <w:name w:val="Heading 1 Numbered"/>
    <w:basedOn w:val="Heading1"/>
    <w:next w:val="Normal"/>
    <w:qFormat/>
    <w:rsid w:val="00FF121B"/>
    <w:pPr>
      <w:numPr>
        <w:numId w:val="25"/>
      </w:numPr>
    </w:pPr>
  </w:style>
  <w:style w:type="paragraph" w:customStyle="1" w:styleId="Heading2Numbered">
    <w:name w:val="Heading 2 Numbered"/>
    <w:basedOn w:val="Heading2"/>
    <w:next w:val="Normal"/>
    <w:qFormat/>
    <w:rsid w:val="00FF121B"/>
    <w:pPr>
      <w:numPr>
        <w:ilvl w:val="1"/>
        <w:numId w:val="25"/>
      </w:numPr>
    </w:pPr>
  </w:style>
  <w:style w:type="paragraph" w:customStyle="1" w:styleId="Heading3Numbered">
    <w:name w:val="Heading 3 Numbered"/>
    <w:basedOn w:val="Heading3"/>
    <w:next w:val="Normal"/>
    <w:qFormat/>
    <w:rsid w:val="00FF121B"/>
    <w:pPr>
      <w:numPr>
        <w:ilvl w:val="2"/>
        <w:numId w:val="25"/>
      </w:numPr>
    </w:pPr>
  </w:style>
  <w:style w:type="numbering" w:customStyle="1" w:styleId="BulletsList">
    <w:name w:val="Bullets List"/>
    <w:uiPriority w:val="99"/>
    <w:rsid w:val="00FF121B"/>
    <w:pPr>
      <w:numPr>
        <w:numId w:val="1"/>
      </w:numPr>
    </w:pPr>
  </w:style>
  <w:style w:type="numbering" w:customStyle="1" w:styleId="Numberedlist">
    <w:name w:val="Numbered list"/>
    <w:uiPriority w:val="99"/>
    <w:rsid w:val="00FF121B"/>
    <w:pPr>
      <w:numPr>
        <w:numId w:val="2"/>
      </w:numPr>
    </w:pPr>
  </w:style>
  <w:style w:type="numbering" w:customStyle="1" w:styleId="HeadingsList">
    <w:name w:val="Headings List"/>
    <w:uiPriority w:val="99"/>
    <w:rsid w:val="00FF121B"/>
    <w:pPr>
      <w:numPr>
        <w:numId w:val="3"/>
      </w:numPr>
    </w:pPr>
  </w:style>
  <w:style w:type="table" w:styleId="PlainTable2">
    <w:name w:val="Plain Table 2"/>
    <w:basedOn w:val="TableNormal"/>
    <w:uiPriority w:val="42"/>
    <w:rsid w:val="00FF12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FF121B"/>
    <w:pPr>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uiPriority w:val="9"/>
    <w:rsid w:val="00FF121B"/>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FF121B"/>
    <w:pPr>
      <w:ind w:right="454"/>
    </w:pPr>
    <w:rPr>
      <w:b/>
    </w:rPr>
  </w:style>
  <w:style w:type="paragraph" w:styleId="TOC2">
    <w:name w:val="toc 2"/>
    <w:basedOn w:val="Normal"/>
    <w:next w:val="Normal"/>
    <w:autoRedefine/>
    <w:uiPriority w:val="39"/>
    <w:unhideWhenUsed/>
    <w:rsid w:val="00FF121B"/>
    <w:pPr>
      <w:tabs>
        <w:tab w:val="left" w:pos="880"/>
        <w:tab w:val="right" w:leader="dot" w:pos="9060"/>
      </w:tabs>
      <w:spacing w:before="0"/>
      <w:ind w:left="199" w:right="454"/>
    </w:pPr>
  </w:style>
  <w:style w:type="paragraph" w:styleId="TOC3">
    <w:name w:val="toc 3"/>
    <w:basedOn w:val="Normal"/>
    <w:next w:val="Normal"/>
    <w:autoRedefine/>
    <w:unhideWhenUsed/>
    <w:rsid w:val="00FF121B"/>
    <w:pPr>
      <w:ind w:left="400"/>
    </w:pPr>
  </w:style>
  <w:style w:type="paragraph" w:styleId="Header">
    <w:name w:val="header"/>
    <w:basedOn w:val="Normal"/>
    <w:link w:val="HeaderChar"/>
    <w:unhideWhenUsed/>
    <w:rsid w:val="00FF121B"/>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FF121B"/>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FF121B"/>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FF121B"/>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FF121B"/>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FF121B"/>
    <w:pPr>
      <w:numPr>
        <w:numId w:val="4"/>
      </w:numPr>
    </w:pPr>
  </w:style>
  <w:style w:type="paragraph" w:styleId="TOC8">
    <w:name w:val="toc 8"/>
    <w:basedOn w:val="Normal"/>
    <w:next w:val="Normal"/>
    <w:autoRedefine/>
    <w:uiPriority w:val="39"/>
    <w:unhideWhenUsed/>
    <w:rsid w:val="00FF121B"/>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FF121B"/>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FF121B"/>
    <w:pPr>
      <w:spacing w:after="0"/>
      <w:ind w:left="907" w:hanging="907"/>
    </w:pPr>
  </w:style>
  <w:style w:type="paragraph" w:customStyle="1" w:styleId="BoxText">
    <w:name w:val="Box Text"/>
    <w:basedOn w:val="Normal"/>
    <w:qFormat/>
    <w:rsid w:val="00FF121B"/>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FF12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FF121B"/>
    <w:rPr>
      <w:sz w:val="16"/>
    </w:rPr>
  </w:style>
  <w:style w:type="numbering" w:customStyle="1" w:styleId="FigureTitles">
    <w:name w:val="Figure Titles"/>
    <w:uiPriority w:val="99"/>
    <w:rsid w:val="00FF121B"/>
    <w:pPr>
      <w:numPr>
        <w:numId w:val="5"/>
      </w:numPr>
    </w:pPr>
  </w:style>
  <w:style w:type="character" w:styleId="Hyperlink">
    <w:name w:val="Hyperlink"/>
    <w:basedOn w:val="DefaultParagraphFont"/>
    <w:uiPriority w:val="99"/>
    <w:rsid w:val="00FF121B"/>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FF121B"/>
    <w:rPr>
      <w:b/>
      <w:i/>
      <w:iCs/>
      <w:color w:val="auto"/>
    </w:rPr>
  </w:style>
  <w:style w:type="character" w:styleId="Strong">
    <w:name w:val="Strong"/>
    <w:basedOn w:val="DefaultParagraphFont"/>
    <w:uiPriority w:val="22"/>
    <w:qFormat/>
    <w:rsid w:val="00FF121B"/>
    <w:rPr>
      <w:b/>
      <w:bCs/>
    </w:rPr>
  </w:style>
  <w:style w:type="character" w:styleId="Emphasis">
    <w:name w:val="Emphasis"/>
    <w:basedOn w:val="DefaultParagraphFont"/>
    <w:uiPriority w:val="20"/>
    <w:qFormat/>
    <w:rsid w:val="00FF121B"/>
    <w:rPr>
      <w:i/>
      <w:iCs/>
    </w:rPr>
  </w:style>
  <w:style w:type="character" w:customStyle="1" w:styleId="Heading5Char">
    <w:name w:val="Heading 5 Char"/>
    <w:basedOn w:val="DefaultParagraphFont"/>
    <w:link w:val="Heading5"/>
    <w:uiPriority w:val="9"/>
    <w:rsid w:val="00FF121B"/>
    <w:rPr>
      <w:rFonts w:asciiTheme="majorHAnsi" w:eastAsiaTheme="majorEastAsia" w:hAnsiTheme="majorHAnsi" w:cstheme="majorBidi"/>
      <w:i/>
      <w:color w:val="2E74B5" w:themeColor="accent1" w:themeShade="BF"/>
    </w:rPr>
  </w:style>
  <w:style w:type="paragraph" w:styleId="Caption">
    <w:name w:val="caption"/>
    <w:basedOn w:val="Normal"/>
    <w:next w:val="Normal"/>
    <w:uiPriority w:val="35"/>
    <w:unhideWhenUsed/>
    <w:qFormat/>
    <w:rsid w:val="00FF121B"/>
    <w:pPr>
      <w:spacing w:before="360"/>
      <w:contextualSpacing/>
      <w:jc w:val="center"/>
    </w:pPr>
    <w:rPr>
      <w:b/>
      <w:iCs/>
      <w:color w:val="000000" w:themeColor="text1"/>
      <w:szCs w:val="18"/>
    </w:rPr>
  </w:style>
  <w:style w:type="paragraph" w:styleId="Footer">
    <w:name w:val="footer"/>
    <w:basedOn w:val="Normal"/>
    <w:link w:val="FooterChar"/>
    <w:uiPriority w:val="99"/>
    <w:unhideWhenUsed/>
    <w:rsid w:val="00FF121B"/>
    <w:pPr>
      <w:tabs>
        <w:tab w:val="right" w:pos="9072"/>
      </w:tabs>
      <w:spacing w:before="0" w:after="0" w:line="220" w:lineRule="exact"/>
      <w:contextualSpacing/>
    </w:pPr>
    <w:rPr>
      <w:sz w:val="16"/>
    </w:rPr>
  </w:style>
  <w:style w:type="character" w:customStyle="1" w:styleId="FooterChar">
    <w:name w:val="Footer Char"/>
    <w:basedOn w:val="DefaultParagraphFont"/>
    <w:link w:val="Footer"/>
    <w:uiPriority w:val="99"/>
    <w:rsid w:val="00FF121B"/>
    <w:rPr>
      <w:sz w:val="16"/>
    </w:rPr>
  </w:style>
  <w:style w:type="paragraph" w:customStyle="1" w:styleId="Heading1notinTOC">
    <w:name w:val="Heading 1 not in TOC"/>
    <w:basedOn w:val="Heading1"/>
    <w:qFormat/>
    <w:rsid w:val="00FF121B"/>
  </w:style>
  <w:style w:type="paragraph" w:styleId="EndnoteText">
    <w:name w:val="endnote text"/>
    <w:basedOn w:val="Normal"/>
    <w:link w:val="EndnoteTextChar"/>
    <w:uiPriority w:val="99"/>
    <w:semiHidden/>
    <w:unhideWhenUsed/>
    <w:rsid w:val="00FF121B"/>
    <w:pPr>
      <w:spacing w:before="0" w:after="0" w:line="240" w:lineRule="auto"/>
    </w:pPr>
    <w:rPr>
      <w:szCs w:val="20"/>
    </w:rPr>
  </w:style>
  <w:style w:type="character" w:customStyle="1" w:styleId="EndnoteTextChar">
    <w:name w:val="Endnote Text Char"/>
    <w:basedOn w:val="DefaultParagraphFont"/>
    <w:link w:val="EndnoteText"/>
    <w:uiPriority w:val="99"/>
    <w:semiHidden/>
    <w:rsid w:val="00FF121B"/>
    <w:rPr>
      <w:sz w:val="20"/>
      <w:szCs w:val="20"/>
    </w:rPr>
  </w:style>
  <w:style w:type="character" w:styleId="EndnoteReference">
    <w:name w:val="endnote reference"/>
    <w:basedOn w:val="DefaultParagraphFont"/>
    <w:uiPriority w:val="99"/>
    <w:semiHidden/>
    <w:unhideWhenUsed/>
    <w:rsid w:val="00FF121B"/>
    <w:rPr>
      <w:vertAlign w:val="superscript"/>
    </w:rPr>
  </w:style>
  <w:style w:type="paragraph" w:styleId="FootnoteText">
    <w:name w:val="footnote text"/>
    <w:basedOn w:val="Normal"/>
    <w:link w:val="FootnoteTextChar"/>
    <w:uiPriority w:val="99"/>
    <w:unhideWhenUsed/>
    <w:qFormat/>
    <w:rsid w:val="00FF121B"/>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FF121B"/>
    <w:rPr>
      <w:sz w:val="16"/>
      <w:szCs w:val="20"/>
    </w:rPr>
  </w:style>
  <w:style w:type="character" w:styleId="FootnoteReference">
    <w:name w:val="footnote reference"/>
    <w:basedOn w:val="DefaultParagraphFont"/>
    <w:uiPriority w:val="99"/>
    <w:unhideWhenUsed/>
    <w:rsid w:val="00FF121B"/>
    <w:rPr>
      <w:vertAlign w:val="superscript"/>
    </w:rPr>
  </w:style>
  <w:style w:type="character" w:styleId="PageNumber">
    <w:name w:val="page number"/>
    <w:basedOn w:val="DefaultParagraphFont"/>
    <w:unhideWhenUsed/>
    <w:rsid w:val="00FF121B"/>
  </w:style>
  <w:style w:type="character" w:customStyle="1" w:styleId="Heading6Char">
    <w:name w:val="Heading 6 Char"/>
    <w:basedOn w:val="DefaultParagraphFont"/>
    <w:link w:val="Heading6"/>
    <w:uiPriority w:val="9"/>
    <w:semiHidden/>
    <w:rsid w:val="00FF121B"/>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FF121B"/>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FF121B"/>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FF121B"/>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FF121B"/>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FF121B"/>
    <w:rPr>
      <w:rFonts w:ascii="Tahoma" w:eastAsia="Times New Roman" w:hAnsi="Tahoma" w:cs="Tahoma"/>
      <w:sz w:val="16"/>
      <w:szCs w:val="16"/>
      <w:lang w:val="en-GB"/>
    </w:rPr>
  </w:style>
  <w:style w:type="paragraph" w:customStyle="1" w:styleId="BoxBullet1">
    <w:name w:val="Box Bullet 1"/>
    <w:basedOn w:val="Bullet1"/>
    <w:qFormat/>
    <w:rsid w:val="00FF121B"/>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FF121B"/>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FF121B"/>
    <w:pPr>
      <w:spacing w:before="120" w:after="180"/>
    </w:pPr>
    <w:rPr>
      <w:szCs w:val="20"/>
    </w:rPr>
  </w:style>
  <w:style w:type="paragraph" w:customStyle="1" w:styleId="FooterLandscape">
    <w:name w:val="Footer Landscape"/>
    <w:basedOn w:val="Footer"/>
    <w:qFormat/>
    <w:rsid w:val="00FF121B"/>
    <w:pPr>
      <w:tabs>
        <w:tab w:val="clear" w:pos="9072"/>
        <w:tab w:val="right" w:pos="14288"/>
      </w:tabs>
    </w:pPr>
  </w:style>
  <w:style w:type="character" w:styleId="FollowedHyperlink">
    <w:name w:val="FollowedHyperlink"/>
    <w:rsid w:val="00FF121B"/>
    <w:rPr>
      <w:color w:val="800080"/>
      <w:u w:val="single"/>
    </w:rPr>
  </w:style>
  <w:style w:type="paragraph" w:styleId="ListParagraph">
    <w:name w:val="List Paragraph"/>
    <w:basedOn w:val="Normal"/>
    <w:link w:val="ListParagraphChar"/>
    <w:uiPriority w:val="34"/>
    <w:qFormat/>
    <w:rsid w:val="00FF121B"/>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FF121B"/>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semiHidden/>
    <w:unhideWhenUsed/>
    <w:rsid w:val="00FF121B"/>
    <w:rPr>
      <w:i/>
      <w:iCs/>
    </w:rPr>
  </w:style>
  <w:style w:type="paragraph" w:customStyle="1" w:styleId="Normal-numbered">
    <w:name w:val="Normal - numbered"/>
    <w:basedOn w:val="Normal"/>
    <w:rsid w:val="00215226"/>
    <w:pPr>
      <w:numPr>
        <w:numId w:val="7"/>
      </w:numPr>
      <w:suppressAutoHyphens w:val="0"/>
      <w:spacing w:before="0" w:line="264" w:lineRule="auto"/>
      <w:ind w:left="340" w:hanging="340"/>
    </w:pPr>
    <w:rPr>
      <w:rFonts w:ascii="Arial" w:eastAsia="Times New Roman" w:hAnsi="Arial" w:cs="Times New Roman"/>
      <w:sz w:val="24"/>
      <w:szCs w:val="24"/>
      <w:lang w:val="en-GB"/>
    </w:rPr>
  </w:style>
  <w:style w:type="character" w:customStyle="1" w:styleId="ListParagraphChar">
    <w:name w:val="List Paragraph Char"/>
    <w:basedOn w:val="DefaultParagraphFont"/>
    <w:link w:val="ListParagraph"/>
    <w:uiPriority w:val="34"/>
    <w:rsid w:val="00215226"/>
    <w:rPr>
      <w:rFonts w:ascii="Calibri" w:eastAsia="Calibri" w:hAnsi="Calibri" w:cs="Times New Roman"/>
    </w:rPr>
  </w:style>
  <w:style w:type="table" w:customStyle="1" w:styleId="DOFDwithheader">
    <w:name w:val="DOFD with header"/>
    <w:basedOn w:val="TableNormal"/>
    <w:uiPriority w:val="99"/>
    <w:qFormat/>
    <w:rsid w:val="00215226"/>
    <w:pPr>
      <w:spacing w:before="57" w:after="0" w:line="220" w:lineRule="atLeast"/>
      <w:ind w:left="96" w:right="96"/>
    </w:pPr>
    <w:rPr>
      <w:rFonts w:ascii="Arial" w:eastAsia="Times New Roman" w:hAnsi="Arial" w:cs="Times New Roman"/>
      <w:sz w:val="20"/>
      <w:szCs w:val="20"/>
      <w:lang w:eastAsia="en-AU"/>
    </w:rPr>
    <w:tblPr>
      <w:tblBorders>
        <w:top w:val="single" w:sz="2" w:space="0" w:color="A7B4BE"/>
        <w:bottom w:val="single" w:sz="2" w:space="0" w:color="A7B4BE"/>
        <w:insideH w:val="single" w:sz="2" w:space="0" w:color="A7B4BE"/>
        <w:insideV w:val="single" w:sz="2" w:space="0" w:color="A7B4BE"/>
      </w:tblBorders>
      <w:tblCellMar>
        <w:left w:w="0" w:type="dxa"/>
        <w:right w:w="0" w:type="dxa"/>
      </w:tblCellMar>
    </w:tblPr>
    <w:tblStylePr w:type="firstRow">
      <w:pPr>
        <w:keepNext/>
        <w:wordWrap/>
      </w:pPr>
      <w:rPr>
        <w:b w:val="0"/>
      </w:rPr>
      <w:tblPr/>
      <w:tcPr>
        <w:shd w:val="clear" w:color="auto" w:fill="E7D8E9"/>
      </w:tcPr>
    </w:tblStylePr>
  </w:style>
  <w:style w:type="numbering" w:customStyle="1" w:styleId="Bullets">
    <w:name w:val="Bullets"/>
    <w:basedOn w:val="NoList"/>
    <w:uiPriority w:val="99"/>
    <w:rsid w:val="00215226"/>
    <w:pPr>
      <w:numPr>
        <w:numId w:val="9"/>
      </w:numPr>
    </w:pPr>
  </w:style>
  <w:style w:type="numbering" w:customStyle="1" w:styleId="Numbers">
    <w:name w:val="Numbers"/>
    <w:basedOn w:val="NoList"/>
    <w:rsid w:val="00215226"/>
    <w:pPr>
      <w:numPr>
        <w:numId w:val="10"/>
      </w:numPr>
    </w:pPr>
  </w:style>
  <w:style w:type="paragraph" w:customStyle="1" w:styleId="Title2">
    <w:name w:val="Title 2"/>
    <w:basedOn w:val="Title"/>
    <w:uiPriority w:val="2"/>
    <w:semiHidden/>
    <w:rsid w:val="00215226"/>
    <w:pPr>
      <w:pBdr>
        <w:bottom w:val="single" w:sz="8" w:space="4" w:color="7F4C86"/>
      </w:pBdr>
      <w:suppressAutoHyphens w:val="0"/>
      <w:spacing w:before="0" w:after="300" w:line="240" w:lineRule="auto"/>
      <w:outlineLvl w:val="9"/>
    </w:pPr>
    <w:rPr>
      <w:rFonts w:ascii="Arial" w:eastAsia="MS Gothic" w:hAnsi="Arial" w:cs="Times New Roman"/>
      <w:color w:val="3F2643"/>
      <w:spacing w:val="5"/>
      <w:sz w:val="52"/>
    </w:rPr>
  </w:style>
  <w:style w:type="paragraph" w:styleId="Quote">
    <w:name w:val="Quote"/>
    <w:link w:val="QuoteChar"/>
    <w:qFormat/>
    <w:rsid w:val="00215226"/>
    <w:pPr>
      <w:spacing w:before="170" w:after="170" w:line="240" w:lineRule="auto"/>
      <w:ind w:left="284" w:right="284"/>
    </w:pPr>
    <w:rPr>
      <w:rFonts w:ascii="Cambria" w:eastAsia="Times New Roman" w:hAnsi="Cambria" w:cs="Times New Roman"/>
      <w:i/>
      <w:iCs/>
      <w:color w:val="000000"/>
      <w:spacing w:val="-2"/>
      <w:szCs w:val="24"/>
    </w:rPr>
  </w:style>
  <w:style w:type="character" w:customStyle="1" w:styleId="QuoteChar">
    <w:name w:val="Quote Char"/>
    <w:basedOn w:val="DefaultParagraphFont"/>
    <w:link w:val="Quote"/>
    <w:rsid w:val="00215226"/>
    <w:rPr>
      <w:rFonts w:ascii="Cambria" w:eastAsia="Times New Roman" w:hAnsi="Cambria" w:cs="Times New Roman"/>
      <w:i/>
      <w:iCs/>
      <w:color w:val="000000"/>
      <w:spacing w:val="-2"/>
      <w:szCs w:val="24"/>
    </w:rPr>
  </w:style>
  <w:style w:type="table" w:customStyle="1" w:styleId="DOFDplain">
    <w:name w:val="DOFD plain"/>
    <w:basedOn w:val="TableNormal"/>
    <w:uiPriority w:val="99"/>
    <w:qFormat/>
    <w:rsid w:val="00215226"/>
    <w:pPr>
      <w:spacing w:before="57" w:after="0" w:line="220" w:lineRule="atLeast"/>
      <w:ind w:left="96" w:right="96"/>
    </w:pPr>
    <w:rPr>
      <w:rFonts w:ascii="Arial" w:eastAsia="Times New Roman" w:hAnsi="Arial" w:cs="Times New Roman"/>
      <w:sz w:val="17"/>
      <w:szCs w:val="20"/>
      <w:lang w:eastAsia="en-AU"/>
    </w:rPr>
    <w:tblPr>
      <w:tblBorders>
        <w:top w:val="single" w:sz="2" w:space="0" w:color="A7B4BE"/>
        <w:bottom w:val="single" w:sz="2" w:space="0" w:color="A7B4BE"/>
        <w:insideH w:val="single" w:sz="2" w:space="0" w:color="A7B4BE"/>
        <w:insideV w:val="single" w:sz="2" w:space="0" w:color="A7B4BE"/>
      </w:tblBorders>
      <w:tblCellMar>
        <w:left w:w="0" w:type="dxa"/>
        <w:right w:w="0" w:type="dxa"/>
      </w:tblCellMar>
    </w:tblPr>
    <w:tblStylePr w:type="firstRow">
      <w:pPr>
        <w:keepNext/>
        <w:wordWrap/>
      </w:pPr>
      <w:rPr>
        <w:rFonts w:ascii="Arial" w:hAnsi="Arial"/>
        <w:b w:val="0"/>
      </w:rPr>
      <w:tblPr/>
      <w:trPr>
        <w:tblHeader/>
      </w:trPr>
    </w:tblStylePr>
  </w:style>
  <w:style w:type="table" w:customStyle="1" w:styleId="DOFDbanded">
    <w:name w:val="DOFD banded"/>
    <w:basedOn w:val="TableNormal"/>
    <w:uiPriority w:val="99"/>
    <w:qFormat/>
    <w:rsid w:val="00215226"/>
    <w:pPr>
      <w:spacing w:before="57" w:after="0" w:line="220" w:lineRule="atLeast"/>
      <w:ind w:left="96" w:right="96"/>
    </w:pPr>
    <w:rPr>
      <w:rFonts w:ascii="Arial" w:eastAsia="Times New Roman" w:hAnsi="Arial" w:cs="Times New Roman"/>
      <w:sz w:val="17"/>
      <w:szCs w:val="20"/>
      <w:lang w:eastAsia="en-AU"/>
    </w:rPr>
    <w:tblPr>
      <w:tblStyleRowBandSize w:val="1"/>
      <w:tblBorders>
        <w:top w:val="single" w:sz="2" w:space="0" w:color="A7B4BE"/>
        <w:bottom w:val="single" w:sz="2" w:space="0" w:color="A7B4BE"/>
        <w:insideH w:val="single" w:sz="2" w:space="0" w:color="A7B4BE"/>
        <w:insideV w:val="single" w:sz="2" w:space="0" w:color="A7B4BE"/>
      </w:tblBorders>
      <w:tblCellMar>
        <w:left w:w="0" w:type="dxa"/>
        <w:right w:w="0" w:type="dxa"/>
      </w:tblCellMar>
    </w:tblPr>
    <w:tblStylePr w:type="firstRow">
      <w:pPr>
        <w:keepNext/>
        <w:keepLines w:val="0"/>
        <w:wordWrap/>
      </w:pPr>
      <w:rPr>
        <w:b w:val="0"/>
      </w:rPr>
      <w:tblPr/>
      <w:trPr>
        <w:tblHeader/>
      </w:trPr>
    </w:tblStylePr>
    <w:tblStylePr w:type="band1Horz">
      <w:tblPr/>
      <w:tcPr>
        <w:tcBorders>
          <w:top w:val="single" w:sz="2" w:space="0" w:color="A7B4BE"/>
          <w:left w:val="nil"/>
          <w:bottom w:val="single" w:sz="2" w:space="0" w:color="A7B4BE"/>
          <w:right w:val="nil"/>
          <w:insideH w:val="single" w:sz="2" w:space="0" w:color="A7B4BE"/>
          <w:insideV w:val="single" w:sz="2" w:space="0" w:color="A7B4BE"/>
          <w:tl2br w:val="nil"/>
          <w:tr2bl w:val="nil"/>
        </w:tcBorders>
        <w:shd w:val="clear" w:color="auto" w:fill="E7D8E9"/>
      </w:tcPr>
    </w:tblStylePr>
  </w:style>
  <w:style w:type="character" w:styleId="CommentReference">
    <w:name w:val="annotation reference"/>
    <w:basedOn w:val="DefaultParagraphFont"/>
    <w:uiPriority w:val="99"/>
    <w:semiHidden/>
    <w:unhideWhenUsed/>
    <w:rsid w:val="00FF121B"/>
    <w:rPr>
      <w:sz w:val="16"/>
      <w:szCs w:val="16"/>
    </w:rPr>
  </w:style>
  <w:style w:type="paragraph" w:styleId="CommentText">
    <w:name w:val="annotation text"/>
    <w:basedOn w:val="Normal"/>
    <w:link w:val="CommentTextChar"/>
    <w:uiPriority w:val="99"/>
    <w:semiHidden/>
    <w:unhideWhenUsed/>
    <w:rsid w:val="00FF121B"/>
    <w:pPr>
      <w:spacing w:line="240" w:lineRule="auto"/>
    </w:pPr>
    <w:rPr>
      <w:szCs w:val="20"/>
    </w:rPr>
  </w:style>
  <w:style w:type="character" w:customStyle="1" w:styleId="CommentTextChar">
    <w:name w:val="Comment Text Char"/>
    <w:basedOn w:val="DefaultParagraphFont"/>
    <w:link w:val="CommentText"/>
    <w:uiPriority w:val="99"/>
    <w:semiHidden/>
    <w:rsid w:val="00FF121B"/>
    <w:rPr>
      <w:sz w:val="20"/>
      <w:szCs w:val="20"/>
    </w:rPr>
  </w:style>
  <w:style w:type="paragraph" w:styleId="ListNumber">
    <w:name w:val="List Number"/>
    <w:basedOn w:val="Normal"/>
    <w:qFormat/>
    <w:rsid w:val="00215226"/>
    <w:pPr>
      <w:tabs>
        <w:tab w:val="num" w:pos="360"/>
      </w:tabs>
      <w:suppressAutoHyphens w:val="0"/>
      <w:spacing w:before="0" w:after="240" w:line="240" w:lineRule="auto"/>
      <w:ind w:left="357" w:hanging="357"/>
      <w:contextualSpacing/>
    </w:pPr>
    <w:rPr>
      <w:rFonts w:ascii="Cambria" w:eastAsia="Cambria" w:hAnsi="Cambria" w:cs="Times New Roman"/>
      <w:sz w:val="22"/>
    </w:rPr>
  </w:style>
  <w:style w:type="paragraph" w:styleId="ListNumber2">
    <w:name w:val="List Number 2"/>
    <w:basedOn w:val="Normal"/>
    <w:rsid w:val="00215226"/>
    <w:pPr>
      <w:tabs>
        <w:tab w:val="num" w:pos="643"/>
      </w:tabs>
      <w:suppressAutoHyphens w:val="0"/>
      <w:spacing w:before="0" w:after="200" w:line="240" w:lineRule="auto"/>
      <w:ind w:left="643" w:hanging="360"/>
      <w:contextualSpacing/>
    </w:pPr>
    <w:rPr>
      <w:rFonts w:ascii="Cambria" w:eastAsia="Cambria" w:hAnsi="Cambria" w:cs="Times New Roman"/>
      <w:sz w:val="22"/>
    </w:rPr>
  </w:style>
  <w:style w:type="paragraph" w:styleId="ListBullet">
    <w:name w:val="List Bullet"/>
    <w:basedOn w:val="Normal"/>
    <w:qFormat/>
    <w:rsid w:val="00215226"/>
    <w:pPr>
      <w:suppressAutoHyphens w:val="0"/>
      <w:spacing w:before="0" w:after="240" w:line="240" w:lineRule="auto"/>
      <w:ind w:left="360" w:hanging="360"/>
      <w:contextualSpacing/>
    </w:pPr>
    <w:rPr>
      <w:rFonts w:ascii="Cambria" w:eastAsia="Cambria" w:hAnsi="Cambria" w:cs="Times New Roman"/>
      <w:sz w:val="22"/>
    </w:rPr>
  </w:style>
  <w:style w:type="table" w:customStyle="1" w:styleId="DOFDtexttable">
    <w:name w:val="DOFD_text table"/>
    <w:basedOn w:val="TableNormal"/>
    <w:uiPriority w:val="99"/>
    <w:qFormat/>
    <w:rsid w:val="00215226"/>
    <w:pPr>
      <w:spacing w:before="57" w:after="0" w:line="240" w:lineRule="auto"/>
    </w:pPr>
    <w:rPr>
      <w:rFonts w:ascii="Cambria" w:eastAsia="Times New Roman" w:hAnsi="Cambria" w:cs="Times New Roman"/>
      <w:sz w:val="20"/>
      <w:szCs w:val="20"/>
      <w:lang w:eastAsia="en-AU"/>
    </w:rPr>
    <w:tblPr>
      <w:tblBorders>
        <w:top w:val="single" w:sz="2" w:space="0" w:color="37424A"/>
        <w:left w:val="single" w:sz="2" w:space="0" w:color="37424A"/>
        <w:bottom w:val="single" w:sz="2" w:space="0" w:color="37424A"/>
        <w:right w:val="single" w:sz="2" w:space="0" w:color="37424A"/>
        <w:insideH w:val="single" w:sz="2" w:space="0" w:color="37424A"/>
        <w:insideV w:val="single" w:sz="2" w:space="0" w:color="37424A"/>
      </w:tblBorders>
      <w:tblCellMar>
        <w:top w:w="170" w:type="dxa"/>
        <w:left w:w="227" w:type="dxa"/>
        <w:bottom w:w="113" w:type="dxa"/>
        <w:right w:w="227" w:type="dxa"/>
      </w:tblCellMar>
    </w:tblPr>
    <w:trPr>
      <w:cantSplit/>
    </w:trPr>
    <w:tblStylePr w:type="firstRow">
      <w:rPr>
        <w:rFonts w:ascii="Arial" w:hAnsi="Arial"/>
        <w:b w:val="0"/>
        <w:color w:val="37424A"/>
        <w:sz w:val="22"/>
      </w:rPr>
      <w:tblPr/>
      <w:trPr>
        <w:tblHeader/>
      </w:trPr>
      <w:tcPr>
        <w:tcBorders>
          <w:top w:val="nil"/>
          <w:left w:val="nil"/>
          <w:bottom w:val="nil"/>
          <w:right w:val="nil"/>
          <w:insideH w:val="nil"/>
          <w:insideV w:val="nil"/>
          <w:tl2br w:val="nil"/>
          <w:tr2bl w:val="nil"/>
        </w:tcBorders>
        <w:shd w:val="clear" w:color="auto" w:fill="A626AA"/>
        <w:tcMar>
          <w:top w:w="113" w:type="dxa"/>
          <w:left w:w="0" w:type="nil"/>
          <w:bottom w:w="113" w:type="dxa"/>
          <w:right w:w="0" w:type="nil"/>
        </w:tcMar>
      </w:tcPr>
    </w:tblStylePr>
  </w:style>
  <w:style w:type="paragraph" w:styleId="List">
    <w:name w:val="List"/>
    <w:basedOn w:val="Normal"/>
    <w:qFormat/>
    <w:rsid w:val="006F301E"/>
    <w:pPr>
      <w:suppressAutoHyphens w:val="0"/>
      <w:spacing w:before="0" w:after="240" w:line="240" w:lineRule="auto"/>
      <w:ind w:left="1136" w:hanging="284"/>
    </w:pPr>
    <w:rPr>
      <w:rFonts w:ascii="Cambria" w:eastAsia="Times New Roman" w:hAnsi="Cambria" w:cs="Times New Roman"/>
      <w:sz w:val="22"/>
      <w:szCs w:val="24"/>
    </w:rPr>
  </w:style>
  <w:style w:type="paragraph" w:styleId="List2">
    <w:name w:val="List 2"/>
    <w:basedOn w:val="Normal"/>
    <w:qFormat/>
    <w:rsid w:val="006F301E"/>
    <w:pPr>
      <w:suppressAutoHyphens w:val="0"/>
      <w:spacing w:before="0" w:after="0" w:line="240" w:lineRule="auto"/>
      <w:ind w:left="1420" w:hanging="284"/>
    </w:pPr>
    <w:rPr>
      <w:rFonts w:ascii="Cambria" w:eastAsia="Times New Roman" w:hAnsi="Cambria" w:cs="Times New Roman"/>
      <w:sz w:val="22"/>
      <w:szCs w:val="24"/>
    </w:rPr>
  </w:style>
  <w:style w:type="paragraph" w:styleId="List3">
    <w:name w:val="List 3"/>
    <w:basedOn w:val="Normal"/>
    <w:qFormat/>
    <w:rsid w:val="006F301E"/>
    <w:pPr>
      <w:tabs>
        <w:tab w:val="num" w:pos="850"/>
      </w:tabs>
      <w:suppressAutoHyphens w:val="0"/>
      <w:spacing w:before="0" w:after="0" w:line="240" w:lineRule="auto"/>
      <w:ind w:left="1135" w:hanging="284"/>
    </w:pPr>
    <w:rPr>
      <w:rFonts w:ascii="Cambria" w:eastAsia="Times New Roman" w:hAnsi="Cambria" w:cs="Times New Roman"/>
      <w:sz w:val="22"/>
      <w:szCs w:val="24"/>
    </w:rPr>
  </w:style>
  <w:style w:type="character" w:styleId="PlaceholderText">
    <w:name w:val="Placeholder Text"/>
    <w:basedOn w:val="DefaultParagraphFont"/>
    <w:uiPriority w:val="99"/>
    <w:semiHidden/>
    <w:rsid w:val="00215226"/>
    <w:rPr>
      <w:color w:val="808080"/>
    </w:rPr>
  </w:style>
  <w:style w:type="table" w:customStyle="1" w:styleId="FinanceTable">
    <w:name w:val="Finance Table"/>
    <w:basedOn w:val="MediumList1-Accent3"/>
    <w:uiPriority w:val="99"/>
    <w:qFormat/>
    <w:rsid w:val="00215226"/>
    <w:rPr>
      <w:rFonts w:ascii="Calibri" w:hAnsi="Calibri"/>
      <w:sz w:val="18"/>
      <w:lang w:val="en-US"/>
    </w:rPr>
    <w:tblPr>
      <w:tblBorders>
        <w:top w:val="single" w:sz="12" w:space="0" w:color="ED7D31" w:themeColor="accent2"/>
        <w:bottom w:val="single" w:sz="12" w:space="0" w:color="ED7D31" w:themeColor="accent2"/>
      </w:tblBorders>
    </w:tblPr>
    <w:trPr>
      <w:cantSplit/>
    </w:trPr>
    <w:tblStylePr w:type="firstRow">
      <w:pPr>
        <w:keepNext/>
        <w:wordWrap/>
      </w:pPr>
      <w:rPr>
        <w:rFonts w:asciiTheme="minorHAnsi" w:eastAsiaTheme="majorEastAsia" w:hAnsiTheme="minorHAnsi" w:cstheme="majorBidi"/>
        <w:b/>
        <w:sz w:val="18"/>
      </w:rPr>
      <w:tblPr/>
      <w:tcPr>
        <w:tcBorders>
          <w:top w:val="nil"/>
          <w:bottom w:val="single" w:sz="12" w:space="0" w:color="ED7D31" w:themeColor="accent2"/>
        </w:tcBorders>
      </w:tcPr>
    </w:tblStylePr>
    <w:tblStylePr w:type="lastRow">
      <w:rPr>
        <w:b/>
        <w:bCs/>
        <w:color w:val="004486" w:themeColor="text2"/>
      </w:rPr>
      <w:tblPr/>
      <w:tcPr>
        <w:tcBorders>
          <w:top w:val="single" w:sz="12" w:space="0" w:color="833C0B" w:themeColor="accent2" w:themeShade="80"/>
          <w:bottom w:val="single" w:sz="12" w:space="0" w:color="833C0B" w:themeColor="accent2" w:themeShade="80"/>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MediumList1-Accent3">
    <w:name w:val="Medium List 1 Accent 3"/>
    <w:basedOn w:val="TableNormal"/>
    <w:uiPriority w:val="65"/>
    <w:rsid w:val="00215226"/>
    <w:pPr>
      <w:spacing w:after="0" w:line="240" w:lineRule="auto"/>
    </w:pPr>
    <w:rPr>
      <w:rFonts w:ascii="Courier" w:eastAsia="Times New Roman" w:hAnsi="Courier" w:cs="Times New Roman"/>
      <w:color w:val="000000" w:themeColor="text1"/>
      <w:sz w:val="20"/>
      <w:szCs w:val="20"/>
      <w:lang w:eastAsia="en-AU"/>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004486"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customStyle="1" w:styleId="MediumShading1-Accent11">
    <w:name w:val="Medium Shading 1 - Accent 11"/>
    <w:basedOn w:val="TableNormal"/>
    <w:uiPriority w:val="63"/>
    <w:rsid w:val="00215226"/>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LightShading-Accent11">
    <w:name w:val="Light Shading - Accent 11"/>
    <w:basedOn w:val="TableNormal"/>
    <w:uiPriority w:val="60"/>
    <w:rsid w:val="00215226"/>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CommentSubject">
    <w:name w:val="annotation subject"/>
    <w:basedOn w:val="CommentText"/>
    <w:next w:val="CommentText"/>
    <w:link w:val="CommentSubjectChar"/>
    <w:uiPriority w:val="99"/>
    <w:semiHidden/>
    <w:unhideWhenUsed/>
    <w:rsid w:val="00FF121B"/>
    <w:rPr>
      <w:b/>
      <w:bCs/>
    </w:rPr>
  </w:style>
  <w:style w:type="character" w:customStyle="1" w:styleId="CommentSubjectChar">
    <w:name w:val="Comment Subject Char"/>
    <w:basedOn w:val="CommentTextChar"/>
    <w:link w:val="CommentSubject"/>
    <w:uiPriority w:val="99"/>
    <w:semiHidden/>
    <w:rsid w:val="00FF121B"/>
    <w:rPr>
      <w:b/>
      <w:bCs/>
      <w:sz w:val="20"/>
      <w:szCs w:val="20"/>
    </w:rPr>
  </w:style>
  <w:style w:type="paragraph" w:styleId="Revision">
    <w:name w:val="Revision"/>
    <w:hidden/>
    <w:uiPriority w:val="99"/>
    <w:semiHidden/>
    <w:rsid w:val="00215226"/>
    <w:pPr>
      <w:spacing w:after="0" w:line="240" w:lineRule="auto"/>
    </w:pPr>
    <w:rPr>
      <w:rFonts w:ascii="Cambria" w:eastAsia="Cambria" w:hAnsi="Cambria" w:cs="Times New Roman"/>
    </w:rPr>
  </w:style>
  <w:style w:type="paragraph" w:styleId="TOAHeading">
    <w:name w:val="toa heading"/>
    <w:basedOn w:val="Normal"/>
    <w:next w:val="Normal"/>
    <w:uiPriority w:val="99"/>
    <w:unhideWhenUsed/>
    <w:rsid w:val="00215226"/>
    <w:rPr>
      <w:rFonts w:asciiTheme="majorHAnsi" w:eastAsiaTheme="majorEastAsia" w:hAnsiTheme="majorHAnsi" w:cstheme="majorBidi"/>
      <w:b/>
      <w:bCs/>
      <w:sz w:val="24"/>
      <w:szCs w:val="24"/>
    </w:rPr>
  </w:style>
  <w:style w:type="paragraph" w:styleId="NormalIndent">
    <w:name w:val="Normal Indent"/>
    <w:basedOn w:val="Normal"/>
    <w:uiPriority w:val="99"/>
    <w:unhideWhenUsed/>
    <w:rsid w:val="00FF121B"/>
    <w:pPr>
      <w:ind w:left="720"/>
    </w:pPr>
  </w:style>
  <w:style w:type="paragraph" w:customStyle="1" w:styleId="NormalIndented">
    <w:name w:val="Normal Indented"/>
    <w:basedOn w:val="Normal"/>
    <w:qFormat/>
    <w:rsid w:val="00FF121B"/>
    <w:pPr>
      <w:ind w:left="284"/>
    </w:pPr>
  </w:style>
  <w:style w:type="paragraph" w:styleId="NoSpacing">
    <w:name w:val="No Spacing"/>
    <w:uiPriority w:val="1"/>
    <w:qFormat/>
    <w:rsid w:val="00FF121B"/>
    <w:pPr>
      <w:suppressAutoHyphens/>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uthentication@dto.gov.au" TargetMode="External"/><Relationship Id="rId18" Type="http://schemas.openxmlformats.org/officeDocument/2006/relationships/diagramColors" Target="diagrams/colors1.xml"/><Relationship Id="rId26" Type="http://schemas.openxmlformats.org/officeDocument/2006/relationships/image" Target="media/image6.emf"/><Relationship Id="rId39"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tsanhonour.gov.au/" TargetMode="External"/><Relationship Id="rId17" Type="http://schemas.openxmlformats.org/officeDocument/2006/relationships/diagramQuickStyle" Target="diagrams/quickStyle1.xml"/><Relationship Id="rId25" Type="http://schemas.openxmlformats.org/officeDocument/2006/relationships/hyperlink" Target="mailto:authentication@dto.gov.au" TargetMode="External"/><Relationship Id="rId33" Type="http://schemas.openxmlformats.org/officeDocument/2006/relationships/header" Target="header2.xml"/><Relationship Id="rId38" Type="http://schemas.openxmlformats.org/officeDocument/2006/relationships/hyperlink" Target="http://www.comlaw.gov.au/ComLaw/Legislation/ActCompilation1.nsf/current/bytitle/AB9275C1958087BBCA25765400036587?OpenDocument&amp;mostrecent=1"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3.jpeg"/><Relationship Id="rId29" Type="http://schemas.openxmlformats.org/officeDocument/2006/relationships/hyperlink" Target="http://www.comlaw.gov.au/ComLaw/Legislation/ActCompilation1.nsf/current/bytitle/9BA1D29CA01BEF82CA2575F500334E89?OpenDocument&amp;mostrecent=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oleObject" Target="embeddings/Microsoft_Visio_2003-2010_Drawing22222222222.vsd"/><Relationship Id="rId32" Type="http://schemas.openxmlformats.org/officeDocument/2006/relationships/hyperlink" Target="http://www.comlaw.gov.au/ComLaw/Legislation/ActCompilation1.nsf/current/bytitle/AB9275C1958087BBCA25765400036587?OpenDocument&amp;mostrecent=1" TargetMode="External"/><Relationship Id="rId37" Type="http://schemas.openxmlformats.org/officeDocument/2006/relationships/footer" Target="foot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5.emf"/><Relationship Id="rId28" Type="http://schemas.openxmlformats.org/officeDocument/2006/relationships/hyperlink" Target="http://www.comlaw.gov.au/ComLaw/Legislation/ActCompilation1.nsf/current/bytitle/AB9275C1958087BBCA25765400036587?OpenDocument&amp;mostrecent=1" TargetMode="External"/><Relationship Id="rId36" Type="http://schemas.openxmlformats.org/officeDocument/2006/relationships/footer" Target="footer3.xml"/><Relationship Id="rId10" Type="http://schemas.openxmlformats.org/officeDocument/2006/relationships/hyperlink" Target="http://creativecommons.org/licenses/by-nc/3.0/au/" TargetMode="External"/><Relationship Id="rId19" Type="http://schemas.microsoft.com/office/2007/relationships/diagramDrawing" Target="diagrams/drawing1.xml"/><Relationship Id="rId31" Type="http://schemas.openxmlformats.org/officeDocument/2006/relationships/hyperlink" Target="http://www.comlaw.gov.au/ComLaw/Legislation/ActCompilation1.nsf/current/bytitle/5482D0E2B7482B11CA257654001C9892?OpenDocument&amp;mostrecent=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uthentication@dto.gov.au" TargetMode="External"/><Relationship Id="rId22" Type="http://schemas.openxmlformats.org/officeDocument/2006/relationships/oleObject" Target="embeddings/Microsoft_Visio_2003-2010_Drawing11111111111.vsd"/><Relationship Id="rId27" Type="http://schemas.openxmlformats.org/officeDocument/2006/relationships/oleObject" Target="embeddings/Microsoft_Visio_2003-2010_Drawing33333333333.vsd"/><Relationship Id="rId30" Type="http://schemas.openxmlformats.org/officeDocument/2006/relationships/hyperlink" Target="http://www.comlaw.gov.au/ComLaw/Legislation/ActCompilation1.nsf/current/bytitle/EA758E06318529E1CA25760400234F47?OpenDocument&amp;mostrecent=1" TargetMode="External"/><Relationship Id="rId35"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735D46-080E-461D-A0B9-A667364B39EC}" type="doc">
      <dgm:prSet loTypeId="urn:microsoft.com/office/officeart/2005/8/layout/target2" loCatId="relationship" qsTypeId="urn:microsoft.com/office/officeart/2005/8/quickstyle/simple2" qsCatId="simple" csTypeId="urn:microsoft.com/office/officeart/2005/8/colors/accent1_3" csCatId="accent1" phldr="1"/>
      <dgm:spPr/>
      <dgm:t>
        <a:bodyPr/>
        <a:lstStyle/>
        <a:p>
          <a:endParaRPr lang="en-AU"/>
        </a:p>
      </dgm:t>
    </dgm:pt>
    <dgm:pt modelId="{48429EFB-6AC6-46FB-AB30-EAA726223CCD}">
      <dgm:prSet phldrT="[Text]"/>
      <dgm:spPr/>
      <dgm:t>
        <a:bodyPr/>
        <a:lstStyle/>
        <a:p>
          <a:pPr algn="ctr"/>
          <a:r>
            <a:rPr lang="en-AU"/>
            <a:t>Risk Management Approach</a:t>
          </a:r>
        </a:p>
      </dgm:t>
      <dgm:extLst>
        <a:ext uri="{E40237B7-FDA0-4F09-8148-C483321AD2D9}">
          <dgm14:cNvPr xmlns:dgm14="http://schemas.microsoft.com/office/drawing/2010/diagram" id="0" name=""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a:ext>
      </dgm:extLst>
    </dgm:pt>
    <dgm:pt modelId="{6E868C26-5921-4314-9E92-3843A8620788}" type="parTrans" cxnId="{2E7981B2-4A13-4F13-B390-F06E6E5F6A2E}">
      <dgm:prSet/>
      <dgm:spPr/>
      <dgm:t>
        <a:bodyPr/>
        <a:lstStyle/>
        <a:p>
          <a:endParaRPr lang="en-AU"/>
        </a:p>
      </dgm:t>
    </dgm:pt>
    <dgm:pt modelId="{2DD63FE1-4F23-473E-A3BC-F3AED20E329A}" type="sibTrans" cxnId="{2E7981B2-4A13-4F13-B390-F06E6E5F6A2E}">
      <dgm:prSet/>
      <dgm:spPr/>
      <dgm:t>
        <a:bodyPr/>
        <a:lstStyle/>
        <a:p>
          <a:endParaRPr lang="en-AU"/>
        </a:p>
      </dgm:t>
    </dgm:pt>
    <dgm:pt modelId="{02CBEB68-4A0F-4C1B-8353-998F3E6F78B4}">
      <dgm:prSet phldrT="[Text]"/>
      <dgm:spPr/>
      <dgm:t>
        <a:bodyPr/>
        <a:lstStyle/>
        <a:p>
          <a:r>
            <a:rPr lang="en-AU"/>
            <a:t>PSPF</a:t>
          </a:r>
        </a:p>
      </dgm:t>
      <dgm:extLst>
        <a:ext uri="{E40237B7-FDA0-4F09-8148-C483321AD2D9}">
          <dgm14:cNvPr xmlns:dgm14="http://schemas.microsoft.com/office/drawing/2010/diagram" id="0" name=""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a:ext>
      </dgm:extLst>
    </dgm:pt>
    <dgm:pt modelId="{F8A19379-9CF5-4138-AD12-68FBD184C86B}" type="parTrans" cxnId="{D4D7DA5C-47D7-4732-89B4-5840CB3FDC58}">
      <dgm:prSet/>
      <dgm:spPr/>
      <dgm:t>
        <a:bodyPr/>
        <a:lstStyle/>
        <a:p>
          <a:endParaRPr lang="en-AU"/>
        </a:p>
      </dgm:t>
    </dgm:pt>
    <dgm:pt modelId="{CC51B399-822E-49F0-B4F7-74A8F7E9B53E}" type="sibTrans" cxnId="{D4D7DA5C-47D7-4732-89B4-5840CB3FDC58}">
      <dgm:prSet/>
      <dgm:spPr/>
      <dgm:t>
        <a:bodyPr/>
        <a:lstStyle/>
        <a:p>
          <a:endParaRPr lang="en-AU"/>
        </a:p>
      </dgm:t>
    </dgm:pt>
    <dgm:pt modelId="{F396FDED-DF9F-438B-A8A9-3638C5651C0E}">
      <dgm:prSet phldrT="[Text]"/>
      <dgm:spPr/>
      <dgm:t>
        <a:bodyPr/>
        <a:lstStyle/>
        <a:p>
          <a:r>
            <a:rPr lang="en-AU"/>
            <a:t>ISM</a:t>
          </a:r>
        </a:p>
      </dgm:t>
      <dgm:extLst>
        <a:ext uri="{E40237B7-FDA0-4F09-8148-C483321AD2D9}">
          <dgm14:cNvPr xmlns:dgm14="http://schemas.microsoft.com/office/drawing/2010/diagram" id="0" name=""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a:ext>
      </dgm:extLst>
    </dgm:pt>
    <dgm:pt modelId="{F4F227EE-C984-420B-9319-0B2E8AEF24DA}" type="parTrans" cxnId="{9E8A694C-7F33-4176-BA5E-4999AA7DBBEB}">
      <dgm:prSet/>
      <dgm:spPr/>
      <dgm:t>
        <a:bodyPr/>
        <a:lstStyle/>
        <a:p>
          <a:endParaRPr lang="en-AU"/>
        </a:p>
      </dgm:t>
    </dgm:pt>
    <dgm:pt modelId="{83F045EF-9975-45BD-AE3C-4EFBDF9A4E0B}" type="sibTrans" cxnId="{9E8A694C-7F33-4176-BA5E-4999AA7DBBEB}">
      <dgm:prSet/>
      <dgm:spPr/>
      <dgm:t>
        <a:bodyPr/>
        <a:lstStyle/>
        <a:p>
          <a:endParaRPr lang="en-AU"/>
        </a:p>
      </dgm:t>
    </dgm:pt>
    <dgm:pt modelId="{54399484-2EA7-46B9-BF64-076290C45BA0}">
      <dgm:prSet phldrT="[Text]"/>
      <dgm:spPr/>
      <dgm:t>
        <a:bodyPr/>
        <a:lstStyle/>
        <a:p>
          <a:pPr algn="ctr"/>
          <a:r>
            <a:rPr lang="en-AU"/>
            <a:t>Government Policy</a:t>
          </a:r>
        </a:p>
      </dgm:t>
      <dgm:extLst>
        <a:ext uri="{E40237B7-FDA0-4F09-8148-C483321AD2D9}">
          <dgm14:cNvPr xmlns:dgm14="http://schemas.microsoft.com/office/drawing/2010/diagram" id="0" name=""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a:ext>
      </dgm:extLst>
    </dgm:pt>
    <dgm:pt modelId="{4D4C2C59-6706-4D05-80F6-D7BB822A6A74}" type="parTrans" cxnId="{EE538032-A77E-4D68-8FAE-86FBCC8B1726}">
      <dgm:prSet/>
      <dgm:spPr/>
      <dgm:t>
        <a:bodyPr/>
        <a:lstStyle/>
        <a:p>
          <a:endParaRPr lang="en-AU"/>
        </a:p>
      </dgm:t>
    </dgm:pt>
    <dgm:pt modelId="{B78A865F-5D15-47E8-9F5E-BCF77771EF52}" type="sibTrans" cxnId="{EE538032-A77E-4D68-8FAE-86FBCC8B1726}">
      <dgm:prSet/>
      <dgm:spPr/>
      <dgm:t>
        <a:bodyPr/>
        <a:lstStyle/>
        <a:p>
          <a:endParaRPr lang="en-AU"/>
        </a:p>
      </dgm:t>
    </dgm:pt>
    <dgm:pt modelId="{F3691321-B927-4FBE-BC4E-F825832BAA65}">
      <dgm:prSet phldrT="[Text]"/>
      <dgm:spPr/>
      <dgm:t>
        <a:bodyPr/>
        <a:lstStyle/>
        <a:p>
          <a:r>
            <a:rPr lang="en-AU"/>
            <a:t>NeAF</a:t>
          </a:r>
        </a:p>
      </dgm:t>
      <dgm:extLst>
        <a:ext uri="{E40237B7-FDA0-4F09-8148-C483321AD2D9}">
          <dgm14:cNvPr xmlns:dgm14="http://schemas.microsoft.com/office/drawing/2010/diagram" id="0" name=""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a:ext>
      </dgm:extLst>
    </dgm:pt>
    <dgm:pt modelId="{D0ADD3E6-344D-49C8-BBE1-627B5B656201}" type="parTrans" cxnId="{12C98135-ECE6-4B2E-9B0A-D7B0CF3AF35A}">
      <dgm:prSet/>
      <dgm:spPr/>
      <dgm:t>
        <a:bodyPr/>
        <a:lstStyle/>
        <a:p>
          <a:endParaRPr lang="en-AU"/>
        </a:p>
      </dgm:t>
    </dgm:pt>
    <dgm:pt modelId="{B0166410-27AD-42EA-91A2-21C371E0FC66}" type="sibTrans" cxnId="{12C98135-ECE6-4B2E-9B0A-D7B0CF3AF35A}">
      <dgm:prSet/>
      <dgm:spPr/>
      <dgm:t>
        <a:bodyPr/>
        <a:lstStyle/>
        <a:p>
          <a:endParaRPr lang="en-AU"/>
        </a:p>
      </dgm:t>
    </dgm:pt>
    <dgm:pt modelId="{5FDDCEF9-394A-4022-BE85-75922968BCBD}">
      <dgm:prSet phldrT="[Text]"/>
      <dgm:spPr/>
      <dgm:t>
        <a:bodyPr/>
        <a:lstStyle/>
        <a:p>
          <a:r>
            <a:rPr lang="en-AU"/>
            <a:t>NIPG</a:t>
          </a:r>
        </a:p>
      </dgm:t>
      <dgm:extLst>
        <a:ext uri="{E40237B7-FDA0-4F09-8148-C483321AD2D9}">
          <dgm14:cNvPr xmlns:dgm14="http://schemas.microsoft.com/office/drawing/2010/diagram" id="0" name=""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a:ext>
      </dgm:extLst>
    </dgm:pt>
    <dgm:pt modelId="{A5C0223C-4B8B-47B8-B0A0-C034636C3EA3}" type="parTrans" cxnId="{C492F1B4-008D-4D3D-9324-2DF51A5E5E61}">
      <dgm:prSet/>
      <dgm:spPr/>
      <dgm:t>
        <a:bodyPr/>
        <a:lstStyle/>
        <a:p>
          <a:endParaRPr lang="en-AU"/>
        </a:p>
      </dgm:t>
    </dgm:pt>
    <dgm:pt modelId="{6DEF5BA0-3998-47A9-9A13-C547EEC6B509}" type="sibTrans" cxnId="{C492F1B4-008D-4D3D-9324-2DF51A5E5E61}">
      <dgm:prSet/>
      <dgm:spPr/>
      <dgm:t>
        <a:bodyPr/>
        <a:lstStyle/>
        <a:p>
          <a:endParaRPr lang="en-AU"/>
        </a:p>
      </dgm:t>
    </dgm:pt>
    <dgm:pt modelId="{0FE9677E-2698-43EE-8FBE-7300274486A6}">
      <dgm:prSet phldrT="[Text]"/>
      <dgm:spPr/>
      <dgm:t>
        <a:bodyPr/>
        <a:lstStyle/>
        <a:p>
          <a:r>
            <a:rPr lang="en-AU"/>
            <a:t>Trusted Digital Environment</a:t>
          </a:r>
        </a:p>
      </dgm:t>
      <dgm:extLst>
        <a:ext uri="{E40237B7-FDA0-4F09-8148-C483321AD2D9}">
          <dgm14:cNvPr xmlns:dgm14="http://schemas.microsoft.com/office/drawing/2010/diagram" id="0" name=""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a:ext>
      </dgm:extLst>
    </dgm:pt>
    <dgm:pt modelId="{F07CD92A-44BE-46E3-A9CE-B3DB16C44677}" type="parTrans" cxnId="{CAF9854E-9311-48D0-89FA-ED4068514C36}">
      <dgm:prSet/>
      <dgm:spPr/>
      <dgm:t>
        <a:bodyPr/>
        <a:lstStyle/>
        <a:p>
          <a:endParaRPr lang="en-AU"/>
        </a:p>
      </dgm:t>
    </dgm:pt>
    <dgm:pt modelId="{E20EC599-70B8-4592-A780-5C9E79BCE696}" type="sibTrans" cxnId="{CAF9854E-9311-48D0-89FA-ED4068514C36}">
      <dgm:prSet/>
      <dgm:spPr/>
      <dgm:t>
        <a:bodyPr/>
        <a:lstStyle/>
        <a:p>
          <a:endParaRPr lang="en-AU"/>
        </a:p>
      </dgm:t>
    </dgm:pt>
    <dgm:pt modelId="{C1E50785-9767-4C66-88FA-CB9FF0B7750E}">
      <dgm:prSet phldrT="[Text]"/>
      <dgm:spPr/>
      <dgm:t>
        <a:bodyPr/>
        <a:lstStyle/>
        <a:p>
          <a:r>
            <a:rPr lang="en-AU"/>
            <a:t>Trusted Digital Identity</a:t>
          </a:r>
        </a:p>
      </dgm:t>
      <dgm:extLst>
        <a:ext uri="{E40237B7-FDA0-4F09-8148-C483321AD2D9}">
          <dgm14:cNvPr xmlns:dgm14="http://schemas.microsoft.com/office/drawing/2010/diagram" id="0" name=""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a:ext>
      </dgm:extLst>
    </dgm:pt>
    <dgm:pt modelId="{1C286553-766B-4DA7-99A4-6F8893F38A46}" type="parTrans" cxnId="{CDF427A5-CB71-428A-9E4A-968E1152B4C5}">
      <dgm:prSet/>
      <dgm:spPr/>
      <dgm:t>
        <a:bodyPr/>
        <a:lstStyle/>
        <a:p>
          <a:endParaRPr lang="en-AU"/>
        </a:p>
      </dgm:t>
    </dgm:pt>
    <dgm:pt modelId="{5A21646F-2FC6-4261-9BE2-A0274F0137EB}" type="sibTrans" cxnId="{CDF427A5-CB71-428A-9E4A-968E1152B4C5}">
      <dgm:prSet/>
      <dgm:spPr/>
      <dgm:t>
        <a:bodyPr/>
        <a:lstStyle/>
        <a:p>
          <a:endParaRPr lang="en-AU"/>
        </a:p>
      </dgm:t>
    </dgm:pt>
    <dgm:pt modelId="{D8AA6C51-530F-4F89-ADF6-35E4A211C797}">
      <dgm:prSet/>
      <dgm:spPr/>
      <dgm:t>
        <a:bodyPr/>
        <a:lstStyle/>
        <a:p>
          <a:r>
            <a:rPr lang="en-AU"/>
            <a:t>Gatekeeper</a:t>
          </a:r>
        </a:p>
      </dgm:t>
      <dgm:extLst>
        <a:ext uri="{E40237B7-FDA0-4F09-8148-C483321AD2D9}">
          <dgm14:cNvPr xmlns:dgm14="http://schemas.microsoft.com/office/drawing/2010/diagram" id="0" name=""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a:ext>
      </dgm:extLst>
    </dgm:pt>
    <dgm:pt modelId="{BDF62DF6-EB0E-412F-9557-3070E221AD9D}" type="parTrans" cxnId="{CA694298-91C2-49D8-B87C-93D2A936D889}">
      <dgm:prSet/>
      <dgm:spPr/>
      <dgm:t>
        <a:bodyPr/>
        <a:lstStyle/>
        <a:p>
          <a:endParaRPr lang="en-AU"/>
        </a:p>
      </dgm:t>
    </dgm:pt>
    <dgm:pt modelId="{BB590AA0-A95C-429B-8142-896BBA8DF53F}" type="sibTrans" cxnId="{CA694298-91C2-49D8-B87C-93D2A936D889}">
      <dgm:prSet/>
      <dgm:spPr/>
      <dgm:t>
        <a:bodyPr/>
        <a:lstStyle/>
        <a:p>
          <a:endParaRPr lang="en-AU"/>
        </a:p>
      </dgm:t>
    </dgm:pt>
    <dgm:pt modelId="{75B4D99B-1445-44A6-8229-692DD2F8AD6D}">
      <dgm:prSet/>
      <dgm:spPr/>
      <dgm:t>
        <a:bodyPr/>
        <a:lstStyle/>
        <a:p>
          <a:r>
            <a:rPr lang="en-AU"/>
            <a:t>Assurance</a:t>
          </a:r>
        </a:p>
      </dgm:t>
      <dgm:extLst>
        <a:ext uri="{E40237B7-FDA0-4F09-8148-C483321AD2D9}">
          <dgm14:cNvPr xmlns:dgm14="http://schemas.microsoft.com/office/drawing/2010/diagram" id="0" name=""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a:ext>
      </dgm:extLst>
    </dgm:pt>
    <dgm:pt modelId="{98702DBF-C998-4B40-A076-B394F6C0886E}" type="parTrans" cxnId="{9A134A40-008D-41B9-95D7-303F2C78C5E7}">
      <dgm:prSet/>
      <dgm:spPr/>
      <dgm:t>
        <a:bodyPr/>
        <a:lstStyle/>
        <a:p>
          <a:endParaRPr lang="en-AU"/>
        </a:p>
      </dgm:t>
    </dgm:pt>
    <dgm:pt modelId="{20FBD314-C2EC-4F98-A8A1-B38FB30D7603}" type="sibTrans" cxnId="{9A134A40-008D-41B9-95D7-303F2C78C5E7}">
      <dgm:prSet/>
      <dgm:spPr/>
      <dgm:t>
        <a:bodyPr/>
        <a:lstStyle/>
        <a:p>
          <a:endParaRPr lang="en-AU"/>
        </a:p>
      </dgm:t>
    </dgm:pt>
    <dgm:pt modelId="{EA3741C3-910C-4AE3-ABF9-4113B1711D62}">
      <dgm:prSet/>
      <dgm:spPr/>
      <dgm:t>
        <a:bodyPr/>
        <a:lstStyle/>
        <a:p>
          <a:r>
            <a:rPr lang="en-AU"/>
            <a:t>APPs</a:t>
          </a:r>
        </a:p>
      </dgm:t>
      <dgm:extLst>
        <a:ext uri="{E40237B7-FDA0-4F09-8148-C483321AD2D9}">
          <dgm14:cNvPr xmlns:dgm14="http://schemas.microsoft.com/office/drawing/2010/diagram" id="0" name="" descr="Due to the complexity of this document no alternative description has been provided. Please email Assurance Framework Competent Authority care of Director, Trusted Digital Identity Team at authentication@dto.gov.au for an alternative description." title="Due to the complexity of this document no alternative description has been provided. Please email Assurance Framework Competent Authority care of Director, Trusted Digital Identity Team at authentication@dto.gov.au for an alternative description."/>
        </a:ext>
      </dgm:extLst>
    </dgm:pt>
    <dgm:pt modelId="{A00DAF43-7A6C-4843-901F-0E9AA6BF55B6}" type="parTrans" cxnId="{56E1DD72-0058-4F8A-9C0A-C68A197E3B5C}">
      <dgm:prSet/>
      <dgm:spPr/>
      <dgm:t>
        <a:bodyPr/>
        <a:lstStyle/>
        <a:p>
          <a:endParaRPr lang="en-AU"/>
        </a:p>
      </dgm:t>
    </dgm:pt>
    <dgm:pt modelId="{B6478938-23C7-4720-BE4C-D922C3BEC4CA}" type="sibTrans" cxnId="{56E1DD72-0058-4F8A-9C0A-C68A197E3B5C}">
      <dgm:prSet/>
      <dgm:spPr/>
      <dgm:t>
        <a:bodyPr/>
        <a:lstStyle/>
        <a:p>
          <a:endParaRPr lang="en-AU"/>
        </a:p>
      </dgm:t>
    </dgm:pt>
    <dgm:pt modelId="{66F6C39A-58E8-48A5-9DEC-31A519A2928C}" type="pres">
      <dgm:prSet presAssocID="{F8735D46-080E-461D-A0B9-A667364B39EC}" presName="Name0" presStyleCnt="0">
        <dgm:presLayoutVars>
          <dgm:chMax val="3"/>
          <dgm:chPref val="1"/>
          <dgm:dir/>
          <dgm:animLvl val="lvl"/>
          <dgm:resizeHandles/>
        </dgm:presLayoutVars>
      </dgm:prSet>
      <dgm:spPr/>
      <dgm:t>
        <a:bodyPr/>
        <a:lstStyle/>
        <a:p>
          <a:endParaRPr lang="en-AU"/>
        </a:p>
      </dgm:t>
    </dgm:pt>
    <dgm:pt modelId="{5EB5D910-DFE9-47AF-9669-F16B12449A93}" type="pres">
      <dgm:prSet presAssocID="{F8735D46-080E-461D-A0B9-A667364B39EC}" presName="outerBox" presStyleCnt="0"/>
      <dgm:spPr/>
      <dgm:t>
        <a:bodyPr/>
        <a:lstStyle/>
        <a:p>
          <a:endParaRPr lang="en-AU"/>
        </a:p>
      </dgm:t>
    </dgm:pt>
    <dgm:pt modelId="{CA3B47F8-F6AF-4D91-91FA-8625EEF645E5}" type="pres">
      <dgm:prSet presAssocID="{F8735D46-080E-461D-A0B9-A667364B39EC}" presName="outerBoxParent" presStyleLbl="node1" presStyleIdx="0" presStyleCnt="3"/>
      <dgm:spPr/>
      <dgm:t>
        <a:bodyPr/>
        <a:lstStyle/>
        <a:p>
          <a:endParaRPr lang="en-AU"/>
        </a:p>
      </dgm:t>
    </dgm:pt>
    <dgm:pt modelId="{ABC4583F-E10F-46A2-A4A3-A055618C4104}" type="pres">
      <dgm:prSet presAssocID="{F8735D46-080E-461D-A0B9-A667364B39EC}" presName="outerBoxChildren" presStyleCnt="0"/>
      <dgm:spPr/>
      <dgm:t>
        <a:bodyPr/>
        <a:lstStyle/>
        <a:p>
          <a:endParaRPr lang="en-AU"/>
        </a:p>
      </dgm:t>
    </dgm:pt>
    <dgm:pt modelId="{540EAAEB-2E34-4BC9-B6A9-22B9D197FBFE}" type="pres">
      <dgm:prSet presAssocID="{EA3741C3-910C-4AE3-ABF9-4113B1711D62}" presName="oChild" presStyleLbl="fgAcc1" presStyleIdx="0" presStyleCnt="8">
        <dgm:presLayoutVars>
          <dgm:bulletEnabled val="1"/>
        </dgm:presLayoutVars>
      </dgm:prSet>
      <dgm:spPr/>
      <dgm:t>
        <a:bodyPr/>
        <a:lstStyle/>
        <a:p>
          <a:endParaRPr lang="en-AU"/>
        </a:p>
      </dgm:t>
    </dgm:pt>
    <dgm:pt modelId="{37AE9865-C27E-4C05-B60D-BF8C601A75FC}" type="pres">
      <dgm:prSet presAssocID="{B6478938-23C7-4720-BE4C-D922C3BEC4CA}" presName="outerSibTrans" presStyleCnt="0"/>
      <dgm:spPr/>
      <dgm:t>
        <a:bodyPr/>
        <a:lstStyle/>
        <a:p>
          <a:endParaRPr lang="en-AU"/>
        </a:p>
      </dgm:t>
    </dgm:pt>
    <dgm:pt modelId="{F4AD60DD-776F-44A8-BE81-6D5857C7CC4C}" type="pres">
      <dgm:prSet presAssocID="{02CBEB68-4A0F-4C1B-8353-998F3E6F78B4}" presName="oChild" presStyleLbl="fgAcc1" presStyleIdx="1" presStyleCnt="8">
        <dgm:presLayoutVars>
          <dgm:bulletEnabled val="1"/>
        </dgm:presLayoutVars>
      </dgm:prSet>
      <dgm:spPr/>
      <dgm:t>
        <a:bodyPr/>
        <a:lstStyle/>
        <a:p>
          <a:endParaRPr lang="en-AU"/>
        </a:p>
      </dgm:t>
    </dgm:pt>
    <dgm:pt modelId="{73B468AF-430A-4B46-8C83-C23A4C87622A}" type="pres">
      <dgm:prSet presAssocID="{CC51B399-822E-49F0-B4F7-74A8F7E9B53E}" presName="outerSibTrans" presStyleCnt="0"/>
      <dgm:spPr/>
      <dgm:t>
        <a:bodyPr/>
        <a:lstStyle/>
        <a:p>
          <a:endParaRPr lang="en-AU"/>
        </a:p>
      </dgm:t>
    </dgm:pt>
    <dgm:pt modelId="{68892B2F-3FBD-4C40-A5FC-8C8102279000}" type="pres">
      <dgm:prSet presAssocID="{F396FDED-DF9F-438B-A8A9-3638C5651C0E}" presName="oChild" presStyleLbl="fgAcc1" presStyleIdx="2" presStyleCnt="8">
        <dgm:presLayoutVars>
          <dgm:bulletEnabled val="1"/>
        </dgm:presLayoutVars>
      </dgm:prSet>
      <dgm:spPr/>
      <dgm:t>
        <a:bodyPr/>
        <a:lstStyle/>
        <a:p>
          <a:endParaRPr lang="en-AU"/>
        </a:p>
      </dgm:t>
    </dgm:pt>
    <dgm:pt modelId="{1D29FBA0-87FB-43F0-908A-A699F5433051}" type="pres">
      <dgm:prSet presAssocID="{F8735D46-080E-461D-A0B9-A667364B39EC}" presName="middleBox" presStyleCnt="0"/>
      <dgm:spPr/>
      <dgm:t>
        <a:bodyPr/>
        <a:lstStyle/>
        <a:p>
          <a:endParaRPr lang="en-AU"/>
        </a:p>
      </dgm:t>
    </dgm:pt>
    <dgm:pt modelId="{BD98EB6A-9416-4D85-9237-CFF516BBD184}" type="pres">
      <dgm:prSet presAssocID="{F8735D46-080E-461D-A0B9-A667364B39EC}" presName="middleBoxParent" presStyleLbl="node1" presStyleIdx="1" presStyleCnt="3"/>
      <dgm:spPr/>
      <dgm:t>
        <a:bodyPr/>
        <a:lstStyle/>
        <a:p>
          <a:endParaRPr lang="en-AU"/>
        </a:p>
      </dgm:t>
    </dgm:pt>
    <dgm:pt modelId="{7E844DC3-FCE2-4BC8-84B1-3EDF3F71383F}" type="pres">
      <dgm:prSet presAssocID="{F8735D46-080E-461D-A0B9-A667364B39EC}" presName="middleBoxChildren" presStyleCnt="0"/>
      <dgm:spPr/>
      <dgm:t>
        <a:bodyPr/>
        <a:lstStyle/>
        <a:p>
          <a:endParaRPr lang="en-AU"/>
        </a:p>
      </dgm:t>
    </dgm:pt>
    <dgm:pt modelId="{BD717430-2E46-4F6F-9F16-5980661FF14A}" type="pres">
      <dgm:prSet presAssocID="{D8AA6C51-530F-4F89-ADF6-35E4A211C797}" presName="mChild" presStyleLbl="fgAcc1" presStyleIdx="3" presStyleCnt="8">
        <dgm:presLayoutVars>
          <dgm:bulletEnabled val="1"/>
        </dgm:presLayoutVars>
      </dgm:prSet>
      <dgm:spPr/>
      <dgm:t>
        <a:bodyPr/>
        <a:lstStyle/>
        <a:p>
          <a:endParaRPr lang="en-AU"/>
        </a:p>
      </dgm:t>
    </dgm:pt>
    <dgm:pt modelId="{3C9D0CE4-E851-43E1-A12F-262D8860842E}" type="pres">
      <dgm:prSet presAssocID="{BB590AA0-A95C-429B-8142-896BBA8DF53F}" presName="middleSibTrans" presStyleCnt="0"/>
      <dgm:spPr/>
      <dgm:t>
        <a:bodyPr/>
        <a:lstStyle/>
        <a:p>
          <a:endParaRPr lang="en-AU"/>
        </a:p>
      </dgm:t>
    </dgm:pt>
    <dgm:pt modelId="{042ACA97-0197-4077-83A9-AF79505C9FF1}" type="pres">
      <dgm:prSet presAssocID="{75B4D99B-1445-44A6-8229-692DD2F8AD6D}" presName="mChild" presStyleLbl="fgAcc1" presStyleIdx="4" presStyleCnt="8">
        <dgm:presLayoutVars>
          <dgm:bulletEnabled val="1"/>
        </dgm:presLayoutVars>
      </dgm:prSet>
      <dgm:spPr/>
      <dgm:t>
        <a:bodyPr/>
        <a:lstStyle/>
        <a:p>
          <a:endParaRPr lang="en-AU"/>
        </a:p>
      </dgm:t>
    </dgm:pt>
    <dgm:pt modelId="{D8D8F029-66D9-492A-9260-389F410116AE}" type="pres">
      <dgm:prSet presAssocID="{20FBD314-C2EC-4F98-A8A1-B38FB30D7603}" presName="middleSibTrans" presStyleCnt="0"/>
      <dgm:spPr/>
      <dgm:t>
        <a:bodyPr/>
        <a:lstStyle/>
        <a:p>
          <a:endParaRPr lang="en-AU"/>
        </a:p>
      </dgm:t>
    </dgm:pt>
    <dgm:pt modelId="{DAEF2F84-5B4E-4E96-80BB-227EFA839533}" type="pres">
      <dgm:prSet presAssocID="{F3691321-B927-4FBE-BC4E-F825832BAA65}" presName="mChild" presStyleLbl="fgAcc1" presStyleIdx="5" presStyleCnt="8">
        <dgm:presLayoutVars>
          <dgm:bulletEnabled val="1"/>
        </dgm:presLayoutVars>
      </dgm:prSet>
      <dgm:spPr/>
      <dgm:t>
        <a:bodyPr/>
        <a:lstStyle/>
        <a:p>
          <a:endParaRPr lang="en-AU"/>
        </a:p>
      </dgm:t>
    </dgm:pt>
    <dgm:pt modelId="{A9316C09-8328-49A2-A6DF-D502E163E943}" type="pres">
      <dgm:prSet presAssocID="{B0166410-27AD-42EA-91A2-21C371E0FC66}" presName="middleSibTrans" presStyleCnt="0"/>
      <dgm:spPr/>
      <dgm:t>
        <a:bodyPr/>
        <a:lstStyle/>
        <a:p>
          <a:endParaRPr lang="en-AU"/>
        </a:p>
      </dgm:t>
    </dgm:pt>
    <dgm:pt modelId="{EC79D825-4C7A-4662-BF35-C816BCA8B4DB}" type="pres">
      <dgm:prSet presAssocID="{5FDDCEF9-394A-4022-BE85-75922968BCBD}" presName="mChild" presStyleLbl="fgAcc1" presStyleIdx="6" presStyleCnt="8">
        <dgm:presLayoutVars>
          <dgm:bulletEnabled val="1"/>
        </dgm:presLayoutVars>
      </dgm:prSet>
      <dgm:spPr/>
      <dgm:t>
        <a:bodyPr/>
        <a:lstStyle/>
        <a:p>
          <a:endParaRPr lang="en-AU"/>
        </a:p>
      </dgm:t>
    </dgm:pt>
    <dgm:pt modelId="{42B819B8-F774-483C-B936-0560E74EEEE3}" type="pres">
      <dgm:prSet presAssocID="{F8735D46-080E-461D-A0B9-A667364B39EC}" presName="centerBox" presStyleCnt="0"/>
      <dgm:spPr/>
      <dgm:t>
        <a:bodyPr/>
        <a:lstStyle/>
        <a:p>
          <a:endParaRPr lang="en-AU"/>
        </a:p>
      </dgm:t>
    </dgm:pt>
    <dgm:pt modelId="{B924CECD-E1A4-4E72-90A5-7B5B49275395}" type="pres">
      <dgm:prSet presAssocID="{F8735D46-080E-461D-A0B9-A667364B39EC}" presName="centerBoxParent" presStyleLbl="node1" presStyleIdx="2" presStyleCnt="3"/>
      <dgm:spPr/>
      <dgm:t>
        <a:bodyPr/>
        <a:lstStyle/>
        <a:p>
          <a:endParaRPr lang="en-AU"/>
        </a:p>
      </dgm:t>
    </dgm:pt>
    <dgm:pt modelId="{BC757545-6A68-48BF-84BD-DE950C9F1B3C}" type="pres">
      <dgm:prSet presAssocID="{F8735D46-080E-461D-A0B9-A667364B39EC}" presName="centerBoxChildren" presStyleCnt="0"/>
      <dgm:spPr/>
      <dgm:t>
        <a:bodyPr/>
        <a:lstStyle/>
        <a:p>
          <a:endParaRPr lang="en-AU"/>
        </a:p>
      </dgm:t>
    </dgm:pt>
    <dgm:pt modelId="{336A7F5C-42E2-4331-8004-5D6826B953A1}" type="pres">
      <dgm:prSet presAssocID="{C1E50785-9767-4C66-88FA-CB9FF0B7750E}" presName="cChild" presStyleLbl="fgAcc1" presStyleIdx="7" presStyleCnt="8" custScaleX="55123" custLinFactNeighborX="23857" custLinFactNeighborY="-5990">
        <dgm:presLayoutVars>
          <dgm:bulletEnabled val="1"/>
        </dgm:presLayoutVars>
      </dgm:prSet>
      <dgm:spPr/>
      <dgm:t>
        <a:bodyPr/>
        <a:lstStyle/>
        <a:p>
          <a:endParaRPr lang="en-AU"/>
        </a:p>
      </dgm:t>
    </dgm:pt>
  </dgm:ptLst>
  <dgm:cxnLst>
    <dgm:cxn modelId="{12C98135-ECE6-4B2E-9B0A-D7B0CF3AF35A}" srcId="{54399484-2EA7-46B9-BF64-076290C45BA0}" destId="{F3691321-B927-4FBE-BC4E-F825832BAA65}" srcOrd="2" destOrd="0" parTransId="{D0ADD3E6-344D-49C8-BBE1-627B5B656201}" sibTransId="{B0166410-27AD-42EA-91A2-21C371E0FC66}"/>
    <dgm:cxn modelId="{CAF9854E-9311-48D0-89FA-ED4068514C36}" srcId="{F8735D46-080E-461D-A0B9-A667364B39EC}" destId="{0FE9677E-2698-43EE-8FBE-7300274486A6}" srcOrd="2" destOrd="0" parTransId="{F07CD92A-44BE-46E3-A9CE-B3DB16C44677}" sibTransId="{E20EC599-70B8-4592-A780-5C9E79BCE696}"/>
    <dgm:cxn modelId="{2E7981B2-4A13-4F13-B390-F06E6E5F6A2E}" srcId="{F8735D46-080E-461D-A0B9-A667364B39EC}" destId="{48429EFB-6AC6-46FB-AB30-EAA726223CCD}" srcOrd="0" destOrd="0" parTransId="{6E868C26-5921-4314-9E92-3843A8620788}" sibTransId="{2DD63FE1-4F23-473E-A3BC-F3AED20E329A}"/>
    <dgm:cxn modelId="{82BDF175-7E85-694E-BC3D-FC5E748BA625}" type="presOf" srcId="{EA3741C3-910C-4AE3-ABF9-4113B1711D62}" destId="{540EAAEB-2E34-4BC9-B6A9-22B9D197FBFE}" srcOrd="0" destOrd="0" presId="urn:microsoft.com/office/officeart/2005/8/layout/target2"/>
    <dgm:cxn modelId="{CDF427A5-CB71-428A-9E4A-968E1152B4C5}" srcId="{0FE9677E-2698-43EE-8FBE-7300274486A6}" destId="{C1E50785-9767-4C66-88FA-CB9FF0B7750E}" srcOrd="0" destOrd="0" parTransId="{1C286553-766B-4DA7-99A4-6F8893F38A46}" sibTransId="{5A21646F-2FC6-4261-9BE2-A0274F0137EB}"/>
    <dgm:cxn modelId="{70713996-F888-C64F-95C8-BAF2907B0FD3}" type="presOf" srcId="{C1E50785-9767-4C66-88FA-CB9FF0B7750E}" destId="{336A7F5C-42E2-4331-8004-5D6826B953A1}" srcOrd="0" destOrd="0" presId="urn:microsoft.com/office/officeart/2005/8/layout/target2"/>
    <dgm:cxn modelId="{7A168F91-5E4E-F34E-B9C4-4855D8B128E1}" type="presOf" srcId="{48429EFB-6AC6-46FB-AB30-EAA726223CCD}" destId="{CA3B47F8-F6AF-4D91-91FA-8625EEF645E5}" srcOrd="0" destOrd="0" presId="urn:microsoft.com/office/officeart/2005/8/layout/target2"/>
    <dgm:cxn modelId="{9A134A40-008D-41B9-95D7-303F2C78C5E7}" srcId="{54399484-2EA7-46B9-BF64-076290C45BA0}" destId="{75B4D99B-1445-44A6-8229-692DD2F8AD6D}" srcOrd="1" destOrd="0" parTransId="{98702DBF-C998-4B40-A076-B394F6C0886E}" sibTransId="{20FBD314-C2EC-4F98-A8A1-B38FB30D7603}"/>
    <dgm:cxn modelId="{088D9EB6-A2BD-C948-9F10-9D748B13A90C}" type="presOf" srcId="{5FDDCEF9-394A-4022-BE85-75922968BCBD}" destId="{EC79D825-4C7A-4662-BF35-C816BCA8B4DB}" srcOrd="0" destOrd="0" presId="urn:microsoft.com/office/officeart/2005/8/layout/target2"/>
    <dgm:cxn modelId="{6D4A44F0-E5A1-244A-B82E-FEFE4155E2EE}" type="presOf" srcId="{F8735D46-080E-461D-A0B9-A667364B39EC}" destId="{66F6C39A-58E8-48A5-9DEC-31A519A2928C}" srcOrd="0" destOrd="0" presId="urn:microsoft.com/office/officeart/2005/8/layout/target2"/>
    <dgm:cxn modelId="{D4D7DA5C-47D7-4732-89B4-5840CB3FDC58}" srcId="{48429EFB-6AC6-46FB-AB30-EAA726223CCD}" destId="{02CBEB68-4A0F-4C1B-8353-998F3E6F78B4}" srcOrd="1" destOrd="0" parTransId="{F8A19379-9CF5-4138-AD12-68FBD184C86B}" sibTransId="{CC51B399-822E-49F0-B4F7-74A8F7E9B53E}"/>
    <dgm:cxn modelId="{EE538032-A77E-4D68-8FAE-86FBCC8B1726}" srcId="{F8735D46-080E-461D-A0B9-A667364B39EC}" destId="{54399484-2EA7-46B9-BF64-076290C45BA0}" srcOrd="1" destOrd="0" parTransId="{4D4C2C59-6706-4D05-80F6-D7BB822A6A74}" sibTransId="{B78A865F-5D15-47E8-9F5E-BCF77771EF52}"/>
    <dgm:cxn modelId="{56E1DD72-0058-4F8A-9C0A-C68A197E3B5C}" srcId="{48429EFB-6AC6-46FB-AB30-EAA726223CCD}" destId="{EA3741C3-910C-4AE3-ABF9-4113B1711D62}" srcOrd="0" destOrd="0" parTransId="{A00DAF43-7A6C-4843-901F-0E9AA6BF55B6}" sibTransId="{B6478938-23C7-4720-BE4C-D922C3BEC4CA}"/>
    <dgm:cxn modelId="{C492F1B4-008D-4D3D-9324-2DF51A5E5E61}" srcId="{54399484-2EA7-46B9-BF64-076290C45BA0}" destId="{5FDDCEF9-394A-4022-BE85-75922968BCBD}" srcOrd="3" destOrd="0" parTransId="{A5C0223C-4B8B-47B8-B0A0-C034636C3EA3}" sibTransId="{6DEF5BA0-3998-47A9-9A13-C547EEC6B509}"/>
    <dgm:cxn modelId="{822B1D14-896F-E647-9E8C-A6E2C1FF838F}" type="presOf" srcId="{54399484-2EA7-46B9-BF64-076290C45BA0}" destId="{BD98EB6A-9416-4D85-9237-CFF516BBD184}" srcOrd="0" destOrd="0" presId="urn:microsoft.com/office/officeart/2005/8/layout/target2"/>
    <dgm:cxn modelId="{92D561EE-B618-FD42-822C-15DF1E04918B}" type="presOf" srcId="{0FE9677E-2698-43EE-8FBE-7300274486A6}" destId="{B924CECD-E1A4-4E72-90A5-7B5B49275395}" srcOrd="0" destOrd="0" presId="urn:microsoft.com/office/officeart/2005/8/layout/target2"/>
    <dgm:cxn modelId="{CA694298-91C2-49D8-B87C-93D2A936D889}" srcId="{54399484-2EA7-46B9-BF64-076290C45BA0}" destId="{D8AA6C51-530F-4F89-ADF6-35E4A211C797}" srcOrd="0" destOrd="0" parTransId="{BDF62DF6-EB0E-412F-9557-3070E221AD9D}" sibTransId="{BB590AA0-A95C-429B-8142-896BBA8DF53F}"/>
    <dgm:cxn modelId="{9E8A694C-7F33-4176-BA5E-4999AA7DBBEB}" srcId="{48429EFB-6AC6-46FB-AB30-EAA726223CCD}" destId="{F396FDED-DF9F-438B-A8A9-3638C5651C0E}" srcOrd="2" destOrd="0" parTransId="{F4F227EE-C984-420B-9319-0B2E8AEF24DA}" sibTransId="{83F045EF-9975-45BD-AE3C-4EFBDF9A4E0B}"/>
    <dgm:cxn modelId="{8971A8BA-78D0-5348-AE79-597A53B69B08}" type="presOf" srcId="{D8AA6C51-530F-4F89-ADF6-35E4A211C797}" destId="{BD717430-2E46-4F6F-9F16-5980661FF14A}" srcOrd="0" destOrd="0" presId="urn:microsoft.com/office/officeart/2005/8/layout/target2"/>
    <dgm:cxn modelId="{F4D26516-0993-BC4A-A511-DF508907DD6B}" type="presOf" srcId="{F396FDED-DF9F-438B-A8A9-3638C5651C0E}" destId="{68892B2F-3FBD-4C40-A5FC-8C8102279000}" srcOrd="0" destOrd="0" presId="urn:microsoft.com/office/officeart/2005/8/layout/target2"/>
    <dgm:cxn modelId="{6B2A07B6-FE46-7D4D-85F7-8F412B05DB31}" type="presOf" srcId="{75B4D99B-1445-44A6-8229-692DD2F8AD6D}" destId="{042ACA97-0197-4077-83A9-AF79505C9FF1}" srcOrd="0" destOrd="0" presId="urn:microsoft.com/office/officeart/2005/8/layout/target2"/>
    <dgm:cxn modelId="{B0199DF8-514A-D54A-8F2B-073115F4D1F3}" type="presOf" srcId="{F3691321-B927-4FBE-BC4E-F825832BAA65}" destId="{DAEF2F84-5B4E-4E96-80BB-227EFA839533}" srcOrd="0" destOrd="0" presId="urn:microsoft.com/office/officeart/2005/8/layout/target2"/>
    <dgm:cxn modelId="{DAEDD970-BBA2-6B48-BF34-57B62A6C14B7}" type="presOf" srcId="{02CBEB68-4A0F-4C1B-8353-998F3E6F78B4}" destId="{F4AD60DD-776F-44A8-BE81-6D5857C7CC4C}" srcOrd="0" destOrd="0" presId="urn:microsoft.com/office/officeart/2005/8/layout/target2"/>
    <dgm:cxn modelId="{79035728-4421-1548-B5D7-B8E614CEFD7E}" type="presParOf" srcId="{66F6C39A-58E8-48A5-9DEC-31A519A2928C}" destId="{5EB5D910-DFE9-47AF-9669-F16B12449A93}" srcOrd="0" destOrd="0" presId="urn:microsoft.com/office/officeart/2005/8/layout/target2"/>
    <dgm:cxn modelId="{B05EBB42-21A7-7746-ADF3-7005FB7A86AD}" type="presParOf" srcId="{5EB5D910-DFE9-47AF-9669-F16B12449A93}" destId="{CA3B47F8-F6AF-4D91-91FA-8625EEF645E5}" srcOrd="0" destOrd="0" presId="urn:microsoft.com/office/officeart/2005/8/layout/target2"/>
    <dgm:cxn modelId="{2A36655C-864C-DC47-B2F4-EEC059CA1CF2}" type="presParOf" srcId="{5EB5D910-DFE9-47AF-9669-F16B12449A93}" destId="{ABC4583F-E10F-46A2-A4A3-A055618C4104}" srcOrd="1" destOrd="0" presId="urn:microsoft.com/office/officeart/2005/8/layout/target2"/>
    <dgm:cxn modelId="{5B08495F-A8B6-F543-B290-D9BFFC540657}" type="presParOf" srcId="{ABC4583F-E10F-46A2-A4A3-A055618C4104}" destId="{540EAAEB-2E34-4BC9-B6A9-22B9D197FBFE}" srcOrd="0" destOrd="0" presId="urn:microsoft.com/office/officeart/2005/8/layout/target2"/>
    <dgm:cxn modelId="{FA65CC91-DB12-D347-9245-CE34A1CA1FE8}" type="presParOf" srcId="{ABC4583F-E10F-46A2-A4A3-A055618C4104}" destId="{37AE9865-C27E-4C05-B60D-BF8C601A75FC}" srcOrd="1" destOrd="0" presId="urn:microsoft.com/office/officeart/2005/8/layout/target2"/>
    <dgm:cxn modelId="{8F723A58-4AF6-AE4D-A38A-37F6BC21967E}" type="presParOf" srcId="{ABC4583F-E10F-46A2-A4A3-A055618C4104}" destId="{F4AD60DD-776F-44A8-BE81-6D5857C7CC4C}" srcOrd="2" destOrd="0" presId="urn:microsoft.com/office/officeart/2005/8/layout/target2"/>
    <dgm:cxn modelId="{936FC74A-E216-1747-B4EF-41C1B12FD26B}" type="presParOf" srcId="{ABC4583F-E10F-46A2-A4A3-A055618C4104}" destId="{73B468AF-430A-4B46-8C83-C23A4C87622A}" srcOrd="3" destOrd="0" presId="urn:microsoft.com/office/officeart/2005/8/layout/target2"/>
    <dgm:cxn modelId="{7976EA68-EA2C-B643-BDA3-5CE29521F82D}" type="presParOf" srcId="{ABC4583F-E10F-46A2-A4A3-A055618C4104}" destId="{68892B2F-3FBD-4C40-A5FC-8C8102279000}" srcOrd="4" destOrd="0" presId="urn:microsoft.com/office/officeart/2005/8/layout/target2"/>
    <dgm:cxn modelId="{5FAF95A9-1211-0B4E-8769-2BE7BB1EECE9}" type="presParOf" srcId="{66F6C39A-58E8-48A5-9DEC-31A519A2928C}" destId="{1D29FBA0-87FB-43F0-908A-A699F5433051}" srcOrd="1" destOrd="0" presId="urn:microsoft.com/office/officeart/2005/8/layout/target2"/>
    <dgm:cxn modelId="{1D507DBA-D50A-2643-BF3F-BDF72954AD01}" type="presParOf" srcId="{1D29FBA0-87FB-43F0-908A-A699F5433051}" destId="{BD98EB6A-9416-4D85-9237-CFF516BBD184}" srcOrd="0" destOrd="0" presId="urn:microsoft.com/office/officeart/2005/8/layout/target2"/>
    <dgm:cxn modelId="{395C4B48-D90E-2E42-A9EB-83493866F398}" type="presParOf" srcId="{1D29FBA0-87FB-43F0-908A-A699F5433051}" destId="{7E844DC3-FCE2-4BC8-84B1-3EDF3F71383F}" srcOrd="1" destOrd="0" presId="urn:microsoft.com/office/officeart/2005/8/layout/target2"/>
    <dgm:cxn modelId="{4F5D05F8-1FA3-CC46-8064-4FBDE1D19D2B}" type="presParOf" srcId="{7E844DC3-FCE2-4BC8-84B1-3EDF3F71383F}" destId="{BD717430-2E46-4F6F-9F16-5980661FF14A}" srcOrd="0" destOrd="0" presId="urn:microsoft.com/office/officeart/2005/8/layout/target2"/>
    <dgm:cxn modelId="{AF7E0C16-CF7D-0643-81BE-A54996857206}" type="presParOf" srcId="{7E844DC3-FCE2-4BC8-84B1-3EDF3F71383F}" destId="{3C9D0CE4-E851-43E1-A12F-262D8860842E}" srcOrd="1" destOrd="0" presId="urn:microsoft.com/office/officeart/2005/8/layout/target2"/>
    <dgm:cxn modelId="{3A6579A3-7BB8-3E4E-8385-1D91D607B881}" type="presParOf" srcId="{7E844DC3-FCE2-4BC8-84B1-3EDF3F71383F}" destId="{042ACA97-0197-4077-83A9-AF79505C9FF1}" srcOrd="2" destOrd="0" presId="urn:microsoft.com/office/officeart/2005/8/layout/target2"/>
    <dgm:cxn modelId="{85F5FF46-5ED0-9346-8F26-BF206F5EE7CE}" type="presParOf" srcId="{7E844DC3-FCE2-4BC8-84B1-3EDF3F71383F}" destId="{D8D8F029-66D9-492A-9260-389F410116AE}" srcOrd="3" destOrd="0" presId="urn:microsoft.com/office/officeart/2005/8/layout/target2"/>
    <dgm:cxn modelId="{F98718FF-53AB-BA40-885B-32D42D0D0830}" type="presParOf" srcId="{7E844DC3-FCE2-4BC8-84B1-3EDF3F71383F}" destId="{DAEF2F84-5B4E-4E96-80BB-227EFA839533}" srcOrd="4" destOrd="0" presId="urn:microsoft.com/office/officeart/2005/8/layout/target2"/>
    <dgm:cxn modelId="{3AABBC9D-A931-314A-A248-6671155BB8D3}" type="presParOf" srcId="{7E844DC3-FCE2-4BC8-84B1-3EDF3F71383F}" destId="{A9316C09-8328-49A2-A6DF-D502E163E943}" srcOrd="5" destOrd="0" presId="urn:microsoft.com/office/officeart/2005/8/layout/target2"/>
    <dgm:cxn modelId="{F650760E-437A-CF44-B973-5468D2EB8A3F}" type="presParOf" srcId="{7E844DC3-FCE2-4BC8-84B1-3EDF3F71383F}" destId="{EC79D825-4C7A-4662-BF35-C816BCA8B4DB}" srcOrd="6" destOrd="0" presId="urn:microsoft.com/office/officeart/2005/8/layout/target2"/>
    <dgm:cxn modelId="{BAD52507-A63F-2A42-AFA4-3436DF7B7E86}" type="presParOf" srcId="{66F6C39A-58E8-48A5-9DEC-31A519A2928C}" destId="{42B819B8-F774-483C-B936-0560E74EEEE3}" srcOrd="2" destOrd="0" presId="urn:microsoft.com/office/officeart/2005/8/layout/target2"/>
    <dgm:cxn modelId="{FBFFE2BA-72A0-F945-99CF-741C2DE055B4}" type="presParOf" srcId="{42B819B8-F774-483C-B936-0560E74EEEE3}" destId="{B924CECD-E1A4-4E72-90A5-7B5B49275395}" srcOrd="0" destOrd="0" presId="urn:microsoft.com/office/officeart/2005/8/layout/target2"/>
    <dgm:cxn modelId="{CD5A40BE-EB35-FC4F-AB8A-4CA9A4574C6C}" type="presParOf" srcId="{42B819B8-F774-483C-B936-0560E74EEEE3}" destId="{BC757545-6A68-48BF-84BD-DE950C9F1B3C}" srcOrd="1" destOrd="0" presId="urn:microsoft.com/office/officeart/2005/8/layout/target2"/>
    <dgm:cxn modelId="{86DAE853-09CA-F34C-A852-4D3AC71ACE27}" type="presParOf" srcId="{BC757545-6A68-48BF-84BD-DE950C9F1B3C}" destId="{336A7F5C-42E2-4331-8004-5D6826B953A1}" srcOrd="0" destOrd="0" presId="urn:microsoft.com/office/officeart/2005/8/layout/target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3B47F8-F6AF-4D91-91FA-8625EEF645E5}">
      <dsp:nvSpPr>
        <dsp:cNvPr id="0" name=""/>
        <dsp:cNvSpPr/>
      </dsp:nvSpPr>
      <dsp:spPr>
        <a:xfrm>
          <a:off x="0" y="0"/>
          <a:ext cx="5575300" cy="3157965"/>
        </a:xfrm>
        <a:prstGeom prst="roundRect">
          <a:avLst>
            <a:gd name="adj" fmla="val 8500"/>
          </a:avLst>
        </a:prstGeom>
        <a:solidFill>
          <a:schemeClr val="accent1">
            <a:shade val="8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2450932" numCol="1" spcCol="1270" anchor="t" anchorCtr="0">
          <a:noAutofit/>
        </a:bodyPr>
        <a:lstStyle/>
        <a:p>
          <a:pPr lvl="0" algn="ctr" defTabSz="800100">
            <a:lnSpc>
              <a:spcPct val="90000"/>
            </a:lnSpc>
            <a:spcBef>
              <a:spcPct val="0"/>
            </a:spcBef>
            <a:spcAft>
              <a:spcPct val="35000"/>
            </a:spcAft>
          </a:pPr>
          <a:r>
            <a:rPr lang="en-AU" sz="1800" kern="1200"/>
            <a:t>Risk Management Approach</a:t>
          </a:r>
        </a:p>
      </dsp:txBody>
      <dsp:txXfrm>
        <a:off x="78620" y="78620"/>
        <a:ext cx="5418060" cy="3000725"/>
      </dsp:txXfrm>
    </dsp:sp>
    <dsp:sp modelId="{540EAAEB-2E34-4BC9-B6A9-22B9D197FBFE}">
      <dsp:nvSpPr>
        <dsp:cNvPr id="0" name=""/>
        <dsp:cNvSpPr/>
      </dsp:nvSpPr>
      <dsp:spPr>
        <a:xfrm>
          <a:off x="139382" y="789491"/>
          <a:ext cx="836295" cy="717789"/>
        </a:xfrm>
        <a:prstGeom prst="roundRect">
          <a:avLst>
            <a:gd name="adj" fmla="val 10500"/>
          </a:avLst>
        </a:prstGeom>
        <a:solidFill>
          <a:schemeClr val="lt1">
            <a:alpha val="9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kern="1200"/>
            <a:t>APPs</a:t>
          </a:r>
        </a:p>
      </dsp:txBody>
      <dsp:txXfrm>
        <a:off x="161456" y="811565"/>
        <a:ext cx="792147" cy="673641"/>
      </dsp:txXfrm>
    </dsp:sp>
    <dsp:sp modelId="{F4AD60DD-776F-44A8-BE81-6D5857C7CC4C}">
      <dsp:nvSpPr>
        <dsp:cNvPr id="0" name=""/>
        <dsp:cNvSpPr/>
      </dsp:nvSpPr>
      <dsp:spPr>
        <a:xfrm>
          <a:off x="139382" y="1534435"/>
          <a:ext cx="836295" cy="717789"/>
        </a:xfrm>
        <a:prstGeom prst="roundRect">
          <a:avLst>
            <a:gd name="adj" fmla="val 10500"/>
          </a:avLst>
        </a:prstGeom>
        <a:solidFill>
          <a:schemeClr val="lt1">
            <a:alpha val="90000"/>
            <a:hueOff val="0"/>
            <a:satOff val="0"/>
            <a:lumOff val="0"/>
            <a:alphaOff val="0"/>
          </a:schemeClr>
        </a:solidFill>
        <a:ln w="25400" cap="flat" cmpd="sng" algn="ctr">
          <a:solidFill>
            <a:schemeClr val="accent1">
              <a:shade val="80000"/>
              <a:hueOff val="38752"/>
              <a:satOff val="739"/>
              <a:lumOff val="326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kern="1200"/>
            <a:t>PSPF</a:t>
          </a:r>
        </a:p>
      </dsp:txBody>
      <dsp:txXfrm>
        <a:off x="161456" y="1556509"/>
        <a:ext cx="792147" cy="673641"/>
      </dsp:txXfrm>
    </dsp:sp>
    <dsp:sp modelId="{68892B2F-3FBD-4C40-A5FC-8C8102279000}">
      <dsp:nvSpPr>
        <dsp:cNvPr id="0" name=""/>
        <dsp:cNvSpPr/>
      </dsp:nvSpPr>
      <dsp:spPr>
        <a:xfrm>
          <a:off x="139382" y="2279380"/>
          <a:ext cx="836295" cy="717789"/>
        </a:xfrm>
        <a:prstGeom prst="roundRect">
          <a:avLst>
            <a:gd name="adj" fmla="val 10500"/>
          </a:avLst>
        </a:prstGeom>
        <a:solidFill>
          <a:schemeClr val="lt1">
            <a:alpha val="90000"/>
            <a:hueOff val="0"/>
            <a:satOff val="0"/>
            <a:lumOff val="0"/>
            <a:alphaOff val="0"/>
          </a:schemeClr>
        </a:solidFill>
        <a:ln w="25400" cap="flat" cmpd="sng" algn="ctr">
          <a:solidFill>
            <a:schemeClr val="accent1">
              <a:shade val="80000"/>
              <a:hueOff val="77504"/>
              <a:satOff val="1479"/>
              <a:lumOff val="653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kern="1200"/>
            <a:t>ISM</a:t>
          </a:r>
        </a:p>
      </dsp:txBody>
      <dsp:txXfrm>
        <a:off x="161456" y="2301454"/>
        <a:ext cx="792147" cy="673641"/>
      </dsp:txXfrm>
    </dsp:sp>
    <dsp:sp modelId="{BD98EB6A-9416-4D85-9237-CFF516BBD184}">
      <dsp:nvSpPr>
        <dsp:cNvPr id="0" name=""/>
        <dsp:cNvSpPr/>
      </dsp:nvSpPr>
      <dsp:spPr>
        <a:xfrm>
          <a:off x="1115060" y="789491"/>
          <a:ext cx="4320857" cy="2210575"/>
        </a:xfrm>
        <a:prstGeom prst="roundRect">
          <a:avLst>
            <a:gd name="adj" fmla="val 10500"/>
          </a:avLst>
        </a:prstGeom>
        <a:solidFill>
          <a:schemeClr val="accent1">
            <a:shade val="80000"/>
            <a:hueOff val="135632"/>
            <a:satOff val="2588"/>
            <a:lumOff val="11428"/>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1403715" numCol="1" spcCol="1270" anchor="t" anchorCtr="0">
          <a:noAutofit/>
        </a:bodyPr>
        <a:lstStyle/>
        <a:p>
          <a:pPr lvl="0" algn="ctr" defTabSz="800100">
            <a:lnSpc>
              <a:spcPct val="90000"/>
            </a:lnSpc>
            <a:spcBef>
              <a:spcPct val="0"/>
            </a:spcBef>
            <a:spcAft>
              <a:spcPct val="35000"/>
            </a:spcAft>
          </a:pPr>
          <a:r>
            <a:rPr lang="en-AU" sz="1800" kern="1200"/>
            <a:t>Government Policy</a:t>
          </a:r>
        </a:p>
      </dsp:txBody>
      <dsp:txXfrm>
        <a:off x="1183043" y="857474"/>
        <a:ext cx="4184891" cy="2074609"/>
      </dsp:txXfrm>
    </dsp:sp>
    <dsp:sp modelId="{BD717430-2E46-4F6F-9F16-5980661FF14A}">
      <dsp:nvSpPr>
        <dsp:cNvPr id="0" name=""/>
        <dsp:cNvSpPr/>
      </dsp:nvSpPr>
      <dsp:spPr>
        <a:xfrm>
          <a:off x="1223081" y="1563192"/>
          <a:ext cx="864171" cy="302564"/>
        </a:xfrm>
        <a:prstGeom prst="roundRect">
          <a:avLst>
            <a:gd name="adj" fmla="val 10500"/>
          </a:avLst>
        </a:prstGeom>
        <a:solidFill>
          <a:schemeClr val="lt1">
            <a:alpha val="90000"/>
            <a:hueOff val="0"/>
            <a:satOff val="0"/>
            <a:lumOff val="0"/>
            <a:alphaOff val="0"/>
          </a:schemeClr>
        </a:solidFill>
        <a:ln w="25400" cap="flat" cmpd="sng" algn="ctr">
          <a:solidFill>
            <a:schemeClr val="accent1">
              <a:shade val="80000"/>
              <a:hueOff val="116256"/>
              <a:satOff val="2218"/>
              <a:lumOff val="979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kern="1200"/>
            <a:t>Gatekeeper</a:t>
          </a:r>
        </a:p>
      </dsp:txBody>
      <dsp:txXfrm>
        <a:off x="1232386" y="1572497"/>
        <a:ext cx="845561" cy="283954"/>
      </dsp:txXfrm>
    </dsp:sp>
    <dsp:sp modelId="{042ACA97-0197-4077-83A9-AF79505C9FF1}">
      <dsp:nvSpPr>
        <dsp:cNvPr id="0" name=""/>
        <dsp:cNvSpPr/>
      </dsp:nvSpPr>
      <dsp:spPr>
        <a:xfrm>
          <a:off x="1223081" y="1885664"/>
          <a:ext cx="864171" cy="302564"/>
        </a:xfrm>
        <a:prstGeom prst="roundRect">
          <a:avLst>
            <a:gd name="adj" fmla="val 10500"/>
          </a:avLst>
        </a:prstGeom>
        <a:solidFill>
          <a:schemeClr val="lt1">
            <a:alpha val="90000"/>
            <a:hueOff val="0"/>
            <a:satOff val="0"/>
            <a:lumOff val="0"/>
            <a:alphaOff val="0"/>
          </a:schemeClr>
        </a:solidFill>
        <a:ln w="25400" cap="flat" cmpd="sng" algn="ctr">
          <a:solidFill>
            <a:schemeClr val="accent1">
              <a:shade val="80000"/>
              <a:hueOff val="155008"/>
              <a:satOff val="2957"/>
              <a:lumOff val="1306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kern="1200"/>
            <a:t>Assurance</a:t>
          </a:r>
        </a:p>
      </dsp:txBody>
      <dsp:txXfrm>
        <a:off x="1232386" y="1894969"/>
        <a:ext cx="845561" cy="283954"/>
      </dsp:txXfrm>
    </dsp:sp>
    <dsp:sp modelId="{DAEF2F84-5B4E-4E96-80BB-227EFA839533}">
      <dsp:nvSpPr>
        <dsp:cNvPr id="0" name=""/>
        <dsp:cNvSpPr/>
      </dsp:nvSpPr>
      <dsp:spPr>
        <a:xfrm>
          <a:off x="1223081" y="2208135"/>
          <a:ext cx="864171" cy="302564"/>
        </a:xfrm>
        <a:prstGeom prst="roundRect">
          <a:avLst>
            <a:gd name="adj" fmla="val 10500"/>
          </a:avLst>
        </a:prstGeom>
        <a:solidFill>
          <a:schemeClr val="lt1">
            <a:alpha val="90000"/>
            <a:hueOff val="0"/>
            <a:satOff val="0"/>
            <a:lumOff val="0"/>
            <a:alphaOff val="0"/>
          </a:schemeClr>
        </a:solidFill>
        <a:ln w="25400" cap="flat" cmpd="sng" algn="ctr">
          <a:solidFill>
            <a:schemeClr val="accent1">
              <a:shade val="80000"/>
              <a:hueOff val="193760"/>
              <a:satOff val="3696"/>
              <a:lumOff val="1632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kern="1200"/>
            <a:t>NeAF</a:t>
          </a:r>
        </a:p>
      </dsp:txBody>
      <dsp:txXfrm>
        <a:off x="1232386" y="2217440"/>
        <a:ext cx="845561" cy="283954"/>
      </dsp:txXfrm>
    </dsp:sp>
    <dsp:sp modelId="{EC79D825-4C7A-4662-BF35-C816BCA8B4DB}">
      <dsp:nvSpPr>
        <dsp:cNvPr id="0" name=""/>
        <dsp:cNvSpPr/>
      </dsp:nvSpPr>
      <dsp:spPr>
        <a:xfrm>
          <a:off x="1223081" y="2530606"/>
          <a:ext cx="864171" cy="302564"/>
        </a:xfrm>
        <a:prstGeom prst="roundRect">
          <a:avLst>
            <a:gd name="adj" fmla="val 10500"/>
          </a:avLst>
        </a:prstGeom>
        <a:solidFill>
          <a:schemeClr val="lt1">
            <a:alpha val="90000"/>
            <a:hueOff val="0"/>
            <a:satOff val="0"/>
            <a:lumOff val="0"/>
            <a:alphaOff val="0"/>
          </a:schemeClr>
        </a:solidFill>
        <a:ln w="25400" cap="flat" cmpd="sng" algn="ctr">
          <a:solidFill>
            <a:schemeClr val="accent1">
              <a:shade val="80000"/>
              <a:hueOff val="232512"/>
              <a:satOff val="4436"/>
              <a:lumOff val="1959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kern="1200"/>
            <a:t>NIPG</a:t>
          </a:r>
        </a:p>
      </dsp:txBody>
      <dsp:txXfrm>
        <a:off x="1232386" y="2539911"/>
        <a:ext cx="845561" cy="283954"/>
      </dsp:txXfrm>
    </dsp:sp>
    <dsp:sp modelId="{B924CECD-E1A4-4E72-90A5-7B5B49275395}">
      <dsp:nvSpPr>
        <dsp:cNvPr id="0" name=""/>
        <dsp:cNvSpPr/>
      </dsp:nvSpPr>
      <dsp:spPr>
        <a:xfrm>
          <a:off x="2202243" y="1578982"/>
          <a:ext cx="3094291" cy="1263186"/>
        </a:xfrm>
        <a:prstGeom prst="roundRect">
          <a:avLst>
            <a:gd name="adj" fmla="val 10500"/>
          </a:avLst>
        </a:prstGeom>
        <a:solidFill>
          <a:schemeClr val="accent1">
            <a:shade val="80000"/>
            <a:hueOff val="271263"/>
            <a:satOff val="5175"/>
            <a:lumOff val="22855"/>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712998" numCol="1" spcCol="1270" anchor="t" anchorCtr="0">
          <a:noAutofit/>
        </a:bodyPr>
        <a:lstStyle/>
        <a:p>
          <a:pPr lvl="0" algn="l" defTabSz="800100">
            <a:lnSpc>
              <a:spcPct val="90000"/>
            </a:lnSpc>
            <a:spcBef>
              <a:spcPct val="0"/>
            </a:spcBef>
            <a:spcAft>
              <a:spcPct val="35000"/>
            </a:spcAft>
          </a:pPr>
          <a:r>
            <a:rPr lang="en-AU" sz="1800" kern="1200"/>
            <a:t>Trusted Digital Environment</a:t>
          </a:r>
        </a:p>
      </dsp:txBody>
      <dsp:txXfrm>
        <a:off x="2241090" y="1617829"/>
        <a:ext cx="3016597" cy="1185492"/>
      </dsp:txXfrm>
    </dsp:sp>
    <dsp:sp modelId="{336A7F5C-42E2-4331-8004-5D6826B953A1}">
      <dsp:nvSpPr>
        <dsp:cNvPr id="0" name=""/>
        <dsp:cNvSpPr/>
      </dsp:nvSpPr>
      <dsp:spPr>
        <a:xfrm>
          <a:off x="2980895" y="2113367"/>
          <a:ext cx="1620382" cy="568433"/>
        </a:xfrm>
        <a:prstGeom prst="roundRect">
          <a:avLst>
            <a:gd name="adj" fmla="val 10500"/>
          </a:avLst>
        </a:prstGeom>
        <a:solidFill>
          <a:schemeClr val="lt1">
            <a:alpha val="90000"/>
            <a:hueOff val="0"/>
            <a:satOff val="0"/>
            <a:lumOff val="0"/>
            <a:alphaOff val="0"/>
          </a:schemeClr>
        </a:solidFill>
        <a:ln w="25400" cap="flat" cmpd="sng" algn="ctr">
          <a:solidFill>
            <a:schemeClr val="accent1">
              <a:shade val="80000"/>
              <a:hueOff val="271263"/>
              <a:satOff val="5175"/>
              <a:lumOff val="2285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AU" sz="1000" kern="1200"/>
            <a:t>Trusted Digital Identity</a:t>
          </a:r>
        </a:p>
      </dsp:txBody>
      <dsp:txXfrm>
        <a:off x="2998376" y="2130848"/>
        <a:ext cx="1585420" cy="533471"/>
      </dsp:txXfrm>
    </dsp:sp>
  </dsp:spTree>
</dsp:drawing>
</file>

<file path=word/diagrams/layout1.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AD4B6-F83F-457B-BFC7-F485043E3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91</Pages>
  <Words>24897</Words>
  <Characters>141915</Characters>
  <Application>Microsoft Office Word</Application>
  <DocSecurity>0</DocSecurity>
  <Lines>1182</Lines>
  <Paragraphs>332</Paragraphs>
  <ScaleCrop>false</ScaleCrop>
  <HeadingPairs>
    <vt:vector size="2" baseType="variant">
      <vt:variant>
        <vt:lpstr>Title</vt:lpstr>
      </vt:variant>
      <vt:variant>
        <vt:i4>1</vt:i4>
      </vt:variant>
    </vt:vector>
  </HeadingPairs>
  <TitlesOfParts>
    <vt:vector size="1" baseType="lpstr">
      <vt:lpstr>Gatekeeper Public Key Infrastructure Framework</vt:lpstr>
    </vt:vector>
  </TitlesOfParts>
  <Company/>
  <LinksUpToDate>false</LinksUpToDate>
  <CharactersWithSpaces>166480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Gatekeeper Public Key Infrastructure Framework</dc:title>
  <dc:subject/>
  <dc:creator>Digital Transformation Office</dc:creator>
  <cp:keywords/>
  <dc:description/>
  <cp:lastModifiedBy>Ben Fulford</cp:lastModifiedBy>
  <cp:revision>3</cp:revision>
  <dcterms:created xsi:type="dcterms:W3CDTF">2015-11-30T01:21:00Z</dcterms:created>
  <dcterms:modified xsi:type="dcterms:W3CDTF">2015-12-01T05:22:00Z</dcterms:modified>
</cp:coreProperties>
</file>