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7D378" w14:textId="77777777" w:rsidR="002F0A01" w:rsidRDefault="003409EF" w:rsidP="002F0A01">
      <w:bookmarkStart w:id="0" w:name="_GoBack"/>
      <w:bookmarkEnd w:id="0"/>
      <w:r>
        <w:rPr>
          <w:noProof/>
          <w:lang w:eastAsia="en-AU"/>
        </w:rPr>
        <w:drawing>
          <wp:inline distT="0" distB="0" distL="0" distR="0" wp14:anchorId="53E8B7BA" wp14:editId="21DD2AD2">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25A86F66" w14:textId="77777777" w:rsidR="004E058F" w:rsidRDefault="003113F6" w:rsidP="004E058F">
      <w:pPr>
        <w:pStyle w:val="Title"/>
      </w:pPr>
      <w:r w:rsidRPr="003113F6">
        <w:t xml:space="preserve">National </w:t>
      </w:r>
      <w:r w:rsidR="003A1A79">
        <w:t>e</w:t>
      </w:r>
      <w:r w:rsidR="003A1A79" w:rsidRPr="0050534C">
        <w:rPr>
          <w:rFonts w:ascii="Arial Narrow" w:hAnsi="Arial Narrow"/>
        </w:rPr>
        <w:noBreakHyphen/>
      </w:r>
      <w:r w:rsidRPr="003113F6">
        <w:t>Authentication Framework</w:t>
      </w:r>
      <w:r w:rsidR="00D1227A">
        <w:t xml:space="preserve"> </w:t>
      </w:r>
    </w:p>
    <w:p w14:paraId="49C65680" w14:textId="77777777" w:rsidR="004E058F" w:rsidRDefault="003113F6" w:rsidP="004E058F">
      <w:pPr>
        <w:pStyle w:val="Subtitle"/>
      </w:pPr>
      <w:r w:rsidRPr="003113F6">
        <w:t>Executive Summary</w:t>
      </w:r>
      <w:r w:rsidR="00D1227A">
        <w:t xml:space="preserve"> </w:t>
      </w:r>
    </w:p>
    <w:p w14:paraId="58F13A0D" w14:textId="77777777" w:rsidR="00883A8F" w:rsidRDefault="003113F6" w:rsidP="002F0A01">
      <w:pPr>
        <w:pStyle w:val="SubtitleDate"/>
      </w:pPr>
      <w:r>
        <w:t>January</w:t>
      </w:r>
      <w:r w:rsidR="00D1227A" w:rsidRPr="00D1227A">
        <w:t xml:space="preserve"> 20</w:t>
      </w:r>
      <w:r>
        <w:t>09</w:t>
      </w:r>
    </w:p>
    <w:p w14:paraId="394CDE7D"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55002C1D" w14:textId="77777777" w:rsidR="003113F6" w:rsidRPr="003113F6" w:rsidRDefault="003113F6" w:rsidP="003113F6">
      <w:pPr>
        <w:rPr>
          <w:rStyle w:val="Strong"/>
        </w:rPr>
      </w:pPr>
      <w:r w:rsidRPr="003113F6">
        <w:rPr>
          <w:rStyle w:val="Strong"/>
        </w:rPr>
        <w:lastRenderedPageBreak/>
        <w:t>Disclaimer</w:t>
      </w:r>
    </w:p>
    <w:p w14:paraId="02A9320D" w14:textId="77777777" w:rsidR="003113F6" w:rsidRDefault="003113F6" w:rsidP="003113F6">
      <w:r>
        <w:t xml:space="preserve">This document has been prepared by the Department of Finance and Deregulation (Finance) to provide information to government bodies in relation to the use of </w:t>
      </w:r>
      <w:r w:rsidR="003A1A79">
        <w:t>e</w:t>
      </w:r>
      <w:r w:rsidR="003A1A79">
        <w:noBreakHyphen/>
      </w:r>
      <w:r>
        <w:t>Authentication for government transactions.</w:t>
      </w:r>
    </w:p>
    <w:p w14:paraId="2FF1C436" w14:textId="77777777" w:rsidR="003113F6" w:rsidRDefault="003113F6" w:rsidP="003113F6">
      <w:r>
        <w:t>While every effort has been made to ensure that the document is accurate, no warranty, guarantee or undertaking is given regarding the accuracy, completeness or currency of the document. This document should not be relied upon as legal advice. Users are encouraged to seek independent advice relevant to their own circumstances.</w:t>
      </w:r>
    </w:p>
    <w:p w14:paraId="69011AE4" w14:textId="77777777" w:rsidR="003113F6" w:rsidRDefault="003113F6" w:rsidP="003113F6">
      <w:r>
        <w:t>Links to other websites are inserted for convenience only and do not constitute endorsement of material at those sites, or any associated organisation, product or service.</w:t>
      </w:r>
    </w:p>
    <w:p w14:paraId="6A719469" w14:textId="77777777" w:rsidR="003113F6" w:rsidRDefault="003113F6" w:rsidP="003113F6">
      <w:r>
        <w:t>ISBN 0 9758173 7 X</w:t>
      </w:r>
    </w:p>
    <w:p w14:paraId="22577C74" w14:textId="77777777" w:rsidR="003113F6" w:rsidRDefault="003113F6" w:rsidP="003113F6">
      <w:r>
        <w:t>Department of Finance and Deregulation</w:t>
      </w:r>
      <w:r>
        <w:br/>
        <w:t>Australian Government Information Management Office</w:t>
      </w:r>
    </w:p>
    <w:p w14:paraId="114E2EBB" w14:textId="77777777" w:rsidR="003113F6" w:rsidRDefault="003113F6" w:rsidP="003113F6">
      <w:r>
        <w:t>© Commonwealth of Australia 2009</w:t>
      </w:r>
    </w:p>
    <w:p w14:paraId="7F63856F" w14:textId="77777777" w:rsidR="003113F6" w:rsidRDefault="003113F6" w:rsidP="003113F6">
      <w:r>
        <w:t>This work is copyright. Apart from any use as permitted under the Copyright Act 1968, no part may be reproduced by any process without prior written permission from the Commonwealth.</w:t>
      </w:r>
    </w:p>
    <w:p w14:paraId="2802FACC" w14:textId="77777777" w:rsidR="003113F6" w:rsidRDefault="003113F6" w:rsidP="003113F6">
      <w:r>
        <w:t>Requests and inquiries concerning reproduction and rights should be addressed to the:</w:t>
      </w:r>
    </w:p>
    <w:p w14:paraId="155C272C" w14:textId="77777777" w:rsidR="003113F6" w:rsidRDefault="003113F6" w:rsidP="003113F6">
      <w:r>
        <w:t>Commonwealth Copyright Administration,</w:t>
      </w:r>
      <w:r>
        <w:br/>
        <w:t>Attorney General’s Department,</w:t>
      </w:r>
      <w:r>
        <w:br/>
        <w:t>Robert Garran Offices,</w:t>
      </w:r>
      <w:r>
        <w:br/>
        <w:t>National Circuit,</w:t>
      </w:r>
      <w:r>
        <w:br/>
        <w:t>Barton ACT 2600</w:t>
      </w:r>
    </w:p>
    <w:p w14:paraId="0B578C45" w14:textId="4F298025" w:rsidR="003113F6" w:rsidRPr="00EB6D1C" w:rsidRDefault="003113F6" w:rsidP="003113F6">
      <w:r w:rsidRPr="00EB6D1C">
        <w:t xml:space="preserve">or posted at </w:t>
      </w:r>
      <w:hyperlink r:id="rId10" w:tooltip="Licensing and use of Commonwealth material website" w:history="1">
        <w:r>
          <w:rPr>
            <w:rStyle w:val="Hyperlink"/>
            <w:szCs w:val="20"/>
            <w:lang w:val="en-US"/>
          </w:rPr>
          <w:t>http://www.ag.gov.au/cca</w:t>
        </w:r>
      </w:hyperlink>
    </w:p>
    <w:p w14:paraId="38ACD8E8" w14:textId="77777777" w:rsidR="003113F6" w:rsidRPr="003113F6" w:rsidRDefault="003113F6" w:rsidP="003113F6">
      <w:pPr>
        <w:rPr>
          <w:rStyle w:val="Strong"/>
        </w:rPr>
      </w:pPr>
      <w:r w:rsidRPr="003113F6">
        <w:rPr>
          <w:rStyle w:val="Strong"/>
        </w:rPr>
        <w:t>Acknowledgements</w:t>
      </w:r>
    </w:p>
    <w:p w14:paraId="5A0A0BB4" w14:textId="77777777" w:rsidR="003113F6" w:rsidRDefault="003113F6" w:rsidP="003113F6">
      <w:r>
        <w:t xml:space="preserve">Photographs taken by Steve </w:t>
      </w:r>
      <w:proofErr w:type="spellStart"/>
      <w:r>
        <w:t>Keough</w:t>
      </w:r>
      <w:proofErr w:type="spellEnd"/>
      <w:r>
        <w:t xml:space="preserve">, Steve </w:t>
      </w:r>
      <w:proofErr w:type="spellStart"/>
      <w:r>
        <w:t>Keough</w:t>
      </w:r>
      <w:proofErr w:type="spellEnd"/>
      <w:r>
        <w:t xml:space="preserve"> Photography</w:t>
      </w:r>
    </w:p>
    <w:p w14:paraId="4E6FE6E9" w14:textId="77777777" w:rsidR="003113F6" w:rsidRDefault="003113F6" w:rsidP="003113F6">
      <w:r>
        <w:t>Copyright: Department of Finance and Deregulation</w:t>
      </w:r>
    </w:p>
    <w:p w14:paraId="35FA4F6A" w14:textId="77777777" w:rsidR="003113F6" w:rsidRDefault="003113F6" w:rsidP="003113F6"/>
    <w:p w14:paraId="5EC55605" w14:textId="77777777" w:rsidR="003113F6" w:rsidRDefault="003113F6" w:rsidP="00EB6D1C">
      <w:r>
        <w:br w:type="page"/>
      </w:r>
    </w:p>
    <w:p w14:paraId="5381E6B7" w14:textId="77777777" w:rsidR="003113F6" w:rsidRDefault="003113F6" w:rsidP="003113F6">
      <w:pPr>
        <w:pStyle w:val="Heading2"/>
        <w:rPr>
          <w:lang w:val="en"/>
        </w:rPr>
      </w:pPr>
      <w:r w:rsidRPr="00531891">
        <w:rPr>
          <w:lang w:val="en"/>
        </w:rPr>
        <w:lastRenderedPageBreak/>
        <w:t>Vision</w:t>
      </w:r>
    </w:p>
    <w:p w14:paraId="397CDFB6" w14:textId="77777777" w:rsidR="003113F6" w:rsidRDefault="003113F6" w:rsidP="003113F6">
      <w:pPr>
        <w:rPr>
          <w:lang w:val="en" w:eastAsia="en-AU"/>
        </w:rPr>
      </w:pPr>
      <w:r w:rsidRPr="00531891">
        <w:rPr>
          <w:rFonts w:eastAsia="MS Mincho" w:cs="Arial"/>
          <w:iCs/>
          <w:lang w:eastAsia="ja-JP"/>
        </w:rPr>
        <w:t xml:space="preserve">A trusted electronic environment </w:t>
      </w:r>
      <w:r w:rsidRPr="00531891">
        <w:rPr>
          <w:lang w:val="en" w:eastAsia="en-AU"/>
        </w:rPr>
        <w:t>where the community can transact easily and securely with government.</w:t>
      </w:r>
    </w:p>
    <w:p w14:paraId="069F0BCF" w14:textId="77777777" w:rsidR="003113F6" w:rsidRPr="00531891" w:rsidRDefault="003113F6" w:rsidP="003113F6">
      <w:pPr>
        <w:pStyle w:val="Heading2"/>
      </w:pPr>
      <w:r w:rsidRPr="00531891">
        <w:t>Introduction</w:t>
      </w:r>
    </w:p>
    <w:p w14:paraId="1E94AAA4" w14:textId="77777777" w:rsidR="003113F6" w:rsidRPr="003113F6" w:rsidRDefault="003113F6" w:rsidP="003113F6">
      <w:r w:rsidRPr="003113F6">
        <w:t>The Australian Government in its 2006</w:t>
      </w:r>
      <w:r w:rsidRPr="003113F6">
        <w:rPr>
          <w:rStyle w:val="Emphasis"/>
        </w:rPr>
        <w:t xml:space="preserve"> </w:t>
      </w:r>
      <w:r w:rsidR="003A1A79">
        <w:rPr>
          <w:rStyle w:val="Emphasis"/>
        </w:rPr>
        <w:t>e</w:t>
      </w:r>
      <w:r w:rsidR="003A1A79">
        <w:rPr>
          <w:rStyle w:val="Emphasis"/>
        </w:rPr>
        <w:noBreakHyphen/>
      </w:r>
      <w:r w:rsidRPr="003113F6">
        <w:rPr>
          <w:rStyle w:val="Emphasis"/>
        </w:rPr>
        <w:t xml:space="preserve">Government Strategy, Responsive Government: A New Service Agenda </w:t>
      </w:r>
      <w:r w:rsidRPr="003113F6">
        <w:t>stated that:</w:t>
      </w:r>
    </w:p>
    <w:p w14:paraId="48631006" w14:textId="77777777" w:rsidR="003113F6" w:rsidRPr="003113F6" w:rsidRDefault="003113F6" w:rsidP="003113F6">
      <w:pPr>
        <w:pStyle w:val="NormalIndented"/>
        <w:rPr>
          <w:rStyle w:val="Emphasis"/>
        </w:rPr>
      </w:pPr>
      <w:r w:rsidRPr="003113F6">
        <w:rPr>
          <w:rStyle w:val="Emphasis"/>
        </w:rPr>
        <w:t>“Through effective use of technology, the government will improve its structures and processes. Online, electronic and voic</w:t>
      </w:r>
      <w:r w:rsidR="003A1A79">
        <w:rPr>
          <w:rStyle w:val="Emphasis"/>
        </w:rPr>
        <w:t>e</w:t>
      </w:r>
      <w:r w:rsidR="003A1A79">
        <w:rPr>
          <w:rStyle w:val="Emphasis"/>
        </w:rPr>
        <w:noBreakHyphen/>
      </w:r>
      <w:r w:rsidRPr="003113F6">
        <w:rPr>
          <w:rStyle w:val="Emphasis"/>
        </w:rPr>
        <w:t>based services will be fully integrated into government service delivery. Electronic delivery will underpin all other delivery channels, ensuring a consistent base to all activities and providing consistent service no matter how government is approached.”</w:t>
      </w:r>
    </w:p>
    <w:p w14:paraId="1B6A83BC" w14:textId="77777777" w:rsidR="003113F6" w:rsidRDefault="003113F6" w:rsidP="003113F6">
      <w:r w:rsidRPr="009968BB">
        <w:t>The business conducted over these channels ranges from providing general information to users of government services, receiving applications and payments to accepting the lodgement of reports and tenders and providing benefits to citizens and businesses.</w:t>
      </w:r>
    </w:p>
    <w:p w14:paraId="604C76B2" w14:textId="77777777" w:rsidR="003113F6" w:rsidRDefault="003113F6" w:rsidP="003113F6">
      <w:r w:rsidRPr="009968BB">
        <w:t>Frequently these transactions require that each party has confidence in the identity, and in some cases the authority, of the other party.</w:t>
      </w:r>
      <w:r>
        <w:t xml:space="preserve"> </w:t>
      </w:r>
      <w:r w:rsidRPr="009968BB">
        <w:t>Without this assurance unauthorised transactions may be executed, sensitive information may be released to unauthorised personnel or individuals or businesses may be subject to fraudulent activity by web sites masquerading as legitimate government entities.</w:t>
      </w:r>
    </w:p>
    <w:p w14:paraId="70727BBA" w14:textId="77777777" w:rsidR="003113F6" w:rsidRDefault="003113F6" w:rsidP="003113F6">
      <w:r w:rsidRPr="009968BB">
        <w:t xml:space="preserve">The </w:t>
      </w:r>
      <w:r w:rsidRPr="00EB6D1C">
        <w:rPr>
          <w:rStyle w:val="IntenseEmphasis"/>
        </w:rPr>
        <w:t xml:space="preserve">National </w:t>
      </w:r>
      <w:r w:rsidR="003A1A79">
        <w:rPr>
          <w:rStyle w:val="IntenseEmphasis"/>
        </w:rPr>
        <w:t>e</w:t>
      </w:r>
      <w:r w:rsidR="003A1A79">
        <w:rPr>
          <w:rStyle w:val="IntenseEmphasis"/>
        </w:rPr>
        <w:noBreakHyphen/>
      </w:r>
      <w:r w:rsidRPr="00EB6D1C">
        <w:rPr>
          <w:rStyle w:val="IntenseEmphasis"/>
        </w:rPr>
        <w:t>Authentication Framework</w:t>
      </w:r>
      <w:r w:rsidRPr="009968BB">
        <w:t xml:space="preserve"> (</w:t>
      </w:r>
      <w:proofErr w:type="spellStart"/>
      <w:r w:rsidRPr="009968BB">
        <w:t>NeAF</w:t>
      </w:r>
      <w:proofErr w:type="spellEnd"/>
      <w:r w:rsidRPr="009968BB">
        <w:t xml:space="preserve">) will assist agencies, jurisdictions and sectors in </w:t>
      </w:r>
      <w:r w:rsidRPr="00EB6D1C">
        <w:rPr>
          <w:rStyle w:val="IntenseEmphasis"/>
        </w:rPr>
        <w:t>authenticating the identity</w:t>
      </w:r>
      <w:r w:rsidRPr="009968BB">
        <w:t xml:space="preserve"> of the other party to a desired level of assurance or confidence.</w:t>
      </w:r>
      <w:r>
        <w:t xml:space="preserve"> </w:t>
      </w:r>
      <w:r w:rsidRPr="009968BB">
        <w:t xml:space="preserve">The </w:t>
      </w:r>
      <w:proofErr w:type="spellStart"/>
      <w:r w:rsidRPr="009968BB">
        <w:t>NeAF</w:t>
      </w:r>
      <w:proofErr w:type="spellEnd"/>
      <w:r w:rsidRPr="009968BB">
        <w:t xml:space="preserve"> encompasses the electronic authentication (</w:t>
      </w:r>
      <w:r w:rsidR="003A1A79">
        <w:t>e</w:t>
      </w:r>
      <w:r w:rsidR="003A1A79">
        <w:noBreakHyphen/>
      </w:r>
      <w:r>
        <w:t>Authentication</w:t>
      </w:r>
      <w:r w:rsidRPr="009968BB">
        <w:t xml:space="preserve">) of the identity of individuals and businesses dealing with the government, on one side of the transaction, as well as the authentication of government websites on the other side. The </w:t>
      </w:r>
      <w:proofErr w:type="spellStart"/>
      <w:r w:rsidRPr="009968BB">
        <w:t>NeAF</w:t>
      </w:r>
      <w:proofErr w:type="spellEnd"/>
      <w:r w:rsidRPr="009968BB">
        <w:t xml:space="preserve"> positions </w:t>
      </w:r>
      <w:r w:rsidR="003A1A79">
        <w:t>e</w:t>
      </w:r>
      <w:r w:rsidR="003A1A79">
        <w:noBreakHyphen/>
      </w:r>
      <w:r>
        <w:t>Authentication</w:t>
      </w:r>
      <w:r w:rsidRPr="009968BB">
        <w:t xml:space="preserve"> within the broader context of an agency’s approach to identity and risk management and provides guidance on developing the processes and technology required to provide the desired level of confidence.</w:t>
      </w:r>
    </w:p>
    <w:p w14:paraId="73019271" w14:textId="77777777" w:rsidR="003113F6" w:rsidRDefault="003A1A79" w:rsidP="003113F6">
      <w:pPr>
        <w:rPr>
          <w:lang w:val="en"/>
        </w:rPr>
      </w:pPr>
      <w:bookmarkStart w:id="1" w:name="_Toc206405960"/>
      <w:r>
        <w:rPr>
          <w:lang w:val="en"/>
        </w:rPr>
        <w:t>e</w:t>
      </w:r>
      <w:r>
        <w:rPr>
          <w:lang w:val="en"/>
        </w:rPr>
        <w:noBreakHyphen/>
      </w:r>
      <w:r w:rsidR="003113F6" w:rsidRPr="009968BB">
        <w:rPr>
          <w:lang w:val="en"/>
        </w:rPr>
        <w:t xml:space="preserve">Authentication is effectively accomplished using something the user knows (e.g. password, secret questions </w:t>
      </w:r>
      <w:r w:rsidR="003113F6">
        <w:rPr>
          <w:lang w:val="en"/>
        </w:rPr>
        <w:t>and</w:t>
      </w:r>
      <w:r w:rsidR="003113F6" w:rsidRPr="009968BB">
        <w:rPr>
          <w:lang w:val="en"/>
        </w:rPr>
        <w:t xml:space="preserve"> answers), something the user has (e.g. security token) or something the user is (e.g. biometric) or a combination of these.</w:t>
      </w:r>
    </w:p>
    <w:p w14:paraId="1E5BED44" w14:textId="77777777" w:rsidR="003113F6" w:rsidRPr="009968BB" w:rsidRDefault="003113F6" w:rsidP="003113F6">
      <w:r w:rsidRPr="009968BB">
        <w:t xml:space="preserve">While the Framework supports an agency-specific model where each agency develops its own, separate, technology solution, it recognises and accommodates broader sectoral and whole of government </w:t>
      </w:r>
      <w:r w:rsidR="003A1A79">
        <w:t>e</w:t>
      </w:r>
      <w:r w:rsidR="003A1A79">
        <w:noBreakHyphen/>
      </w:r>
      <w:r>
        <w:t>Authentication</w:t>
      </w:r>
      <w:r w:rsidRPr="009968BB">
        <w:t xml:space="preserve"> initiatives.</w:t>
      </w:r>
      <w:r>
        <w:t xml:space="preserve"> </w:t>
      </w:r>
      <w:r w:rsidRPr="009968BB">
        <w:t>These are supported through the r</w:t>
      </w:r>
      <w:r w:rsidR="003A1A79">
        <w:t>e</w:t>
      </w:r>
      <w:r w:rsidR="003A1A79">
        <w:noBreakHyphen/>
      </w:r>
      <w:r w:rsidRPr="009968BB">
        <w:t>use of existing authentication credentials and consideration of a variety of identity management frameworks.</w:t>
      </w:r>
      <w:r>
        <w:t xml:space="preserve"> </w:t>
      </w:r>
      <w:r w:rsidRPr="009968BB">
        <w:t xml:space="preserve">Adoption of the </w:t>
      </w:r>
      <w:proofErr w:type="spellStart"/>
      <w:r w:rsidRPr="009968BB">
        <w:t>NeAF</w:t>
      </w:r>
      <w:proofErr w:type="spellEnd"/>
      <w:r w:rsidRPr="009968BB">
        <w:t xml:space="preserve"> across all tiers of government will minimise duplication of effort and achieve consistency of authentication approaches within and across jurisdictional boundaries.</w:t>
      </w:r>
      <w:r>
        <w:t xml:space="preserve"> </w:t>
      </w:r>
      <w:r w:rsidRPr="009968BB">
        <w:t>This will maximise the efficiency and effectiveness of electronic service delivery by Australian government jurisdictions as well as providing scope for reducing the costs to the community of interacting electronically with government.</w:t>
      </w:r>
    </w:p>
    <w:p w14:paraId="47AA190D" w14:textId="77777777" w:rsidR="003113F6" w:rsidRDefault="003113F6" w:rsidP="003113F6">
      <w:r w:rsidRPr="009968BB">
        <w:t>The Framework is endorsed by the Australian On</w:t>
      </w:r>
      <w:r>
        <w:t>line and Communications Council</w:t>
      </w:r>
      <w:r w:rsidRPr="009968BB">
        <w:t>, which operates as the peak ministerial forum across Australia on strategic approaches to information and communications technology issues.</w:t>
      </w:r>
    </w:p>
    <w:p w14:paraId="638FEF46" w14:textId="77777777" w:rsidR="003113F6" w:rsidRDefault="003113F6" w:rsidP="00EB6D1C">
      <w:r>
        <w:br w:type="page"/>
      </w:r>
    </w:p>
    <w:p w14:paraId="23DB2B52" w14:textId="77777777" w:rsidR="003113F6" w:rsidRDefault="003113F6" w:rsidP="003113F6">
      <w:pPr>
        <w:pStyle w:val="Heading2"/>
      </w:pPr>
      <w:r w:rsidRPr="00531891">
        <w:lastRenderedPageBreak/>
        <w:t>Objectives</w:t>
      </w:r>
    </w:p>
    <w:bookmarkEnd w:id="1"/>
    <w:p w14:paraId="2A19A8EE" w14:textId="77777777" w:rsidR="003113F6" w:rsidRDefault="003113F6" w:rsidP="003113F6">
      <w:r w:rsidRPr="00531891">
        <w:t xml:space="preserve">There are five key objectives of the </w:t>
      </w:r>
      <w:proofErr w:type="spellStart"/>
      <w:r w:rsidRPr="00531891">
        <w:t>NeAF</w:t>
      </w:r>
      <w:proofErr w:type="spellEnd"/>
      <w:r w:rsidRPr="00531891">
        <w:t>:</w:t>
      </w:r>
    </w:p>
    <w:p w14:paraId="35727885" w14:textId="77777777" w:rsidR="003113F6" w:rsidRPr="00531891" w:rsidRDefault="003113F6" w:rsidP="003113F6">
      <w:pPr>
        <w:pStyle w:val="NumberedList1"/>
      </w:pPr>
      <w:r w:rsidRPr="00531891">
        <w:t xml:space="preserve">to ensure that approaches to </w:t>
      </w:r>
      <w:r w:rsidR="003A1A79">
        <w:t>e</w:t>
      </w:r>
      <w:r w:rsidR="003A1A79">
        <w:noBreakHyphen/>
      </w:r>
      <w:r w:rsidRPr="00531891">
        <w:t xml:space="preserve">Authentication of identity balance the </w:t>
      </w:r>
      <w:r w:rsidRPr="00531891">
        <w:rPr>
          <w:b/>
          <w:i/>
        </w:rPr>
        <w:t>underlying risk</w:t>
      </w:r>
      <w:r w:rsidRPr="00531891">
        <w:t xml:space="preserve"> with the need for </w:t>
      </w:r>
      <w:r w:rsidRPr="00531891">
        <w:rPr>
          <w:b/>
          <w:i/>
        </w:rPr>
        <w:t>ease of use</w:t>
      </w:r>
      <w:r w:rsidRPr="00531891">
        <w:t xml:space="preserve"> on behalf of both parties</w:t>
      </w:r>
    </w:p>
    <w:p w14:paraId="038659CA" w14:textId="77777777" w:rsidR="003113F6" w:rsidRPr="00531891" w:rsidRDefault="003113F6" w:rsidP="003113F6">
      <w:pPr>
        <w:pStyle w:val="NumberedList1"/>
      </w:pPr>
      <w:r w:rsidRPr="00531891">
        <w:t xml:space="preserve">to enhance </w:t>
      </w:r>
      <w:r w:rsidRPr="00531891">
        <w:rPr>
          <w:b/>
          <w:i/>
        </w:rPr>
        <w:t>community confidence</w:t>
      </w:r>
      <w:r w:rsidRPr="00531891">
        <w:t xml:space="preserve"> in electronic dealings with government agencies</w:t>
      </w:r>
    </w:p>
    <w:p w14:paraId="542F5B32" w14:textId="77777777" w:rsidR="003113F6" w:rsidRPr="00531891" w:rsidRDefault="003113F6" w:rsidP="003113F6">
      <w:pPr>
        <w:pStyle w:val="NumberedList1"/>
      </w:pPr>
      <w:r w:rsidRPr="00531891">
        <w:t xml:space="preserve">to provide </w:t>
      </w:r>
      <w:r w:rsidRPr="00531891">
        <w:rPr>
          <w:b/>
          <w:i/>
        </w:rPr>
        <w:t>consistency in government processes</w:t>
      </w:r>
      <w:r w:rsidRPr="00531891">
        <w:t xml:space="preserve"> for </w:t>
      </w:r>
      <w:r w:rsidR="003A1A79">
        <w:t>e</w:t>
      </w:r>
      <w:r w:rsidR="003A1A79">
        <w:noBreakHyphen/>
      </w:r>
      <w:r w:rsidRPr="00531891">
        <w:t>Authentication of identity in order to increase efficiency and maximise the eas</w:t>
      </w:r>
      <w:r w:rsidR="003A1A79">
        <w:t>e</w:t>
      </w:r>
      <w:r w:rsidR="003A1A79">
        <w:noBreakHyphen/>
      </w:r>
      <w:r w:rsidRPr="00531891">
        <w:t>of-use for all parties involved</w:t>
      </w:r>
    </w:p>
    <w:p w14:paraId="37CA6B93" w14:textId="77777777" w:rsidR="003113F6" w:rsidRPr="00531891" w:rsidRDefault="003113F6" w:rsidP="003113F6">
      <w:pPr>
        <w:pStyle w:val="NumberedList1"/>
      </w:pPr>
      <w:r w:rsidRPr="00531891">
        <w:t xml:space="preserve">to provide government agencies with the </w:t>
      </w:r>
      <w:r w:rsidRPr="00531891">
        <w:rPr>
          <w:b/>
          <w:i/>
        </w:rPr>
        <w:t>tools to determine the most appropriate approach</w:t>
      </w:r>
      <w:r w:rsidRPr="00531891">
        <w:t xml:space="preserve"> to the </w:t>
      </w:r>
      <w:r w:rsidR="003A1A79">
        <w:t>e</w:t>
      </w:r>
      <w:r w:rsidR="003A1A79">
        <w:noBreakHyphen/>
      </w:r>
      <w:r w:rsidRPr="00531891">
        <w:t>Authentication of identity; and</w:t>
      </w:r>
    </w:p>
    <w:p w14:paraId="6B8DBB25" w14:textId="77777777" w:rsidR="003113F6" w:rsidRPr="00531891" w:rsidRDefault="003113F6" w:rsidP="003113F6">
      <w:pPr>
        <w:pStyle w:val="NumberedList1"/>
      </w:pPr>
      <w:r w:rsidRPr="00531891">
        <w:t xml:space="preserve">to ensure that </w:t>
      </w:r>
      <w:r w:rsidRPr="00531891">
        <w:rPr>
          <w:b/>
          <w:i/>
        </w:rPr>
        <w:t>due diligence is applied</w:t>
      </w:r>
      <w:r w:rsidRPr="00531891">
        <w:t xml:space="preserve"> when determining these authentication approaches.</w:t>
      </w:r>
    </w:p>
    <w:p w14:paraId="375164FE" w14:textId="77777777" w:rsidR="003113F6" w:rsidRDefault="003113F6" w:rsidP="003113F6">
      <w:pPr>
        <w:pStyle w:val="Heading2"/>
      </w:pPr>
      <w:r w:rsidRPr="00531891">
        <w:t>Structure</w:t>
      </w:r>
    </w:p>
    <w:p w14:paraId="489C2323" w14:textId="77777777" w:rsidR="003113F6" w:rsidRDefault="003113F6" w:rsidP="003113F6">
      <w:r w:rsidRPr="00531891">
        <w:t xml:space="preserve">The </w:t>
      </w:r>
      <w:proofErr w:type="spellStart"/>
      <w:r w:rsidRPr="00531891">
        <w:t>NeAF</w:t>
      </w:r>
      <w:proofErr w:type="spellEnd"/>
      <w:r w:rsidRPr="00531891">
        <w:t xml:space="preserve"> comprises a set of</w:t>
      </w:r>
      <w:r w:rsidRPr="00EB6D1C">
        <w:rPr>
          <w:rStyle w:val="IntenseEmphasis"/>
        </w:rPr>
        <w:t xml:space="preserve"> principles</w:t>
      </w:r>
      <w:r w:rsidRPr="00531891">
        <w:t>, a standardised set of</w:t>
      </w:r>
      <w:r w:rsidRPr="00EB6D1C">
        <w:rPr>
          <w:rStyle w:val="IntenseEmphasis"/>
        </w:rPr>
        <w:t xml:space="preserve"> assurance levels</w:t>
      </w:r>
      <w:r w:rsidRPr="00531891">
        <w:t xml:space="preserve">, and a standardised </w:t>
      </w:r>
      <w:r w:rsidRPr="00EB6D1C">
        <w:rPr>
          <w:rStyle w:val="IntenseEmphasis"/>
        </w:rPr>
        <w:t xml:space="preserve">approach and process </w:t>
      </w:r>
      <w:r w:rsidRPr="00531891">
        <w:t xml:space="preserve">for determining assurance levels and related </w:t>
      </w:r>
      <w:r w:rsidR="003A1A79">
        <w:t>e</w:t>
      </w:r>
      <w:r w:rsidR="003A1A79">
        <w:noBreakHyphen/>
      </w:r>
      <w:r w:rsidRPr="00531891">
        <w:t>Authentication solutions.</w:t>
      </w:r>
      <w:r>
        <w:t xml:space="preserve"> </w:t>
      </w:r>
      <w:r w:rsidRPr="00531891">
        <w:t xml:space="preserve">It provides guidance on </w:t>
      </w:r>
      <w:r w:rsidRPr="00EB6D1C">
        <w:rPr>
          <w:rStyle w:val="Strong"/>
        </w:rPr>
        <w:t>models</w:t>
      </w:r>
      <w:r w:rsidRPr="00531891">
        <w:t xml:space="preserve"> for the implementation of </w:t>
      </w:r>
      <w:r w:rsidR="003A1A79">
        <w:t>e</w:t>
      </w:r>
      <w:r w:rsidR="003A1A79">
        <w:noBreakHyphen/>
      </w:r>
      <w:r w:rsidRPr="00531891">
        <w:t xml:space="preserve">Authentication solutions and planning standards for </w:t>
      </w:r>
      <w:r w:rsidRPr="00EB6D1C">
        <w:rPr>
          <w:rStyle w:val="Strong"/>
        </w:rPr>
        <w:t>website authentication</w:t>
      </w:r>
      <w:r w:rsidRPr="00531891">
        <w:t>.</w:t>
      </w:r>
    </w:p>
    <w:p w14:paraId="28FCDEC4" w14:textId="77777777" w:rsidR="003113F6" w:rsidRDefault="003113F6" w:rsidP="003113F6">
      <w:pPr>
        <w:pStyle w:val="Heading2"/>
      </w:pPr>
      <w:bookmarkStart w:id="2" w:name="_Toc206405963"/>
      <w:r w:rsidRPr="00531891">
        <w:t>Principles</w:t>
      </w:r>
      <w:bookmarkEnd w:id="2"/>
    </w:p>
    <w:p w14:paraId="07FAD202" w14:textId="77777777" w:rsidR="003113F6" w:rsidRPr="009968BB" w:rsidRDefault="003113F6" w:rsidP="003113F6">
      <w:r w:rsidRPr="009968BB">
        <w:t xml:space="preserve">The </w:t>
      </w:r>
      <w:proofErr w:type="spellStart"/>
      <w:r w:rsidRPr="009968BB">
        <w:t>NeAF</w:t>
      </w:r>
      <w:proofErr w:type="spellEnd"/>
      <w:r w:rsidRPr="009968BB">
        <w:t xml:space="preserve"> identifies a set of key principles that are to be applied by government agencies as they develop systems for </w:t>
      </w:r>
      <w:r w:rsidR="003A1A79">
        <w:t>e</w:t>
      </w:r>
      <w:r w:rsidR="003A1A79">
        <w:noBreakHyphen/>
      </w:r>
      <w:r>
        <w:t>A</w:t>
      </w:r>
      <w:r w:rsidRPr="009968BB">
        <w:t>uthentication.</w:t>
      </w:r>
      <w:r>
        <w:t xml:space="preserve"> </w:t>
      </w:r>
      <w:r w:rsidRPr="009968BB">
        <w:t>These principles are:</w:t>
      </w:r>
    </w:p>
    <w:p w14:paraId="3C57512C" w14:textId="77777777" w:rsidR="003113F6" w:rsidRPr="009968BB" w:rsidRDefault="003113F6" w:rsidP="003113F6">
      <w:pPr>
        <w:pStyle w:val="NumberedList1"/>
        <w:numPr>
          <w:ilvl w:val="0"/>
          <w:numId w:val="23"/>
        </w:numPr>
      </w:pPr>
      <w:r>
        <w:t>e</w:t>
      </w:r>
      <w:r w:rsidRPr="009968BB">
        <w:t>nsu</w:t>
      </w:r>
      <w:r>
        <w:t>re transparency for all parties</w:t>
      </w:r>
    </w:p>
    <w:p w14:paraId="7CD1D288" w14:textId="77777777" w:rsidR="003113F6" w:rsidRPr="009968BB" w:rsidRDefault="003113F6" w:rsidP="003113F6">
      <w:pPr>
        <w:pStyle w:val="NumberedList1"/>
      </w:pPr>
      <w:r>
        <w:t>t</w:t>
      </w:r>
      <w:r w:rsidRPr="009968BB">
        <w:t>ake a stand</w:t>
      </w:r>
      <w:r>
        <w:t>ard approach to risk management</w:t>
      </w:r>
    </w:p>
    <w:p w14:paraId="1886AB89" w14:textId="77777777" w:rsidR="003113F6" w:rsidRPr="009968BB" w:rsidRDefault="003113F6" w:rsidP="003113F6">
      <w:pPr>
        <w:pStyle w:val="NumberedList1"/>
      </w:pPr>
      <w:r>
        <w:t>s</w:t>
      </w:r>
      <w:r w:rsidRPr="009968BB">
        <w:t>trive for consist</w:t>
      </w:r>
      <w:r>
        <w:t>ency across government agencies</w:t>
      </w:r>
    </w:p>
    <w:p w14:paraId="016F71A1" w14:textId="77777777" w:rsidR="003113F6" w:rsidRPr="009968BB" w:rsidRDefault="003113F6" w:rsidP="003113F6">
      <w:pPr>
        <w:pStyle w:val="NumberedList1"/>
      </w:pPr>
      <w:r>
        <w:t>m</w:t>
      </w:r>
      <w:r w:rsidRPr="009968BB">
        <w:t>aximise the interoperab</w:t>
      </w:r>
      <w:r>
        <w:t>ility between different systems</w:t>
      </w:r>
    </w:p>
    <w:p w14:paraId="2B66CC36" w14:textId="77777777" w:rsidR="003113F6" w:rsidRPr="009968BB" w:rsidRDefault="003113F6" w:rsidP="003113F6">
      <w:pPr>
        <w:pStyle w:val="NumberedList1"/>
      </w:pPr>
      <w:r>
        <w:t>b</w:t>
      </w:r>
      <w:r w:rsidRPr="009968BB">
        <w:t>e responsi</w:t>
      </w:r>
      <w:r>
        <w:t>ve and accountable to end-users</w:t>
      </w:r>
    </w:p>
    <w:p w14:paraId="21B4F93B" w14:textId="77777777" w:rsidR="003113F6" w:rsidRPr="009968BB" w:rsidRDefault="003113F6" w:rsidP="003113F6">
      <w:pPr>
        <w:pStyle w:val="NumberedList1"/>
      </w:pPr>
      <w:r>
        <w:t>b</w:t>
      </w:r>
      <w:r w:rsidRPr="009968BB">
        <w:t>alance trust, security</w:t>
      </w:r>
      <w:r>
        <w:t xml:space="preserve"> and ease of use</w:t>
      </w:r>
    </w:p>
    <w:p w14:paraId="36CA0199" w14:textId="77777777" w:rsidR="003113F6" w:rsidRPr="009968BB" w:rsidRDefault="003113F6" w:rsidP="003113F6">
      <w:pPr>
        <w:pStyle w:val="NumberedList1"/>
      </w:pPr>
      <w:r>
        <w:t>r</w:t>
      </w:r>
      <w:r w:rsidRPr="009968BB">
        <w:t>espect</w:t>
      </w:r>
      <w:r>
        <w:t xml:space="preserve"> the privacy of all individuals</w:t>
      </w:r>
    </w:p>
    <w:p w14:paraId="7EAC0C67" w14:textId="77777777" w:rsidR="003113F6" w:rsidRPr="009968BB" w:rsidRDefault="003113F6" w:rsidP="003113F6">
      <w:pPr>
        <w:pStyle w:val="NumberedList1"/>
      </w:pPr>
      <w:r>
        <w:t>p</w:t>
      </w:r>
      <w:r w:rsidRPr="009968BB">
        <w:t>rovide end-users with an appropriate choi</w:t>
      </w:r>
      <w:r>
        <w:t>ce of authentication mechanisms</w:t>
      </w:r>
    </w:p>
    <w:p w14:paraId="2964CE65" w14:textId="77777777" w:rsidR="003113F6" w:rsidRPr="009968BB" w:rsidRDefault="003113F6" w:rsidP="003113F6">
      <w:pPr>
        <w:pStyle w:val="NumberedList1"/>
      </w:pPr>
      <w:r>
        <w:t>b</w:t>
      </w:r>
      <w:r w:rsidRPr="009968BB">
        <w:t>e flexible in supporting a range of approach</w:t>
      </w:r>
      <w:r>
        <w:t>es to electronic authentication</w:t>
      </w:r>
    </w:p>
    <w:p w14:paraId="1B4EBFA7" w14:textId="77777777" w:rsidR="003113F6" w:rsidRPr="009968BB" w:rsidRDefault="003113F6" w:rsidP="003113F6">
      <w:pPr>
        <w:pStyle w:val="NumberedList1"/>
      </w:pPr>
      <w:r>
        <w:t>e</w:t>
      </w:r>
      <w:r w:rsidRPr="009968BB">
        <w:t>nsure solutions are both cost effective and convenient.</w:t>
      </w:r>
    </w:p>
    <w:p w14:paraId="1F3D9221" w14:textId="77777777" w:rsidR="008935A4" w:rsidRDefault="008935A4">
      <w:pPr>
        <w:suppressAutoHyphens w:val="0"/>
        <w:spacing w:before="0" w:line="440" w:lineRule="atLeast"/>
        <w:rPr>
          <w:rFonts w:asciiTheme="majorHAnsi" w:eastAsiaTheme="majorEastAsia" w:hAnsiTheme="majorHAnsi" w:cstheme="majorBidi"/>
          <w:b/>
          <w:bCs/>
          <w:sz w:val="40"/>
          <w:szCs w:val="26"/>
        </w:rPr>
      </w:pPr>
      <w:bookmarkStart w:id="3" w:name="_Toc206405966"/>
      <w:r>
        <w:br w:type="page"/>
      </w:r>
    </w:p>
    <w:p w14:paraId="371B1DAB" w14:textId="19A9B97C" w:rsidR="003113F6" w:rsidRPr="00531891" w:rsidRDefault="003A1A79" w:rsidP="003113F6">
      <w:pPr>
        <w:pStyle w:val="Heading2"/>
      </w:pPr>
      <w:r>
        <w:lastRenderedPageBreak/>
        <w:t>e</w:t>
      </w:r>
      <w:r>
        <w:noBreakHyphen/>
      </w:r>
      <w:r w:rsidR="003113F6" w:rsidRPr="00531891">
        <w:t>Authentication Assurance Levels and Solutions</w:t>
      </w:r>
    </w:p>
    <w:p w14:paraId="264E0536" w14:textId="77777777" w:rsidR="003113F6" w:rsidRPr="00531891" w:rsidRDefault="003A1A79" w:rsidP="003113F6">
      <w:r>
        <w:t>e</w:t>
      </w:r>
      <w:r>
        <w:noBreakHyphen/>
      </w:r>
      <w:r w:rsidR="003113F6" w:rsidRPr="00531891">
        <w:t>Authentication represents the process that delivers (a level of) assurance of the assertion of identity made by a user.</w:t>
      </w:r>
      <w:r w:rsidR="003113F6">
        <w:t xml:space="preserve"> </w:t>
      </w:r>
      <w:r w:rsidR="003113F6" w:rsidRPr="00531891">
        <w:t>The level of assurance required will be dependent upon the level of risk</w:t>
      </w:r>
      <w:r w:rsidR="003113F6" w:rsidRPr="00EB6D1C">
        <w:rPr>
          <w:rStyle w:val="FootnoteReference"/>
        </w:rPr>
        <w:footnoteReference w:id="1"/>
      </w:r>
      <w:r w:rsidR="003113F6" w:rsidRPr="00531891">
        <w:t xml:space="preserve"> associated with the transactions that the user will undertake, and the mitigating factors, other than </w:t>
      </w:r>
      <w:r>
        <w:t>e</w:t>
      </w:r>
      <w:r>
        <w:noBreakHyphen/>
      </w:r>
      <w:r w:rsidR="003113F6" w:rsidRPr="00531891">
        <w:t>Authentication that will reduce this risk.</w:t>
      </w:r>
      <w:r w:rsidR="003113F6">
        <w:t xml:space="preserve"> </w:t>
      </w:r>
      <w:r w:rsidR="003113F6" w:rsidRPr="00531891">
        <w:t>A range of assurance levels are possible.</w:t>
      </w:r>
      <w:r w:rsidR="003113F6">
        <w:t xml:space="preserve"> </w:t>
      </w:r>
      <w:r w:rsidR="003113F6" w:rsidRPr="00531891">
        <w:t xml:space="preserve">In </w:t>
      </w:r>
      <w:proofErr w:type="spellStart"/>
      <w:r w:rsidR="003113F6" w:rsidRPr="00531891">
        <w:t>NeAF</w:t>
      </w:r>
      <w:proofErr w:type="spellEnd"/>
      <w:r w:rsidR="003113F6" w:rsidRPr="00531891">
        <w:t xml:space="preserve"> five assurance levels are prescribed, calibrated from minimal through high.</w:t>
      </w:r>
    </w:p>
    <w:p w14:paraId="1A2AA529" w14:textId="21F16D5B" w:rsidR="003113F6" w:rsidRPr="00531891" w:rsidRDefault="003113F6" w:rsidP="003113F6">
      <w:bookmarkStart w:id="4" w:name="_Ref208290429"/>
      <w:bookmarkStart w:id="5" w:name="_Ref206728984"/>
      <w:r w:rsidRPr="00531891">
        <w:t xml:space="preserve">The relationship between severity of ‘threat impact’ and the level of assurance required from </w:t>
      </w:r>
      <w:r w:rsidR="003A1A79">
        <w:t>e</w:t>
      </w:r>
      <w:r w:rsidR="003A1A79">
        <w:noBreakHyphen/>
      </w:r>
      <w:r w:rsidRPr="00531891">
        <w:t xml:space="preserve">Authentication as per </w:t>
      </w:r>
      <w:proofErr w:type="spellStart"/>
      <w:r w:rsidRPr="00531891">
        <w:t>NeAF</w:t>
      </w:r>
      <w:proofErr w:type="spellEnd"/>
      <w:r w:rsidRPr="00531891">
        <w:t xml:space="preserve"> is illustrated below</w:t>
      </w:r>
      <w:r>
        <w:t xml:space="preserve"> in</w:t>
      </w:r>
      <w:r w:rsidR="00A70449">
        <w:t xml:space="preserve"> </w:t>
      </w:r>
      <w:r w:rsidR="00A70449">
        <w:fldChar w:fldCharType="begin"/>
      </w:r>
      <w:r w:rsidR="00A70449">
        <w:instrText xml:space="preserve"> REF _Ref430767181 \h </w:instrText>
      </w:r>
      <w:r w:rsidR="00A70449">
        <w:fldChar w:fldCharType="separate"/>
      </w:r>
      <w:r w:rsidR="00750561" w:rsidRPr="00A70449">
        <w:t xml:space="preserve">Table </w:t>
      </w:r>
      <w:r w:rsidR="00750561">
        <w:rPr>
          <w:noProof/>
        </w:rPr>
        <w:t>1</w:t>
      </w:r>
      <w:r w:rsidR="00A70449">
        <w:fldChar w:fldCharType="end"/>
      </w:r>
      <w:r w:rsidRPr="00531891">
        <w:t>.</w:t>
      </w:r>
    </w:p>
    <w:p w14:paraId="710EE6BD" w14:textId="747C99A7" w:rsidR="00A70449" w:rsidRPr="00A70449" w:rsidRDefault="00A70449" w:rsidP="00A70449">
      <w:pPr>
        <w:pStyle w:val="Caption"/>
      </w:pPr>
      <w:bookmarkStart w:id="6" w:name="_Ref430767181"/>
      <w:r w:rsidRPr="00A70449">
        <w:t xml:space="preserve">Table </w:t>
      </w:r>
      <w:fldSimple w:instr=" SEQ Table \* ARABIC ">
        <w:r w:rsidR="00750561">
          <w:rPr>
            <w:noProof/>
          </w:rPr>
          <w:t>1</w:t>
        </w:r>
      </w:fldSimple>
      <w:bookmarkEnd w:id="6"/>
      <w:r w:rsidRPr="00A70449">
        <w:t xml:space="preserve"> Threat Impact and Authentication Assurance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748"/>
        <w:gridCol w:w="1430"/>
        <w:gridCol w:w="1352"/>
        <w:gridCol w:w="1455"/>
        <w:gridCol w:w="1560"/>
        <w:gridCol w:w="1515"/>
      </w:tblGrid>
      <w:tr w:rsidR="003113F6" w:rsidRPr="009968BB" w14:paraId="1E30F347" w14:textId="77777777" w:rsidTr="00A70449">
        <w:trPr>
          <w:trHeight w:val="113"/>
          <w:tblHeader/>
        </w:trPr>
        <w:tc>
          <w:tcPr>
            <w:tcW w:w="965" w:type="pct"/>
          </w:tcPr>
          <w:bookmarkEnd w:id="4"/>
          <w:bookmarkEnd w:id="5"/>
          <w:p w14:paraId="63B6E07C" w14:textId="77777777" w:rsidR="003113F6" w:rsidRPr="003113F6" w:rsidRDefault="003113F6" w:rsidP="003113F6">
            <w:pPr>
              <w:pStyle w:val="Normal-TableText"/>
              <w:rPr>
                <w:rStyle w:val="Strong"/>
              </w:rPr>
            </w:pPr>
            <w:r w:rsidRPr="003113F6">
              <w:rPr>
                <w:rStyle w:val="Strong"/>
              </w:rPr>
              <w:t>Threat impact</w:t>
            </w:r>
          </w:p>
        </w:tc>
        <w:tc>
          <w:tcPr>
            <w:tcW w:w="789" w:type="pct"/>
          </w:tcPr>
          <w:p w14:paraId="79CEF0C0" w14:textId="77777777" w:rsidR="003113F6" w:rsidRPr="003113F6" w:rsidRDefault="003113F6" w:rsidP="00A70449">
            <w:pPr>
              <w:pStyle w:val="Normal-TableText"/>
              <w:jc w:val="center"/>
              <w:rPr>
                <w:rStyle w:val="Strong"/>
              </w:rPr>
            </w:pPr>
            <w:r w:rsidRPr="003113F6">
              <w:rPr>
                <w:rStyle w:val="Strong"/>
              </w:rPr>
              <w:t>Insignificant</w:t>
            </w:r>
          </w:p>
        </w:tc>
        <w:tc>
          <w:tcPr>
            <w:tcW w:w="746" w:type="pct"/>
          </w:tcPr>
          <w:p w14:paraId="12F6F1AF" w14:textId="77777777" w:rsidR="003113F6" w:rsidRPr="003113F6" w:rsidRDefault="003113F6" w:rsidP="00A70449">
            <w:pPr>
              <w:pStyle w:val="Normal-TableText"/>
              <w:jc w:val="center"/>
              <w:rPr>
                <w:rStyle w:val="Strong"/>
              </w:rPr>
            </w:pPr>
            <w:r w:rsidRPr="003113F6">
              <w:rPr>
                <w:rStyle w:val="Strong"/>
              </w:rPr>
              <w:t>Minor</w:t>
            </w:r>
          </w:p>
        </w:tc>
        <w:tc>
          <w:tcPr>
            <w:tcW w:w="803" w:type="pct"/>
          </w:tcPr>
          <w:p w14:paraId="26A28AD6" w14:textId="77777777" w:rsidR="003113F6" w:rsidRPr="003113F6" w:rsidRDefault="003113F6" w:rsidP="00A70449">
            <w:pPr>
              <w:pStyle w:val="Normal-TableText"/>
              <w:jc w:val="center"/>
              <w:rPr>
                <w:rStyle w:val="Strong"/>
              </w:rPr>
            </w:pPr>
            <w:r w:rsidRPr="003113F6">
              <w:rPr>
                <w:rStyle w:val="Strong"/>
              </w:rPr>
              <w:t>Moderate</w:t>
            </w:r>
          </w:p>
        </w:tc>
        <w:tc>
          <w:tcPr>
            <w:tcW w:w="861" w:type="pct"/>
          </w:tcPr>
          <w:p w14:paraId="44B4F96D" w14:textId="77777777" w:rsidR="003113F6" w:rsidRPr="003113F6" w:rsidRDefault="003113F6" w:rsidP="00A70449">
            <w:pPr>
              <w:pStyle w:val="Normal-TableText"/>
              <w:jc w:val="center"/>
              <w:rPr>
                <w:rStyle w:val="Strong"/>
              </w:rPr>
            </w:pPr>
            <w:r w:rsidRPr="003113F6">
              <w:rPr>
                <w:rStyle w:val="Strong"/>
              </w:rPr>
              <w:t>Major</w:t>
            </w:r>
          </w:p>
        </w:tc>
        <w:tc>
          <w:tcPr>
            <w:tcW w:w="836" w:type="pct"/>
          </w:tcPr>
          <w:p w14:paraId="6DD1A196" w14:textId="77777777" w:rsidR="003113F6" w:rsidRPr="003113F6" w:rsidRDefault="003113F6" w:rsidP="00A70449">
            <w:pPr>
              <w:pStyle w:val="Normal-TableText"/>
              <w:jc w:val="center"/>
              <w:rPr>
                <w:rStyle w:val="Strong"/>
              </w:rPr>
            </w:pPr>
            <w:r w:rsidRPr="003113F6">
              <w:rPr>
                <w:rStyle w:val="Strong"/>
              </w:rPr>
              <w:t>Catastrophic</w:t>
            </w:r>
          </w:p>
        </w:tc>
      </w:tr>
      <w:tr w:rsidR="003113F6" w:rsidRPr="009968BB" w14:paraId="7ECA7269" w14:textId="77777777" w:rsidTr="00A70449">
        <w:trPr>
          <w:trHeight w:val="113"/>
          <w:tblHeader/>
        </w:trPr>
        <w:tc>
          <w:tcPr>
            <w:tcW w:w="965" w:type="pct"/>
          </w:tcPr>
          <w:p w14:paraId="56F1A0F7" w14:textId="77777777" w:rsidR="003113F6" w:rsidRPr="0023424F" w:rsidRDefault="003A1A79" w:rsidP="003113F6">
            <w:pPr>
              <w:pStyle w:val="Normal-TableText"/>
            </w:pPr>
            <w:r>
              <w:t>e</w:t>
            </w:r>
            <w:r>
              <w:noBreakHyphen/>
            </w:r>
            <w:r w:rsidR="003113F6" w:rsidRPr="0023424F">
              <w:t>Authentication assurance level</w:t>
            </w:r>
          </w:p>
        </w:tc>
        <w:tc>
          <w:tcPr>
            <w:tcW w:w="789" w:type="pct"/>
            <w:shd w:val="clear" w:color="auto" w:fill="F2F2F2"/>
          </w:tcPr>
          <w:p w14:paraId="0EB90A16" w14:textId="77777777" w:rsidR="003113F6" w:rsidRPr="0023424F" w:rsidRDefault="003113F6" w:rsidP="00A70449">
            <w:pPr>
              <w:pStyle w:val="Normal-TableText"/>
              <w:jc w:val="center"/>
            </w:pPr>
            <w:r w:rsidRPr="0023424F">
              <w:t>Level 0</w:t>
            </w:r>
            <w:r>
              <w:t xml:space="preserve"> – </w:t>
            </w:r>
            <w:r w:rsidR="00A70449">
              <w:br/>
            </w:r>
            <w:r w:rsidRPr="0023424F">
              <w:t>Null</w:t>
            </w:r>
          </w:p>
        </w:tc>
        <w:tc>
          <w:tcPr>
            <w:tcW w:w="746" w:type="pct"/>
            <w:shd w:val="clear" w:color="auto" w:fill="00B050"/>
          </w:tcPr>
          <w:p w14:paraId="6BC4A61C" w14:textId="77777777" w:rsidR="003113F6" w:rsidRPr="0023424F" w:rsidRDefault="003113F6" w:rsidP="00A70449">
            <w:pPr>
              <w:pStyle w:val="Normal-TableText"/>
              <w:jc w:val="center"/>
              <w:rPr>
                <w:color w:val="FFFFFF"/>
              </w:rPr>
            </w:pPr>
            <w:r w:rsidRPr="0023424F">
              <w:rPr>
                <w:color w:val="FFFFFF"/>
              </w:rPr>
              <w:t>Level 1</w:t>
            </w:r>
            <w:r>
              <w:rPr>
                <w:color w:val="FFFFFF"/>
              </w:rPr>
              <w:t xml:space="preserve"> – </w:t>
            </w:r>
            <w:r w:rsidR="00A70449">
              <w:rPr>
                <w:color w:val="FFFFFF"/>
              </w:rPr>
              <w:br/>
            </w:r>
            <w:r w:rsidRPr="0023424F">
              <w:rPr>
                <w:color w:val="FFFFFF"/>
              </w:rPr>
              <w:t>Minimal</w:t>
            </w:r>
          </w:p>
        </w:tc>
        <w:tc>
          <w:tcPr>
            <w:tcW w:w="803" w:type="pct"/>
            <w:shd w:val="clear" w:color="auto" w:fill="FFFF00"/>
          </w:tcPr>
          <w:p w14:paraId="7225823F" w14:textId="77777777" w:rsidR="003113F6" w:rsidRPr="0023424F" w:rsidRDefault="003113F6" w:rsidP="00A70449">
            <w:pPr>
              <w:pStyle w:val="Normal-TableText"/>
              <w:jc w:val="center"/>
            </w:pPr>
            <w:r w:rsidRPr="0023424F">
              <w:t>Level 2</w:t>
            </w:r>
            <w:r>
              <w:t xml:space="preserve"> – </w:t>
            </w:r>
            <w:r w:rsidR="00A70449">
              <w:br/>
            </w:r>
            <w:r w:rsidRPr="0023424F">
              <w:t>Low</w:t>
            </w:r>
          </w:p>
        </w:tc>
        <w:tc>
          <w:tcPr>
            <w:tcW w:w="861" w:type="pct"/>
            <w:shd w:val="clear" w:color="auto" w:fill="FF9900"/>
          </w:tcPr>
          <w:p w14:paraId="24029151" w14:textId="77777777" w:rsidR="003113F6" w:rsidRPr="0023424F" w:rsidRDefault="003113F6" w:rsidP="00A70449">
            <w:pPr>
              <w:pStyle w:val="Normal-TableText"/>
              <w:jc w:val="center"/>
            </w:pPr>
            <w:r w:rsidRPr="0023424F">
              <w:t>Level 3</w:t>
            </w:r>
            <w:r>
              <w:t xml:space="preserve"> – </w:t>
            </w:r>
            <w:r w:rsidRPr="0023424F">
              <w:t>Moderate</w:t>
            </w:r>
          </w:p>
        </w:tc>
        <w:tc>
          <w:tcPr>
            <w:tcW w:w="836" w:type="pct"/>
            <w:shd w:val="clear" w:color="auto" w:fill="FF0000"/>
          </w:tcPr>
          <w:p w14:paraId="118D8F98" w14:textId="77777777" w:rsidR="003113F6" w:rsidRPr="0023424F" w:rsidRDefault="003113F6" w:rsidP="00A70449">
            <w:pPr>
              <w:pStyle w:val="Normal-TableText"/>
              <w:jc w:val="center"/>
              <w:rPr>
                <w:color w:val="FFFFFF"/>
              </w:rPr>
            </w:pPr>
            <w:r w:rsidRPr="0023424F">
              <w:rPr>
                <w:color w:val="FFFFFF"/>
              </w:rPr>
              <w:t>Level 4</w:t>
            </w:r>
            <w:r>
              <w:rPr>
                <w:color w:val="FFFFFF"/>
              </w:rPr>
              <w:t xml:space="preserve"> – </w:t>
            </w:r>
            <w:r w:rsidR="00A70449">
              <w:rPr>
                <w:color w:val="FFFFFF"/>
              </w:rPr>
              <w:br/>
            </w:r>
            <w:r w:rsidRPr="0023424F">
              <w:rPr>
                <w:color w:val="FFFFFF"/>
              </w:rPr>
              <w:t>High</w:t>
            </w:r>
          </w:p>
        </w:tc>
      </w:tr>
    </w:tbl>
    <w:p w14:paraId="37942F30" w14:textId="3EDD550A" w:rsidR="003113F6" w:rsidRDefault="003113F6" w:rsidP="00A70449">
      <w:r w:rsidRPr="009968BB">
        <w:t xml:space="preserve">Achieving the required assurance level for the </w:t>
      </w:r>
      <w:r w:rsidR="003A1A79">
        <w:t>e</w:t>
      </w:r>
      <w:r w:rsidR="003A1A79">
        <w:noBreakHyphen/>
      </w:r>
      <w:r>
        <w:t>A</w:t>
      </w:r>
      <w:r w:rsidRPr="009968BB">
        <w:t xml:space="preserve">uthentication solution is then a function of the strength of the registration and enrolment processes on the one hand, and the strength of the user’s </w:t>
      </w:r>
      <w:r w:rsidR="003A1A79">
        <w:t>e</w:t>
      </w:r>
      <w:r w:rsidR="003A1A79">
        <w:noBreakHyphen/>
      </w:r>
      <w:r>
        <w:t>A</w:t>
      </w:r>
      <w:r w:rsidRPr="009968BB">
        <w:t xml:space="preserve">uthentication credential (e.g. </w:t>
      </w:r>
      <w:proofErr w:type="spellStart"/>
      <w:r w:rsidRPr="009968BB">
        <w:t>userid+password</w:t>
      </w:r>
      <w:proofErr w:type="spellEnd"/>
      <w:r w:rsidRPr="009968BB">
        <w:t>, biometric) and its on-going management on the other.</w:t>
      </w:r>
      <w:r>
        <w:t xml:space="preserve"> </w:t>
      </w:r>
      <w:r w:rsidRPr="009968BB">
        <w:t>This is illustrated below</w:t>
      </w:r>
      <w:r>
        <w:t xml:space="preserve"> in </w:t>
      </w:r>
      <w:r w:rsidR="00EB6D1C">
        <w:fldChar w:fldCharType="begin"/>
      </w:r>
      <w:r w:rsidR="00EB6D1C">
        <w:instrText xml:space="preserve"> REF _Ref430767653 \h </w:instrText>
      </w:r>
      <w:r w:rsidR="00EB6D1C">
        <w:fldChar w:fldCharType="separate"/>
      </w:r>
      <w:r w:rsidR="00750561">
        <w:t xml:space="preserve">Table </w:t>
      </w:r>
      <w:r w:rsidR="00750561">
        <w:rPr>
          <w:noProof/>
        </w:rPr>
        <w:t>2</w:t>
      </w:r>
      <w:r w:rsidR="00EB6D1C">
        <w:fldChar w:fldCharType="end"/>
      </w:r>
      <w:r w:rsidRPr="009968BB">
        <w:t>.</w:t>
      </w:r>
    </w:p>
    <w:bookmarkStart w:id="7" w:name="_Ref430767653"/>
    <w:p w14:paraId="4AE326D1" w14:textId="7512D3B6" w:rsidR="00A70449" w:rsidRDefault="00EB6D1C" w:rsidP="00A70449">
      <w:pPr>
        <w:pStyle w:val="Caption"/>
      </w:pPr>
      <w:r>
        <w:rPr>
          <w:noProof/>
          <w:lang w:eastAsia="en-AU"/>
        </w:rPr>
        <mc:AlternateContent>
          <mc:Choice Requires="wps">
            <w:drawing>
              <wp:anchor distT="0" distB="0" distL="114300" distR="114300" simplePos="0" relativeHeight="251659264" behindDoc="0" locked="0" layoutInCell="1" allowOverlap="1" wp14:anchorId="3CC0825F" wp14:editId="40564650">
                <wp:simplePos x="0" y="0"/>
                <wp:positionH relativeFrom="column">
                  <wp:posOffset>1128786</wp:posOffset>
                </wp:positionH>
                <wp:positionV relativeFrom="paragraph">
                  <wp:posOffset>407774</wp:posOffset>
                </wp:positionV>
                <wp:extent cx="25052" cy="1834002"/>
                <wp:effectExtent l="57150" t="38100" r="70485" b="13970"/>
                <wp:wrapNone/>
                <wp:docPr id="4" name="Straight Connector 4" title="Part of tabl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052" cy="1834002"/>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47507" id="Straight Connector 4" o:spid="_x0000_s1026" alt="Title: Part of table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9pt,32.1pt" to="90.8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" strokeweight="1.5pt">
                <v:stroke endarrow="block"/>
              </v:line>
            </w:pict>
          </mc:Fallback>
        </mc:AlternateContent>
      </w:r>
      <w:r w:rsidR="00A70449">
        <w:t xml:space="preserve">Table </w:t>
      </w:r>
      <w:fldSimple w:instr=" SEQ Table \* ARABIC ">
        <w:r w:rsidR="00750561">
          <w:rPr>
            <w:noProof/>
          </w:rPr>
          <w:t>2</w:t>
        </w:r>
      </w:fldSimple>
      <w:bookmarkEnd w:id="7"/>
      <w:r w:rsidR="00A70449">
        <w:t xml:space="preserve"> </w:t>
      </w:r>
      <w:r w:rsidR="00A70449" w:rsidRPr="00A70449">
        <w:t>Identity Authentication Assurance Matrix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451"/>
        <w:gridCol w:w="334"/>
        <w:gridCol w:w="767"/>
        <w:gridCol w:w="1488"/>
        <w:gridCol w:w="1675"/>
        <w:gridCol w:w="1675"/>
        <w:gridCol w:w="1675"/>
      </w:tblGrid>
      <w:tr w:rsidR="003113F6" w:rsidRPr="009968BB" w14:paraId="24C65C3C" w14:textId="77777777" w:rsidTr="00EB6D1C">
        <w:trPr>
          <w:trHeight w:val="505"/>
        </w:trPr>
        <w:tc>
          <w:tcPr>
            <w:tcW w:w="800" w:type="pct"/>
            <w:vMerge w:val="restart"/>
            <w:tcBorders>
              <w:top w:val="nil"/>
              <w:left w:val="nil"/>
              <w:right w:val="nil"/>
            </w:tcBorders>
            <w:vAlign w:val="center"/>
          </w:tcPr>
          <w:p w14:paraId="07550CBA" w14:textId="77777777" w:rsidR="003113F6" w:rsidRPr="00EB6D1C" w:rsidRDefault="003113F6" w:rsidP="00EB6D1C">
            <w:pPr>
              <w:pStyle w:val="Normal-TableText"/>
              <w:jc w:val="center"/>
              <w:rPr>
                <w:rStyle w:val="Strong"/>
              </w:rPr>
            </w:pPr>
            <w:r w:rsidRPr="00EB6D1C">
              <w:rPr>
                <w:rStyle w:val="Strong"/>
              </w:rPr>
              <w:t>Strength of Registration</w:t>
            </w:r>
          </w:p>
        </w:tc>
        <w:tc>
          <w:tcPr>
            <w:tcW w:w="184" w:type="pct"/>
            <w:tcBorders>
              <w:top w:val="nil"/>
              <w:left w:val="nil"/>
              <w:bottom w:val="nil"/>
              <w:right w:val="nil"/>
            </w:tcBorders>
            <w:vAlign w:val="center"/>
          </w:tcPr>
          <w:p w14:paraId="64D5E527" w14:textId="77777777" w:rsidR="003113F6" w:rsidRPr="0023424F" w:rsidRDefault="003113F6" w:rsidP="00EB6D1C">
            <w:pPr>
              <w:pStyle w:val="Normal-TableText"/>
              <w:jc w:val="center"/>
            </w:pPr>
            <w:r w:rsidRPr="0023424F">
              <w:t>4</w:t>
            </w:r>
          </w:p>
        </w:tc>
        <w:tc>
          <w:tcPr>
            <w:tcW w:w="423" w:type="pct"/>
            <w:tcBorders>
              <w:top w:val="nil"/>
              <w:left w:val="nil"/>
              <w:bottom w:val="nil"/>
            </w:tcBorders>
            <w:vAlign w:val="center"/>
          </w:tcPr>
          <w:p w14:paraId="7CC50219" w14:textId="77777777" w:rsidR="003113F6" w:rsidRPr="0023424F" w:rsidRDefault="003113F6" w:rsidP="00EB6D1C">
            <w:pPr>
              <w:pStyle w:val="Normal-TableText"/>
              <w:jc w:val="center"/>
            </w:pPr>
          </w:p>
        </w:tc>
        <w:tc>
          <w:tcPr>
            <w:tcW w:w="821" w:type="pct"/>
            <w:shd w:val="clear" w:color="auto" w:fill="00B050"/>
            <w:vAlign w:val="center"/>
          </w:tcPr>
          <w:p w14:paraId="2CEE7FBB" w14:textId="77777777" w:rsidR="003113F6" w:rsidRPr="0023424F" w:rsidRDefault="003113F6" w:rsidP="00EB6D1C">
            <w:pPr>
              <w:pStyle w:val="Normal-TableText"/>
              <w:jc w:val="center"/>
              <w:rPr>
                <w:color w:val="FFFFFF"/>
              </w:rPr>
            </w:pPr>
            <w:r w:rsidRPr="0023424F">
              <w:rPr>
                <w:color w:val="FFFFFF"/>
              </w:rPr>
              <w:t>Minimal</w:t>
            </w:r>
          </w:p>
        </w:tc>
        <w:tc>
          <w:tcPr>
            <w:tcW w:w="924" w:type="pct"/>
            <w:shd w:val="clear" w:color="auto" w:fill="FFFF00"/>
            <w:vAlign w:val="center"/>
          </w:tcPr>
          <w:p w14:paraId="54A6EC25" w14:textId="77777777" w:rsidR="003113F6" w:rsidRPr="0023424F" w:rsidRDefault="003113F6" w:rsidP="00EB6D1C">
            <w:pPr>
              <w:pStyle w:val="Normal-TableText"/>
              <w:jc w:val="center"/>
            </w:pPr>
            <w:r w:rsidRPr="0023424F">
              <w:t>Low</w:t>
            </w:r>
          </w:p>
        </w:tc>
        <w:tc>
          <w:tcPr>
            <w:tcW w:w="924" w:type="pct"/>
            <w:shd w:val="clear" w:color="auto" w:fill="FF9900"/>
            <w:vAlign w:val="center"/>
          </w:tcPr>
          <w:p w14:paraId="22BE1EA9" w14:textId="77777777" w:rsidR="003113F6" w:rsidRPr="0023424F" w:rsidRDefault="003113F6" w:rsidP="00EB6D1C">
            <w:pPr>
              <w:pStyle w:val="Normal-TableText"/>
              <w:jc w:val="center"/>
            </w:pPr>
            <w:r w:rsidRPr="0023424F">
              <w:t>Moderate</w:t>
            </w:r>
          </w:p>
        </w:tc>
        <w:tc>
          <w:tcPr>
            <w:tcW w:w="924" w:type="pct"/>
            <w:shd w:val="clear" w:color="auto" w:fill="FF0000"/>
            <w:vAlign w:val="center"/>
          </w:tcPr>
          <w:p w14:paraId="72AAFD5A" w14:textId="77777777" w:rsidR="003113F6" w:rsidRPr="0023424F" w:rsidRDefault="003113F6" w:rsidP="00EB6D1C">
            <w:pPr>
              <w:pStyle w:val="Normal-TableText"/>
              <w:jc w:val="center"/>
              <w:rPr>
                <w:color w:val="FFFFFF"/>
              </w:rPr>
            </w:pPr>
            <w:r w:rsidRPr="0023424F">
              <w:rPr>
                <w:color w:val="FFFFFF"/>
              </w:rPr>
              <w:t>High</w:t>
            </w:r>
          </w:p>
        </w:tc>
      </w:tr>
      <w:tr w:rsidR="003113F6" w:rsidRPr="009968BB" w14:paraId="0B107801" w14:textId="77777777" w:rsidTr="00EB6D1C">
        <w:trPr>
          <w:trHeight w:val="513"/>
        </w:trPr>
        <w:tc>
          <w:tcPr>
            <w:tcW w:w="800" w:type="pct"/>
            <w:vMerge/>
            <w:tcBorders>
              <w:left w:val="nil"/>
              <w:right w:val="nil"/>
            </w:tcBorders>
            <w:vAlign w:val="center"/>
          </w:tcPr>
          <w:p w14:paraId="68CD2B0F" w14:textId="77777777" w:rsidR="003113F6" w:rsidRPr="0023424F" w:rsidRDefault="003113F6" w:rsidP="00EB6D1C">
            <w:pPr>
              <w:pStyle w:val="Normal-TableText"/>
              <w:jc w:val="center"/>
            </w:pPr>
          </w:p>
        </w:tc>
        <w:tc>
          <w:tcPr>
            <w:tcW w:w="184" w:type="pct"/>
            <w:tcBorders>
              <w:top w:val="nil"/>
              <w:left w:val="nil"/>
              <w:bottom w:val="nil"/>
              <w:right w:val="nil"/>
            </w:tcBorders>
            <w:vAlign w:val="center"/>
          </w:tcPr>
          <w:p w14:paraId="21F9C04F" w14:textId="77777777" w:rsidR="003113F6" w:rsidRPr="0023424F" w:rsidRDefault="003113F6" w:rsidP="00EB6D1C">
            <w:pPr>
              <w:pStyle w:val="Normal-TableText"/>
              <w:jc w:val="center"/>
            </w:pPr>
            <w:r w:rsidRPr="0023424F">
              <w:t>3</w:t>
            </w:r>
          </w:p>
        </w:tc>
        <w:tc>
          <w:tcPr>
            <w:tcW w:w="423" w:type="pct"/>
            <w:tcBorders>
              <w:top w:val="nil"/>
              <w:left w:val="nil"/>
              <w:bottom w:val="nil"/>
            </w:tcBorders>
            <w:vAlign w:val="center"/>
          </w:tcPr>
          <w:p w14:paraId="055352B8" w14:textId="77777777" w:rsidR="003113F6" w:rsidRPr="0023424F" w:rsidRDefault="003113F6" w:rsidP="00EB6D1C">
            <w:pPr>
              <w:pStyle w:val="Normal-TableText"/>
              <w:jc w:val="center"/>
            </w:pPr>
          </w:p>
        </w:tc>
        <w:tc>
          <w:tcPr>
            <w:tcW w:w="821" w:type="pct"/>
            <w:shd w:val="clear" w:color="auto" w:fill="00B050"/>
            <w:vAlign w:val="center"/>
          </w:tcPr>
          <w:p w14:paraId="68992346" w14:textId="77777777" w:rsidR="003113F6" w:rsidRPr="0023424F" w:rsidRDefault="003113F6" w:rsidP="00EB6D1C">
            <w:pPr>
              <w:pStyle w:val="Normal-TableText"/>
              <w:jc w:val="center"/>
              <w:rPr>
                <w:color w:val="FFFFFF"/>
              </w:rPr>
            </w:pPr>
            <w:r w:rsidRPr="0023424F">
              <w:rPr>
                <w:color w:val="FFFFFF"/>
              </w:rPr>
              <w:t>Minimal</w:t>
            </w:r>
          </w:p>
        </w:tc>
        <w:tc>
          <w:tcPr>
            <w:tcW w:w="924" w:type="pct"/>
            <w:shd w:val="clear" w:color="auto" w:fill="FFFF00"/>
            <w:vAlign w:val="center"/>
          </w:tcPr>
          <w:p w14:paraId="55EB2ABE" w14:textId="77777777" w:rsidR="003113F6" w:rsidRPr="0023424F" w:rsidRDefault="003113F6" w:rsidP="00EB6D1C">
            <w:pPr>
              <w:pStyle w:val="Normal-TableText"/>
              <w:jc w:val="center"/>
            </w:pPr>
            <w:r w:rsidRPr="0023424F">
              <w:t>Low</w:t>
            </w:r>
          </w:p>
        </w:tc>
        <w:tc>
          <w:tcPr>
            <w:tcW w:w="924" w:type="pct"/>
            <w:shd w:val="clear" w:color="auto" w:fill="FF9900"/>
            <w:vAlign w:val="center"/>
          </w:tcPr>
          <w:p w14:paraId="39D38D98" w14:textId="77777777" w:rsidR="003113F6" w:rsidRPr="0023424F" w:rsidRDefault="003113F6" w:rsidP="00EB6D1C">
            <w:pPr>
              <w:pStyle w:val="Normal-TableText"/>
              <w:jc w:val="center"/>
            </w:pPr>
            <w:r w:rsidRPr="0023424F">
              <w:t>Moderate</w:t>
            </w:r>
          </w:p>
        </w:tc>
        <w:tc>
          <w:tcPr>
            <w:tcW w:w="924" w:type="pct"/>
            <w:shd w:val="clear" w:color="auto" w:fill="FF9900"/>
            <w:vAlign w:val="center"/>
          </w:tcPr>
          <w:p w14:paraId="03EBE081" w14:textId="77777777" w:rsidR="003113F6" w:rsidRPr="0023424F" w:rsidRDefault="003113F6" w:rsidP="00EB6D1C">
            <w:pPr>
              <w:pStyle w:val="Normal-TableText"/>
              <w:jc w:val="center"/>
            </w:pPr>
            <w:r w:rsidRPr="0023424F">
              <w:t>Moderate</w:t>
            </w:r>
          </w:p>
        </w:tc>
      </w:tr>
      <w:tr w:rsidR="003113F6" w:rsidRPr="009968BB" w14:paraId="6E7C66E2" w14:textId="77777777" w:rsidTr="00EB6D1C">
        <w:trPr>
          <w:trHeight w:val="535"/>
        </w:trPr>
        <w:tc>
          <w:tcPr>
            <w:tcW w:w="800" w:type="pct"/>
            <w:vMerge/>
            <w:tcBorders>
              <w:left w:val="nil"/>
              <w:right w:val="nil"/>
            </w:tcBorders>
            <w:vAlign w:val="center"/>
          </w:tcPr>
          <w:p w14:paraId="11D86840" w14:textId="77777777" w:rsidR="003113F6" w:rsidRPr="0023424F" w:rsidRDefault="003113F6" w:rsidP="00EB6D1C">
            <w:pPr>
              <w:pStyle w:val="Normal-TableText"/>
              <w:jc w:val="center"/>
            </w:pPr>
          </w:p>
        </w:tc>
        <w:tc>
          <w:tcPr>
            <w:tcW w:w="184" w:type="pct"/>
            <w:tcBorders>
              <w:top w:val="nil"/>
              <w:left w:val="nil"/>
              <w:bottom w:val="nil"/>
              <w:right w:val="nil"/>
            </w:tcBorders>
            <w:vAlign w:val="center"/>
          </w:tcPr>
          <w:p w14:paraId="36242755" w14:textId="77777777" w:rsidR="003113F6" w:rsidRPr="0023424F" w:rsidRDefault="003113F6" w:rsidP="00EB6D1C">
            <w:pPr>
              <w:pStyle w:val="Normal-TableText"/>
              <w:jc w:val="center"/>
            </w:pPr>
            <w:r w:rsidRPr="0023424F">
              <w:t>2</w:t>
            </w:r>
          </w:p>
        </w:tc>
        <w:tc>
          <w:tcPr>
            <w:tcW w:w="423" w:type="pct"/>
            <w:tcBorders>
              <w:top w:val="nil"/>
              <w:left w:val="nil"/>
              <w:bottom w:val="nil"/>
            </w:tcBorders>
            <w:vAlign w:val="center"/>
          </w:tcPr>
          <w:p w14:paraId="2405B7AE" w14:textId="77777777" w:rsidR="003113F6" w:rsidRPr="0023424F" w:rsidRDefault="003113F6" w:rsidP="00EB6D1C">
            <w:pPr>
              <w:pStyle w:val="Normal-TableText"/>
              <w:jc w:val="center"/>
            </w:pPr>
          </w:p>
        </w:tc>
        <w:tc>
          <w:tcPr>
            <w:tcW w:w="821" w:type="pct"/>
            <w:shd w:val="clear" w:color="auto" w:fill="00B050"/>
            <w:vAlign w:val="center"/>
          </w:tcPr>
          <w:p w14:paraId="0A6452D9" w14:textId="77777777" w:rsidR="003113F6" w:rsidRPr="0023424F" w:rsidRDefault="003113F6" w:rsidP="00EB6D1C">
            <w:pPr>
              <w:pStyle w:val="Normal-TableText"/>
              <w:jc w:val="center"/>
              <w:rPr>
                <w:color w:val="FFFFFF"/>
              </w:rPr>
            </w:pPr>
            <w:r w:rsidRPr="0023424F">
              <w:rPr>
                <w:color w:val="FFFFFF"/>
              </w:rPr>
              <w:t>Minimal</w:t>
            </w:r>
          </w:p>
        </w:tc>
        <w:tc>
          <w:tcPr>
            <w:tcW w:w="924" w:type="pct"/>
            <w:shd w:val="clear" w:color="auto" w:fill="FFFF00"/>
            <w:vAlign w:val="center"/>
          </w:tcPr>
          <w:p w14:paraId="45CB10FE" w14:textId="77777777" w:rsidR="003113F6" w:rsidRPr="0023424F" w:rsidRDefault="003113F6" w:rsidP="00EB6D1C">
            <w:pPr>
              <w:pStyle w:val="Normal-TableText"/>
              <w:jc w:val="center"/>
            </w:pPr>
            <w:r w:rsidRPr="0023424F">
              <w:t>Low</w:t>
            </w:r>
          </w:p>
        </w:tc>
        <w:tc>
          <w:tcPr>
            <w:tcW w:w="924" w:type="pct"/>
            <w:shd w:val="clear" w:color="auto" w:fill="FFFF00"/>
            <w:vAlign w:val="center"/>
          </w:tcPr>
          <w:p w14:paraId="1A57C907" w14:textId="77777777" w:rsidR="003113F6" w:rsidRPr="0023424F" w:rsidRDefault="003113F6" w:rsidP="00EB6D1C">
            <w:pPr>
              <w:pStyle w:val="Normal-TableText"/>
              <w:jc w:val="center"/>
            </w:pPr>
            <w:r w:rsidRPr="0023424F">
              <w:t>Low</w:t>
            </w:r>
          </w:p>
        </w:tc>
        <w:tc>
          <w:tcPr>
            <w:tcW w:w="924" w:type="pct"/>
            <w:shd w:val="clear" w:color="auto" w:fill="FFFF00"/>
            <w:vAlign w:val="center"/>
          </w:tcPr>
          <w:p w14:paraId="34C7C279" w14:textId="77777777" w:rsidR="003113F6" w:rsidRPr="0023424F" w:rsidRDefault="003113F6" w:rsidP="00EB6D1C">
            <w:pPr>
              <w:pStyle w:val="Normal-TableText"/>
              <w:jc w:val="center"/>
            </w:pPr>
            <w:r w:rsidRPr="0023424F">
              <w:t>Low</w:t>
            </w:r>
          </w:p>
        </w:tc>
      </w:tr>
      <w:tr w:rsidR="003113F6" w:rsidRPr="009968BB" w14:paraId="207F181C" w14:textId="77777777" w:rsidTr="00EB6D1C">
        <w:trPr>
          <w:trHeight w:val="528"/>
        </w:trPr>
        <w:tc>
          <w:tcPr>
            <w:tcW w:w="800" w:type="pct"/>
            <w:vMerge/>
            <w:tcBorders>
              <w:left w:val="nil"/>
              <w:right w:val="nil"/>
            </w:tcBorders>
            <w:vAlign w:val="center"/>
          </w:tcPr>
          <w:p w14:paraId="3583DE85" w14:textId="77777777" w:rsidR="003113F6" w:rsidRPr="0023424F" w:rsidRDefault="003113F6" w:rsidP="00EB6D1C">
            <w:pPr>
              <w:pStyle w:val="Normal-TableText"/>
              <w:jc w:val="center"/>
            </w:pPr>
          </w:p>
        </w:tc>
        <w:tc>
          <w:tcPr>
            <w:tcW w:w="184" w:type="pct"/>
            <w:tcBorders>
              <w:top w:val="nil"/>
              <w:left w:val="nil"/>
              <w:bottom w:val="nil"/>
              <w:right w:val="nil"/>
            </w:tcBorders>
            <w:vAlign w:val="center"/>
          </w:tcPr>
          <w:p w14:paraId="1EFC55E2" w14:textId="77777777" w:rsidR="003113F6" w:rsidRPr="0023424F" w:rsidRDefault="003113F6" w:rsidP="00EB6D1C">
            <w:pPr>
              <w:pStyle w:val="Normal-TableText"/>
              <w:jc w:val="center"/>
            </w:pPr>
            <w:r w:rsidRPr="0023424F">
              <w:t>1</w:t>
            </w:r>
          </w:p>
        </w:tc>
        <w:tc>
          <w:tcPr>
            <w:tcW w:w="423" w:type="pct"/>
            <w:tcBorders>
              <w:top w:val="nil"/>
              <w:left w:val="nil"/>
            </w:tcBorders>
            <w:vAlign w:val="center"/>
          </w:tcPr>
          <w:p w14:paraId="5177701B" w14:textId="77777777" w:rsidR="003113F6" w:rsidRPr="0023424F" w:rsidRDefault="003113F6" w:rsidP="00EB6D1C">
            <w:pPr>
              <w:pStyle w:val="Normal-TableText"/>
              <w:jc w:val="center"/>
            </w:pPr>
          </w:p>
        </w:tc>
        <w:tc>
          <w:tcPr>
            <w:tcW w:w="821" w:type="pct"/>
            <w:shd w:val="clear" w:color="auto" w:fill="00B050"/>
            <w:vAlign w:val="center"/>
          </w:tcPr>
          <w:p w14:paraId="6E148DB4" w14:textId="77777777" w:rsidR="003113F6" w:rsidRPr="0023424F" w:rsidRDefault="003113F6" w:rsidP="00EB6D1C">
            <w:pPr>
              <w:pStyle w:val="Normal-TableText"/>
              <w:jc w:val="center"/>
              <w:rPr>
                <w:color w:val="FFFFFF"/>
              </w:rPr>
            </w:pPr>
            <w:r w:rsidRPr="0023424F">
              <w:rPr>
                <w:color w:val="FFFFFF"/>
              </w:rPr>
              <w:t>Minimal</w:t>
            </w:r>
          </w:p>
        </w:tc>
        <w:tc>
          <w:tcPr>
            <w:tcW w:w="924" w:type="pct"/>
            <w:shd w:val="clear" w:color="auto" w:fill="00B050"/>
            <w:vAlign w:val="center"/>
          </w:tcPr>
          <w:p w14:paraId="258D20B0" w14:textId="77777777" w:rsidR="003113F6" w:rsidRPr="0023424F" w:rsidRDefault="003113F6" w:rsidP="00EB6D1C">
            <w:pPr>
              <w:pStyle w:val="Normal-TableText"/>
              <w:jc w:val="center"/>
              <w:rPr>
                <w:color w:val="FFFFFF"/>
              </w:rPr>
            </w:pPr>
            <w:r w:rsidRPr="0023424F">
              <w:rPr>
                <w:color w:val="FFFFFF"/>
              </w:rPr>
              <w:t>Minimal</w:t>
            </w:r>
          </w:p>
        </w:tc>
        <w:tc>
          <w:tcPr>
            <w:tcW w:w="924" w:type="pct"/>
            <w:shd w:val="clear" w:color="auto" w:fill="00B050"/>
            <w:vAlign w:val="center"/>
          </w:tcPr>
          <w:p w14:paraId="322BC1CD" w14:textId="77777777" w:rsidR="003113F6" w:rsidRPr="0023424F" w:rsidRDefault="003113F6" w:rsidP="00EB6D1C">
            <w:pPr>
              <w:pStyle w:val="Normal-TableText"/>
              <w:jc w:val="center"/>
              <w:rPr>
                <w:color w:val="FFFFFF"/>
              </w:rPr>
            </w:pPr>
            <w:r w:rsidRPr="0023424F">
              <w:rPr>
                <w:color w:val="FFFFFF"/>
              </w:rPr>
              <w:t>Minimal</w:t>
            </w:r>
          </w:p>
        </w:tc>
        <w:tc>
          <w:tcPr>
            <w:tcW w:w="924" w:type="pct"/>
            <w:shd w:val="clear" w:color="auto" w:fill="00B050"/>
            <w:vAlign w:val="center"/>
          </w:tcPr>
          <w:p w14:paraId="53B6A259" w14:textId="77777777" w:rsidR="003113F6" w:rsidRPr="0023424F" w:rsidRDefault="003113F6" w:rsidP="00EB6D1C">
            <w:pPr>
              <w:pStyle w:val="Normal-TableText"/>
              <w:jc w:val="center"/>
              <w:rPr>
                <w:color w:val="FFFFFF"/>
              </w:rPr>
            </w:pPr>
            <w:r w:rsidRPr="0023424F">
              <w:rPr>
                <w:color w:val="FFFFFF"/>
              </w:rPr>
              <w:t>Minimal</w:t>
            </w:r>
          </w:p>
        </w:tc>
      </w:tr>
      <w:tr w:rsidR="003113F6" w:rsidRPr="009968BB" w14:paraId="1F53205E" w14:textId="77777777" w:rsidTr="00EB6D1C">
        <w:tc>
          <w:tcPr>
            <w:tcW w:w="800" w:type="pct"/>
            <w:vMerge/>
            <w:tcBorders>
              <w:left w:val="nil"/>
              <w:bottom w:val="nil"/>
              <w:right w:val="nil"/>
            </w:tcBorders>
            <w:vAlign w:val="center"/>
          </w:tcPr>
          <w:p w14:paraId="46CCB39A" w14:textId="77777777" w:rsidR="003113F6" w:rsidRPr="0023424F" w:rsidRDefault="003113F6" w:rsidP="00EB6D1C">
            <w:pPr>
              <w:pStyle w:val="Normal-TableText"/>
              <w:jc w:val="center"/>
            </w:pPr>
          </w:p>
        </w:tc>
        <w:tc>
          <w:tcPr>
            <w:tcW w:w="184" w:type="pct"/>
            <w:tcBorders>
              <w:top w:val="nil"/>
              <w:left w:val="nil"/>
              <w:bottom w:val="nil"/>
              <w:right w:val="nil"/>
            </w:tcBorders>
            <w:vAlign w:val="center"/>
          </w:tcPr>
          <w:p w14:paraId="3612F516" w14:textId="77777777" w:rsidR="003113F6" w:rsidRPr="0023424F" w:rsidRDefault="003113F6" w:rsidP="00EB6D1C">
            <w:pPr>
              <w:pStyle w:val="Normal-TableText"/>
              <w:jc w:val="center"/>
            </w:pPr>
            <w:r w:rsidRPr="0023424F">
              <w:t>0</w:t>
            </w:r>
          </w:p>
        </w:tc>
        <w:tc>
          <w:tcPr>
            <w:tcW w:w="423" w:type="pct"/>
            <w:tcBorders>
              <w:left w:val="nil"/>
              <w:bottom w:val="nil"/>
            </w:tcBorders>
            <w:vAlign w:val="center"/>
          </w:tcPr>
          <w:p w14:paraId="1051142D" w14:textId="77777777" w:rsidR="003113F6" w:rsidRPr="0023424F" w:rsidRDefault="003113F6" w:rsidP="00EB6D1C">
            <w:pPr>
              <w:pStyle w:val="Normal-TableText"/>
              <w:jc w:val="center"/>
            </w:pPr>
            <w:r w:rsidRPr="0023424F">
              <w:t xml:space="preserve">Null </w:t>
            </w:r>
            <w:r w:rsidR="00EB6D1C">
              <w:br/>
            </w:r>
            <w:r w:rsidRPr="0023424F">
              <w:t>(0)</w:t>
            </w:r>
          </w:p>
        </w:tc>
        <w:tc>
          <w:tcPr>
            <w:tcW w:w="821" w:type="pct"/>
            <w:vAlign w:val="center"/>
          </w:tcPr>
          <w:p w14:paraId="117FCB42" w14:textId="77777777" w:rsidR="003113F6" w:rsidRPr="0023424F" w:rsidRDefault="003113F6" w:rsidP="00EB6D1C">
            <w:pPr>
              <w:pStyle w:val="Normal-TableText"/>
              <w:jc w:val="center"/>
            </w:pPr>
            <w:r w:rsidRPr="0023424F">
              <w:t>Pseudonymous Minimal</w:t>
            </w:r>
          </w:p>
        </w:tc>
        <w:tc>
          <w:tcPr>
            <w:tcW w:w="924" w:type="pct"/>
            <w:vAlign w:val="center"/>
          </w:tcPr>
          <w:p w14:paraId="6EA54C56" w14:textId="77777777" w:rsidR="003113F6" w:rsidRPr="0023424F" w:rsidRDefault="003113F6" w:rsidP="00EB6D1C">
            <w:pPr>
              <w:pStyle w:val="Normal-TableText"/>
              <w:jc w:val="center"/>
            </w:pPr>
            <w:r w:rsidRPr="0023424F">
              <w:t>Pseudonymous Low</w:t>
            </w:r>
          </w:p>
        </w:tc>
        <w:tc>
          <w:tcPr>
            <w:tcW w:w="924" w:type="pct"/>
            <w:vAlign w:val="center"/>
          </w:tcPr>
          <w:p w14:paraId="566E6345" w14:textId="77777777" w:rsidR="003113F6" w:rsidRPr="0023424F" w:rsidRDefault="003113F6" w:rsidP="00EB6D1C">
            <w:pPr>
              <w:pStyle w:val="Normal-TableText"/>
              <w:jc w:val="center"/>
            </w:pPr>
            <w:r w:rsidRPr="0023424F">
              <w:t>Pseudonymous Moderate</w:t>
            </w:r>
          </w:p>
        </w:tc>
        <w:tc>
          <w:tcPr>
            <w:tcW w:w="924" w:type="pct"/>
            <w:vAlign w:val="center"/>
          </w:tcPr>
          <w:p w14:paraId="63E33AC9" w14:textId="77777777" w:rsidR="003113F6" w:rsidRPr="0023424F" w:rsidRDefault="003113F6" w:rsidP="00EB6D1C">
            <w:pPr>
              <w:pStyle w:val="Normal-TableText"/>
              <w:jc w:val="center"/>
            </w:pPr>
            <w:r w:rsidRPr="0023424F">
              <w:t>Pseudonymous High</w:t>
            </w:r>
          </w:p>
        </w:tc>
      </w:tr>
      <w:tr w:rsidR="003113F6" w:rsidRPr="009968BB" w14:paraId="5B5642A6" w14:textId="77777777" w:rsidTr="00EB6D1C">
        <w:tc>
          <w:tcPr>
            <w:tcW w:w="800" w:type="pct"/>
            <w:tcBorders>
              <w:top w:val="nil"/>
              <w:left w:val="nil"/>
              <w:bottom w:val="nil"/>
              <w:right w:val="nil"/>
            </w:tcBorders>
            <w:vAlign w:val="center"/>
          </w:tcPr>
          <w:p w14:paraId="530D667A" w14:textId="77777777" w:rsidR="003113F6" w:rsidRPr="0023424F" w:rsidRDefault="003113F6" w:rsidP="00EB6D1C">
            <w:pPr>
              <w:pStyle w:val="Normal-TableText"/>
              <w:jc w:val="center"/>
            </w:pPr>
          </w:p>
        </w:tc>
        <w:tc>
          <w:tcPr>
            <w:tcW w:w="184" w:type="pct"/>
            <w:tcBorders>
              <w:top w:val="nil"/>
              <w:left w:val="nil"/>
              <w:bottom w:val="nil"/>
              <w:right w:val="nil"/>
            </w:tcBorders>
            <w:vAlign w:val="center"/>
          </w:tcPr>
          <w:p w14:paraId="4421363B" w14:textId="77777777" w:rsidR="003113F6" w:rsidRPr="0023424F" w:rsidRDefault="003113F6" w:rsidP="00EB6D1C">
            <w:pPr>
              <w:pStyle w:val="Normal-TableText"/>
              <w:jc w:val="center"/>
            </w:pPr>
          </w:p>
        </w:tc>
        <w:tc>
          <w:tcPr>
            <w:tcW w:w="423" w:type="pct"/>
            <w:tcBorders>
              <w:top w:val="nil"/>
              <w:left w:val="nil"/>
              <w:bottom w:val="nil"/>
              <w:right w:val="nil"/>
            </w:tcBorders>
            <w:vAlign w:val="center"/>
          </w:tcPr>
          <w:p w14:paraId="492A3C17" w14:textId="77777777" w:rsidR="003113F6" w:rsidRPr="0023424F" w:rsidRDefault="003113F6" w:rsidP="00EB6D1C">
            <w:pPr>
              <w:pStyle w:val="Normal-TableText"/>
              <w:jc w:val="center"/>
            </w:pPr>
            <w:r>
              <w:rPr>
                <w:noProof/>
                <w:lang w:eastAsia="en-AU"/>
              </w:rPr>
              <mc:AlternateContent>
                <mc:Choice Requires="wps">
                  <w:drawing>
                    <wp:anchor distT="0" distB="0" distL="114300" distR="114300" simplePos="0" relativeHeight="251660288" behindDoc="0" locked="0" layoutInCell="1" allowOverlap="1" wp14:anchorId="4ADC60A8" wp14:editId="0374DB2F">
                      <wp:simplePos x="0" y="0"/>
                      <wp:positionH relativeFrom="column">
                        <wp:posOffset>-20955</wp:posOffset>
                      </wp:positionH>
                      <wp:positionV relativeFrom="paragraph">
                        <wp:posOffset>-4445</wp:posOffset>
                      </wp:positionV>
                      <wp:extent cx="5001895" cy="7620"/>
                      <wp:effectExtent l="12065" t="57785" r="24765" b="58420"/>
                      <wp:wrapNone/>
                      <wp:docPr id="3" name="Straight Connector 3" title="part of tabl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01895" cy="76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9CE18" id="Straight Connector 3" o:spid="_x0000_s1026" alt="Title: part of table 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pt" to="39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" strokeweight="1.5pt">
                      <v:stroke endarrow="block"/>
                    </v:line>
                  </w:pict>
                </mc:Fallback>
              </mc:AlternateContent>
            </w:r>
            <w:r w:rsidRPr="0023424F">
              <w:t>0</w:t>
            </w:r>
          </w:p>
        </w:tc>
        <w:tc>
          <w:tcPr>
            <w:tcW w:w="821" w:type="pct"/>
            <w:tcBorders>
              <w:left w:val="nil"/>
              <w:bottom w:val="nil"/>
              <w:right w:val="nil"/>
            </w:tcBorders>
            <w:vAlign w:val="center"/>
          </w:tcPr>
          <w:p w14:paraId="74502335" w14:textId="77777777" w:rsidR="003113F6" w:rsidRPr="0023424F" w:rsidRDefault="003113F6" w:rsidP="00EB6D1C">
            <w:pPr>
              <w:pStyle w:val="Normal-TableText"/>
              <w:jc w:val="center"/>
            </w:pPr>
            <w:r w:rsidRPr="0023424F">
              <w:t>1</w:t>
            </w:r>
          </w:p>
        </w:tc>
        <w:tc>
          <w:tcPr>
            <w:tcW w:w="924" w:type="pct"/>
            <w:tcBorders>
              <w:left w:val="nil"/>
              <w:bottom w:val="nil"/>
              <w:right w:val="nil"/>
            </w:tcBorders>
            <w:vAlign w:val="center"/>
          </w:tcPr>
          <w:p w14:paraId="416394D3" w14:textId="77777777" w:rsidR="003113F6" w:rsidRPr="0023424F" w:rsidRDefault="003113F6" w:rsidP="00EB6D1C">
            <w:pPr>
              <w:pStyle w:val="Normal-TableText"/>
              <w:jc w:val="center"/>
            </w:pPr>
            <w:r w:rsidRPr="0023424F">
              <w:t>2</w:t>
            </w:r>
          </w:p>
        </w:tc>
        <w:tc>
          <w:tcPr>
            <w:tcW w:w="924" w:type="pct"/>
            <w:tcBorders>
              <w:left w:val="nil"/>
              <w:bottom w:val="nil"/>
              <w:right w:val="nil"/>
            </w:tcBorders>
            <w:vAlign w:val="center"/>
          </w:tcPr>
          <w:p w14:paraId="24514423" w14:textId="77777777" w:rsidR="003113F6" w:rsidRPr="0023424F" w:rsidRDefault="003113F6" w:rsidP="00EB6D1C">
            <w:pPr>
              <w:pStyle w:val="Normal-TableText"/>
              <w:jc w:val="center"/>
            </w:pPr>
            <w:r w:rsidRPr="0023424F">
              <w:t>3</w:t>
            </w:r>
          </w:p>
        </w:tc>
        <w:tc>
          <w:tcPr>
            <w:tcW w:w="924" w:type="pct"/>
            <w:tcBorders>
              <w:left w:val="nil"/>
              <w:bottom w:val="nil"/>
              <w:right w:val="nil"/>
            </w:tcBorders>
            <w:vAlign w:val="center"/>
          </w:tcPr>
          <w:p w14:paraId="5CAFB241" w14:textId="77777777" w:rsidR="003113F6" w:rsidRPr="0023424F" w:rsidRDefault="003113F6" w:rsidP="00EB6D1C">
            <w:pPr>
              <w:pStyle w:val="Normal-TableText"/>
              <w:jc w:val="center"/>
            </w:pPr>
            <w:r w:rsidRPr="0023424F">
              <w:t>4</w:t>
            </w:r>
          </w:p>
        </w:tc>
      </w:tr>
      <w:tr w:rsidR="003113F6" w:rsidRPr="009968BB" w14:paraId="18A2E04F" w14:textId="77777777" w:rsidTr="00EB6D1C">
        <w:tc>
          <w:tcPr>
            <w:tcW w:w="800" w:type="pct"/>
            <w:tcBorders>
              <w:top w:val="nil"/>
              <w:left w:val="nil"/>
              <w:bottom w:val="nil"/>
              <w:right w:val="nil"/>
            </w:tcBorders>
            <w:vAlign w:val="center"/>
          </w:tcPr>
          <w:p w14:paraId="1747CEBF" w14:textId="77777777" w:rsidR="003113F6" w:rsidRPr="0023424F" w:rsidRDefault="003113F6" w:rsidP="00EB6D1C">
            <w:pPr>
              <w:pStyle w:val="Normal-TableText"/>
              <w:jc w:val="center"/>
            </w:pPr>
          </w:p>
        </w:tc>
        <w:tc>
          <w:tcPr>
            <w:tcW w:w="184" w:type="pct"/>
            <w:tcBorders>
              <w:top w:val="nil"/>
              <w:left w:val="nil"/>
              <w:bottom w:val="nil"/>
              <w:right w:val="nil"/>
            </w:tcBorders>
            <w:vAlign w:val="center"/>
          </w:tcPr>
          <w:p w14:paraId="38D33334" w14:textId="77777777" w:rsidR="003113F6" w:rsidRPr="0023424F" w:rsidRDefault="003113F6" w:rsidP="00EB6D1C">
            <w:pPr>
              <w:pStyle w:val="Normal-TableText"/>
              <w:jc w:val="center"/>
            </w:pPr>
          </w:p>
        </w:tc>
        <w:tc>
          <w:tcPr>
            <w:tcW w:w="4015" w:type="pct"/>
            <w:gridSpan w:val="5"/>
            <w:tcBorders>
              <w:top w:val="nil"/>
              <w:left w:val="nil"/>
              <w:bottom w:val="nil"/>
              <w:right w:val="nil"/>
            </w:tcBorders>
            <w:vAlign w:val="center"/>
          </w:tcPr>
          <w:p w14:paraId="1960261D" w14:textId="77777777" w:rsidR="003113F6" w:rsidRPr="00EB6D1C" w:rsidRDefault="003113F6" w:rsidP="00EB6D1C">
            <w:pPr>
              <w:pStyle w:val="Normal-TableText"/>
              <w:jc w:val="center"/>
              <w:rPr>
                <w:rStyle w:val="Strong"/>
              </w:rPr>
            </w:pPr>
            <w:r w:rsidRPr="00EB6D1C">
              <w:rPr>
                <w:rStyle w:val="Strong"/>
              </w:rPr>
              <w:t>Strength of Authentication Mechanism</w:t>
            </w:r>
          </w:p>
        </w:tc>
      </w:tr>
      <w:bookmarkEnd w:id="3"/>
    </w:tbl>
    <w:p w14:paraId="01900DA6" w14:textId="77777777" w:rsidR="008935A4" w:rsidRDefault="008935A4">
      <w:pPr>
        <w:suppressAutoHyphens w:val="0"/>
        <w:spacing w:before="0" w:line="440" w:lineRule="atLeast"/>
        <w:rPr>
          <w:rFonts w:asciiTheme="majorHAnsi" w:eastAsiaTheme="majorEastAsia" w:hAnsiTheme="majorHAnsi" w:cstheme="majorBidi"/>
          <w:b/>
          <w:bCs/>
          <w:sz w:val="40"/>
          <w:szCs w:val="26"/>
        </w:rPr>
      </w:pPr>
      <w:r>
        <w:br w:type="page"/>
      </w:r>
    </w:p>
    <w:p w14:paraId="3B83EBE6" w14:textId="44DD86FA" w:rsidR="003113F6" w:rsidRPr="00531891" w:rsidRDefault="003113F6" w:rsidP="00A70449">
      <w:pPr>
        <w:pStyle w:val="Heading2"/>
      </w:pPr>
      <w:r w:rsidRPr="00531891">
        <w:lastRenderedPageBreak/>
        <w:t>Methodology</w:t>
      </w:r>
    </w:p>
    <w:p w14:paraId="4EFDAF0B" w14:textId="77777777" w:rsidR="003113F6" w:rsidRDefault="003113F6" w:rsidP="00A70449">
      <w:r w:rsidRPr="009968BB">
        <w:t>The Framework identifies a seven-step process for assessing the strength of authentication demanded by the transaction, the technology components that will provide the desired authentication strength, and the business processes that are required to achieve this level of authentication.</w:t>
      </w:r>
    </w:p>
    <w:p w14:paraId="753126B0" w14:textId="77777777" w:rsidR="003113F6" w:rsidRDefault="003113F6" w:rsidP="00A70449">
      <w:r w:rsidRPr="009968BB">
        <w:t>This is an iterative process that takes into account existing controls, the possible consequences of incorrectly authenticating the parties to the transaction and the likelihood of these consequences eventuating.</w:t>
      </w:r>
      <w:r>
        <w:t xml:space="preserve"> </w:t>
      </w:r>
      <w:r w:rsidRPr="009968BB">
        <w:t>The process is undertaken in the context of the agency’s wider information security risk management processes.</w:t>
      </w:r>
    </w:p>
    <w:p w14:paraId="79A62B24" w14:textId="77777777" w:rsidR="003113F6" w:rsidRPr="009968BB" w:rsidRDefault="003113F6" w:rsidP="00A70449">
      <w:r w:rsidRPr="009968BB">
        <w:t>The Framework requires that the agency:</w:t>
      </w:r>
    </w:p>
    <w:p w14:paraId="76D1F1FF" w14:textId="77777777" w:rsidR="003113F6" w:rsidRPr="009968BB" w:rsidRDefault="003113F6" w:rsidP="00A70449">
      <w:pPr>
        <w:pStyle w:val="Bullet1"/>
      </w:pPr>
      <w:r w:rsidRPr="009968BB">
        <w:t>Identify the requirements of the electronic service that is to be delivered, the nature of the user base/s, the desired electronic delivery channel/s, and the specific details that are to be authenticated as well as the privacy and policy implications of the process.</w:t>
      </w:r>
    </w:p>
    <w:p w14:paraId="6F3DAF75" w14:textId="77777777" w:rsidR="003113F6" w:rsidRPr="009968BB" w:rsidRDefault="003113F6" w:rsidP="00A70449">
      <w:pPr>
        <w:pStyle w:val="Bullet1"/>
      </w:pPr>
      <w:r w:rsidRPr="009968BB">
        <w:t>Ascertain the assurance level requirements by undertaking a comprehensive analysis of the threats and risks associated with the transaction.</w:t>
      </w:r>
    </w:p>
    <w:p w14:paraId="2C810408" w14:textId="77777777" w:rsidR="003113F6" w:rsidRPr="009968BB" w:rsidRDefault="003113F6" w:rsidP="00A70449">
      <w:pPr>
        <w:pStyle w:val="Bullet1"/>
      </w:pPr>
      <w:r w:rsidRPr="009968BB">
        <w:t>Determine the most appropriate means to register the client of the service including collection and/or verification identity or other information.</w:t>
      </w:r>
    </w:p>
    <w:p w14:paraId="6C84695E" w14:textId="77777777" w:rsidR="003113F6" w:rsidRPr="009968BB" w:rsidRDefault="003113F6" w:rsidP="00A70449">
      <w:pPr>
        <w:pStyle w:val="Bullet1"/>
      </w:pPr>
      <w:r w:rsidRPr="009968BB">
        <w:t>Select the mechanism for authenticating the end-user identity (or other attribute) and the processes that must be applied to assure integrity and robustness throughout its lifecycle.</w:t>
      </w:r>
    </w:p>
    <w:p w14:paraId="2ECB1969" w14:textId="77777777" w:rsidR="003113F6" w:rsidRPr="009968BB" w:rsidRDefault="003113F6" w:rsidP="00A70449">
      <w:pPr>
        <w:pStyle w:val="Bullet1"/>
      </w:pPr>
      <w:r w:rsidRPr="009968BB">
        <w:t xml:space="preserve">Determine the most appropriate </w:t>
      </w:r>
      <w:r w:rsidR="003A1A79">
        <w:t>e</w:t>
      </w:r>
      <w:r w:rsidR="003A1A79">
        <w:noBreakHyphen/>
      </w:r>
      <w:r>
        <w:t>A</w:t>
      </w:r>
      <w:r w:rsidRPr="009968BB">
        <w:t>uthentication implementation model, including assessing the r</w:t>
      </w:r>
      <w:r w:rsidR="003A1A79">
        <w:t>e</w:t>
      </w:r>
      <w:r w:rsidR="003A1A79">
        <w:noBreakHyphen/>
      </w:r>
      <w:r w:rsidRPr="009968BB">
        <w:t>use of existing systems and processes.</w:t>
      </w:r>
    </w:p>
    <w:p w14:paraId="409A981A" w14:textId="77777777" w:rsidR="003113F6" w:rsidRPr="009968BB" w:rsidRDefault="003113F6" w:rsidP="00A70449">
      <w:pPr>
        <w:pStyle w:val="Bullet1"/>
      </w:pPr>
      <w:r w:rsidRPr="009968BB">
        <w:t>Assess the business case and feasibility of the implementation model.</w:t>
      </w:r>
    </w:p>
    <w:p w14:paraId="05C9F7D0" w14:textId="77777777" w:rsidR="003113F6" w:rsidRPr="009968BB" w:rsidRDefault="003113F6" w:rsidP="00A70449">
      <w:pPr>
        <w:pStyle w:val="Bullet1"/>
      </w:pPr>
      <w:r>
        <w:t xml:space="preserve">Review the </w:t>
      </w:r>
      <w:r w:rsidR="003A1A79">
        <w:t>e</w:t>
      </w:r>
      <w:r w:rsidR="003A1A79">
        <w:noBreakHyphen/>
      </w:r>
      <w:r>
        <w:t>A</w:t>
      </w:r>
      <w:r w:rsidRPr="009968BB">
        <w:t>uthentication solution to ensure that the key principles have been addressed and the overall costs and benefits to the agency and its client groups understood and managed.</w:t>
      </w:r>
    </w:p>
    <w:p w14:paraId="30349C4A" w14:textId="77777777" w:rsidR="003113F6" w:rsidRPr="00531891" w:rsidRDefault="003113F6" w:rsidP="00A70449">
      <w:pPr>
        <w:pStyle w:val="Heading2"/>
      </w:pPr>
      <w:bookmarkStart w:id="8" w:name="_Toc206405986"/>
      <w:r w:rsidRPr="00531891">
        <w:t>Roles and responsibilities</w:t>
      </w:r>
      <w:bookmarkEnd w:id="8"/>
    </w:p>
    <w:p w14:paraId="6D5C7F6C" w14:textId="77777777" w:rsidR="003113F6" w:rsidRDefault="003113F6" w:rsidP="00A70449">
      <w:r w:rsidRPr="009968BB">
        <w:t>Technical solutions alone will generally not b</w:t>
      </w:r>
      <w:r>
        <w:t>e enough to satisfy practical</w:t>
      </w:r>
    </w:p>
    <w:p w14:paraId="10914973" w14:textId="77777777" w:rsidR="003113F6" w:rsidRDefault="003A1A79" w:rsidP="00A70449">
      <w:r>
        <w:t>e</w:t>
      </w:r>
      <w:r>
        <w:noBreakHyphen/>
      </w:r>
      <w:r w:rsidR="003113F6">
        <w:t>A</w:t>
      </w:r>
      <w:r w:rsidR="003113F6" w:rsidRPr="009968BB">
        <w:t>uthentication requirements.</w:t>
      </w:r>
      <w:r w:rsidR="003113F6">
        <w:t xml:space="preserve"> </w:t>
      </w:r>
      <w:r>
        <w:t>e</w:t>
      </w:r>
      <w:r>
        <w:noBreakHyphen/>
      </w:r>
      <w:r w:rsidR="003113F6" w:rsidRPr="009968BB">
        <w:t>Authentication also involves management, business processes and cultural issues.</w:t>
      </w:r>
      <w:r w:rsidR="003113F6">
        <w:t xml:space="preserve"> </w:t>
      </w:r>
      <w:r w:rsidR="003113F6" w:rsidRPr="009968BB">
        <w:t xml:space="preserve">Any </w:t>
      </w:r>
      <w:r>
        <w:t>e</w:t>
      </w:r>
      <w:r>
        <w:noBreakHyphen/>
      </w:r>
      <w:r w:rsidR="003113F6">
        <w:t>Authentication</w:t>
      </w:r>
      <w:r w:rsidR="003113F6" w:rsidRPr="009968BB">
        <w:t xml:space="preserve"> solution will need to be supported by procedures that clearly define the responsibilities of the individual entities conducting online transactions.</w:t>
      </w:r>
    </w:p>
    <w:p w14:paraId="30BB73F4" w14:textId="77777777" w:rsidR="003113F6" w:rsidRPr="009968BB" w:rsidRDefault="003113F6" w:rsidP="00A70449">
      <w:r w:rsidRPr="009968BB">
        <w:t xml:space="preserve">The </w:t>
      </w:r>
      <w:proofErr w:type="spellStart"/>
      <w:r w:rsidRPr="009968BB">
        <w:t>NeAF</w:t>
      </w:r>
      <w:proofErr w:type="spellEnd"/>
      <w:r w:rsidRPr="009968BB">
        <w:t xml:space="preserve"> specifies a range of matters to which agencies should give due consideration including:</w:t>
      </w:r>
    </w:p>
    <w:p w14:paraId="225C33CE" w14:textId="77777777" w:rsidR="003113F6" w:rsidRPr="009968BB" w:rsidRDefault="003113F6" w:rsidP="00A70449">
      <w:pPr>
        <w:pStyle w:val="Bullet1"/>
      </w:pPr>
      <w:r>
        <w:t>c</w:t>
      </w:r>
      <w:r w:rsidRPr="009968BB">
        <w:t>onsidering the needs and expectation</w:t>
      </w:r>
      <w:r>
        <w:t>s of individuals and businesses</w:t>
      </w:r>
    </w:p>
    <w:p w14:paraId="463C2959" w14:textId="77777777" w:rsidR="003113F6" w:rsidRPr="009968BB" w:rsidRDefault="003113F6" w:rsidP="00A70449">
      <w:pPr>
        <w:pStyle w:val="Bullet1"/>
      </w:pPr>
      <w:r>
        <w:t>p</w:t>
      </w:r>
      <w:r w:rsidRPr="009968BB">
        <w:t xml:space="preserve">roviding appropriate education and </w:t>
      </w:r>
      <w:r>
        <w:t>awareness services to end users</w:t>
      </w:r>
    </w:p>
    <w:p w14:paraId="0D0B0810" w14:textId="77777777" w:rsidR="003113F6" w:rsidRPr="009968BB" w:rsidRDefault="003113F6" w:rsidP="00A70449">
      <w:pPr>
        <w:pStyle w:val="Bullet1"/>
      </w:pPr>
      <w:r>
        <w:t>p</w:t>
      </w:r>
      <w:r w:rsidRPr="009968BB">
        <w:t>roviding leadershi</w:t>
      </w:r>
      <w:r>
        <w:t xml:space="preserve">p in </w:t>
      </w:r>
      <w:r w:rsidR="003A1A79">
        <w:t>e</w:t>
      </w:r>
      <w:r w:rsidR="003A1A79">
        <w:noBreakHyphen/>
      </w:r>
      <w:r>
        <w:t>Authentication practices</w:t>
      </w:r>
    </w:p>
    <w:p w14:paraId="7B410149" w14:textId="77777777" w:rsidR="003113F6" w:rsidRPr="009968BB" w:rsidRDefault="003113F6" w:rsidP="00A70449">
      <w:pPr>
        <w:pStyle w:val="Bullet1"/>
      </w:pPr>
      <w:r>
        <w:t>d</w:t>
      </w:r>
      <w:r w:rsidRPr="009968BB">
        <w:t>elivering efficient and useful services online; and</w:t>
      </w:r>
    </w:p>
    <w:p w14:paraId="07DB458F" w14:textId="77777777" w:rsidR="003113F6" w:rsidRPr="009968BB" w:rsidRDefault="003113F6" w:rsidP="00A70449">
      <w:pPr>
        <w:pStyle w:val="Bullet1"/>
      </w:pPr>
      <w:r>
        <w:t>e</w:t>
      </w:r>
      <w:r w:rsidRPr="009968BB">
        <w:t>nsuring continuing reliability and quality of services.</w:t>
      </w:r>
    </w:p>
    <w:p w14:paraId="02083221" w14:textId="77777777" w:rsidR="003113F6" w:rsidRPr="009968BB" w:rsidRDefault="003113F6" w:rsidP="00A70449">
      <w:r w:rsidRPr="009968BB">
        <w:t xml:space="preserve">The </w:t>
      </w:r>
      <w:proofErr w:type="spellStart"/>
      <w:r w:rsidRPr="009968BB">
        <w:t>NeAF</w:t>
      </w:r>
      <w:proofErr w:type="spellEnd"/>
      <w:r w:rsidRPr="009968BB">
        <w:t xml:space="preserve"> also considers the obligations of businesses and individuals interacting electronically with government.</w:t>
      </w:r>
      <w:r>
        <w:t xml:space="preserve"> </w:t>
      </w:r>
      <w:r w:rsidRPr="009968BB">
        <w:t>These will usually be set out in an agency’s terms and conditions and would include:</w:t>
      </w:r>
    </w:p>
    <w:p w14:paraId="0F77D1CA" w14:textId="77777777" w:rsidR="003113F6" w:rsidRPr="008F2938" w:rsidRDefault="003113F6" w:rsidP="00A70449">
      <w:pPr>
        <w:pStyle w:val="Bullet1"/>
      </w:pPr>
      <w:r>
        <w:t>p</w:t>
      </w:r>
      <w:r w:rsidRPr="008F2938">
        <w:t xml:space="preserve">rovision of accurate evidence of identity and evidence of relationship </w:t>
      </w:r>
      <w:r>
        <w:t>information</w:t>
      </w:r>
    </w:p>
    <w:p w14:paraId="02B7F5E6" w14:textId="77777777" w:rsidR="003113F6" w:rsidRPr="008F2938" w:rsidRDefault="003113F6" w:rsidP="00A70449">
      <w:pPr>
        <w:pStyle w:val="Bullet1"/>
      </w:pPr>
      <w:r>
        <w:t>m</w:t>
      </w:r>
      <w:r w:rsidRPr="008F2938">
        <w:t>aintain the security of the credentials that are issued; and</w:t>
      </w:r>
    </w:p>
    <w:p w14:paraId="666135EB" w14:textId="77777777" w:rsidR="003113F6" w:rsidRPr="008F2938" w:rsidRDefault="003113F6" w:rsidP="00A70449">
      <w:pPr>
        <w:pStyle w:val="Bullet1"/>
      </w:pPr>
      <w:r>
        <w:t>u</w:t>
      </w:r>
      <w:r w:rsidRPr="008F2938">
        <w:t>se the credentials only for the purposes they are issued.</w:t>
      </w:r>
    </w:p>
    <w:p w14:paraId="3A5E6F83" w14:textId="77777777" w:rsidR="00640505" w:rsidRPr="00AF2050" w:rsidRDefault="00640505" w:rsidP="00A70449"/>
    <w:sectPr w:rsidR="00640505" w:rsidRPr="00AF2050" w:rsidSect="00D3101B">
      <w:headerReference w:type="default" r:id="rId11"/>
      <w:footerReference w:type="default" r:id="rId12"/>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76491" w14:textId="77777777" w:rsidR="00EE52EB" w:rsidRDefault="00EE52EB" w:rsidP="00EF4574">
      <w:pPr>
        <w:spacing w:before="0" w:after="0" w:line="240" w:lineRule="auto"/>
      </w:pPr>
      <w:r>
        <w:separator/>
      </w:r>
    </w:p>
  </w:endnote>
  <w:endnote w:type="continuationSeparator" w:id="0">
    <w:p w14:paraId="713B509C" w14:textId="77777777" w:rsidR="00EE52EB" w:rsidRDefault="00EE52EB"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heSans-Plain">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EE57A" w14:textId="2B9568A2" w:rsidR="00EE720E" w:rsidRDefault="008B117D">
    <w:pPr>
      <w:pStyle w:val="Footer"/>
      <w:rPr>
        <w:rStyle w:val="PageNumber"/>
      </w:rPr>
    </w:pPr>
    <w:fldSimple w:instr=" STYLEREF  Title  \* MERGEFORMAT ">
      <w:r w:rsidR="00750561">
        <w:rPr>
          <w:noProof/>
        </w:rPr>
        <w:t>National e-Authentication Framework</w:t>
      </w:r>
    </w:fldSimple>
    <w:r w:rsidR="00EE720E">
      <w:t xml:space="preserve"> </w:t>
    </w:r>
    <w:r w:rsidR="00EE720E">
      <w:rPr>
        <w:rFonts w:cstheme="minorHAnsi"/>
      </w:rPr>
      <w:t>–</w:t>
    </w:r>
    <w:r w:rsidR="00EE720E">
      <w:t xml:space="preserve"> </w:t>
    </w:r>
    <w:fldSimple w:instr=" STYLEREF  Subtitle  \* MERGEFORMAT ">
      <w:r w:rsidR="00750561">
        <w:rPr>
          <w:noProof/>
        </w:rPr>
        <w:t>Executive Summary</w:t>
      </w:r>
    </w:fldSimple>
    <w:r w:rsidR="00EE720E">
      <w:t xml:space="preserve"> </w:t>
    </w:r>
    <w:r w:rsidR="00EE720E">
      <w:rPr>
        <w:rFonts w:cstheme="minorHAnsi"/>
      </w:rPr>
      <w:t>–</w:t>
    </w:r>
    <w:r w:rsidR="00EE720E">
      <w:t xml:space="preserve"> </w:t>
    </w:r>
    <w:fldSimple w:instr=" STYLEREF  &quot;Subtitle Date&quot;  \* MERGEFORMAT ">
      <w:r w:rsidR="00750561">
        <w:rPr>
          <w:noProof/>
        </w:rPr>
        <w:t>January 2009</w:t>
      </w:r>
    </w:fldSimple>
    <w:r w:rsidR="00EE720E">
      <w:tab/>
    </w:r>
    <w:r w:rsidR="00EE720E" w:rsidRPr="00CF26F0">
      <w:rPr>
        <w:rStyle w:val="PageNumber"/>
      </w:rPr>
      <w:t xml:space="preserve">Page </w:t>
    </w:r>
    <w:r w:rsidR="00EE720E" w:rsidRPr="00CF26F0">
      <w:rPr>
        <w:rStyle w:val="PageNumber"/>
      </w:rPr>
      <w:fldChar w:fldCharType="begin"/>
    </w:r>
    <w:r w:rsidR="00EE720E" w:rsidRPr="00CF26F0">
      <w:rPr>
        <w:rStyle w:val="PageNumber"/>
      </w:rPr>
      <w:instrText xml:space="preserve"> PAGE  \* Arabic  \* MERGEFORMAT </w:instrText>
    </w:r>
    <w:r w:rsidR="00EE720E" w:rsidRPr="00CF26F0">
      <w:rPr>
        <w:rStyle w:val="PageNumber"/>
      </w:rPr>
      <w:fldChar w:fldCharType="separate"/>
    </w:r>
    <w:r w:rsidR="00750561">
      <w:rPr>
        <w:rStyle w:val="PageNumber"/>
        <w:noProof/>
      </w:rPr>
      <w:t>2</w:t>
    </w:r>
    <w:r w:rsidR="00EE720E" w:rsidRPr="00CF26F0">
      <w:rPr>
        <w:rStyle w:val="PageNumber"/>
      </w:rPr>
      <w:fldChar w:fldCharType="end"/>
    </w:r>
    <w:r w:rsidR="00EE720E" w:rsidRPr="00CF26F0">
      <w:rPr>
        <w:rStyle w:val="PageNumber"/>
      </w:rPr>
      <w:t xml:space="preserve"> of </w:t>
    </w:r>
    <w:r w:rsidR="00EE720E" w:rsidRPr="00CF26F0">
      <w:rPr>
        <w:rStyle w:val="PageNumber"/>
      </w:rPr>
      <w:fldChar w:fldCharType="begin"/>
    </w:r>
    <w:r w:rsidR="00EE720E" w:rsidRPr="00CF26F0">
      <w:rPr>
        <w:rStyle w:val="PageNumber"/>
      </w:rPr>
      <w:instrText xml:space="preserve"> NUMPAGES  \* Arabic  \* MERGEFORMAT </w:instrText>
    </w:r>
    <w:r w:rsidR="00EE720E" w:rsidRPr="00CF26F0">
      <w:rPr>
        <w:rStyle w:val="PageNumber"/>
      </w:rPr>
      <w:fldChar w:fldCharType="separate"/>
    </w:r>
    <w:r w:rsidR="00750561">
      <w:rPr>
        <w:rStyle w:val="PageNumber"/>
        <w:noProof/>
      </w:rPr>
      <w:t>6</w:t>
    </w:r>
    <w:r w:rsidR="00EE720E" w:rsidRPr="00CF26F0">
      <w:rPr>
        <w:rStyle w:val="PageNumber"/>
      </w:rPr>
      <w:fldChar w:fldCharType="end"/>
    </w:r>
  </w:p>
  <w:p w14:paraId="118A440A" w14:textId="545840B5" w:rsidR="00045A53" w:rsidRPr="00FE2E9D" w:rsidRDefault="00045A53">
    <w:pPr>
      <w:pStyle w:val="Footer"/>
      <w:rPr>
        <w:color w:val="FF0000"/>
      </w:rPr>
    </w:pPr>
    <w:r w:rsidRPr="00FE2E9D">
      <w:rPr>
        <w:rStyle w:val="PageNumber"/>
        <w:color w:val="FF0000"/>
      </w:rPr>
      <w:t>This document is currently under review by the Digital Transformation Office.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A14EE" w14:textId="77777777" w:rsidR="00EE52EB" w:rsidRDefault="00EE52EB" w:rsidP="00EF4574">
      <w:pPr>
        <w:spacing w:before="0" w:after="0" w:line="240" w:lineRule="auto"/>
      </w:pPr>
      <w:r>
        <w:separator/>
      </w:r>
    </w:p>
  </w:footnote>
  <w:footnote w:type="continuationSeparator" w:id="0">
    <w:p w14:paraId="2E32334B" w14:textId="77777777" w:rsidR="00EE52EB" w:rsidRDefault="00EE52EB" w:rsidP="00EF4574">
      <w:pPr>
        <w:spacing w:before="0" w:after="0" w:line="240" w:lineRule="auto"/>
      </w:pPr>
      <w:r>
        <w:continuationSeparator/>
      </w:r>
    </w:p>
  </w:footnote>
  <w:footnote w:id="1">
    <w:p w14:paraId="2E0A3FE9" w14:textId="77777777" w:rsidR="003113F6" w:rsidRDefault="003113F6" w:rsidP="00EB6D1C">
      <w:pPr>
        <w:pStyle w:val="FootnoteText"/>
      </w:pPr>
      <w:r w:rsidRPr="009968BB">
        <w:rPr>
          <w:rStyle w:val="FootnoteReference"/>
          <w:rFonts w:ascii="TheSans-Plain" w:hAnsi="TheSans-Plain" w:cs="Arial"/>
          <w:sz w:val="18"/>
          <w:szCs w:val="18"/>
        </w:rPr>
        <w:footnoteRef/>
      </w:r>
      <w:r>
        <w:tab/>
      </w:r>
      <w:r w:rsidRPr="009968BB">
        <w:t>The level of risk derives from the impact of a threat, and the likelihood of its occurrence.</w:t>
      </w:r>
      <w:r>
        <w:t xml:space="preserve"> </w:t>
      </w:r>
      <w:r w:rsidRPr="009968BB">
        <w:t>Impact has two dimensions: severity and extent.</w:t>
      </w:r>
      <w:r>
        <w:t xml:space="preserve"> </w:t>
      </w:r>
      <w:r w:rsidRPr="009968BB">
        <w:t>Severity measures the impact of a single instance (e.g. financial loss, inconvenience, embarrassment, injury, death), while extent measures the number of probable instances (e.g. single user/client versus all users/clients).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F606B" w14:textId="77777777" w:rsidR="00EE720E" w:rsidRDefault="00EE720E">
    <w:pPr>
      <w:pStyle w:val="Header"/>
    </w:pPr>
    <w:r>
      <w:rPr>
        <w:noProof/>
        <w:lang w:eastAsia="en-AU"/>
      </w:rPr>
      <mc:AlternateContent>
        <mc:Choice Requires="wps">
          <w:drawing>
            <wp:anchor distT="0" distB="0" distL="114300" distR="114300" simplePos="0" relativeHeight="251659264" behindDoc="1" locked="0" layoutInCell="1" allowOverlap="1" wp14:anchorId="2E669570" wp14:editId="307FB332">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BE8D3" w14:textId="011316A4" w:rsidR="00640505" w:rsidRPr="00FE2E9D" w:rsidRDefault="00045A53" w:rsidP="002266EF">
    <w:pPr>
      <w:pStyle w:val="Footer"/>
      <w:rPr>
        <w:color w:val="FF0000"/>
      </w:rPr>
    </w:pPr>
    <w:r w:rsidRPr="00FE2E9D">
      <w:rPr>
        <w:rStyle w:val="PageNumber"/>
        <w:color w:val="FF0000"/>
      </w:rPr>
      <w:t>This document is currently under review by the Digital Transformation Office.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E0D3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488BA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DE44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4A36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0B275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340A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5A01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44A7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E464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9672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602EBE"/>
    <w:multiLevelType w:val="hybridMultilevel"/>
    <w:tmpl w:val="B74C8E6A"/>
    <w:lvl w:ilvl="0" w:tplc="EAA0B290">
      <w:start w:val="1"/>
      <w:numFmt w:val="bullet"/>
      <w:lvlText w:val="•"/>
      <w:lvlJc w:val="left"/>
      <w:pPr>
        <w:tabs>
          <w:tab w:val="num" w:pos="1210"/>
        </w:tabs>
        <w:ind w:left="1210" w:hanging="850"/>
      </w:pPr>
      <w:rPr>
        <w:rFonts w:ascii="Times New Roman" w:hAnsi="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2F6B80"/>
    <w:multiLevelType w:val="multilevel"/>
    <w:tmpl w:val="9A30927C"/>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2" w15:restartNumberingAfterBreak="0">
    <w:nsid w:val="129A4B9A"/>
    <w:multiLevelType w:val="hybridMultilevel"/>
    <w:tmpl w:val="114E4338"/>
    <w:lvl w:ilvl="0" w:tplc="EAA0B290">
      <w:start w:val="1"/>
      <w:numFmt w:val="bullet"/>
      <w:lvlText w:val="•"/>
      <w:lvlJc w:val="left"/>
      <w:pPr>
        <w:tabs>
          <w:tab w:val="num" w:pos="1210"/>
        </w:tabs>
        <w:ind w:left="1210" w:hanging="850"/>
      </w:pPr>
      <w:rPr>
        <w:rFonts w:ascii="Times New Roman" w:hAnsi="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0696B37"/>
    <w:multiLevelType w:val="multilevel"/>
    <w:tmpl w:val="0D2E1A8A"/>
    <w:numStyleLink w:val="HeadingsList"/>
  </w:abstractNum>
  <w:abstractNum w:abstractNumId="15" w15:restartNumberingAfterBreak="0">
    <w:nsid w:val="40F668E0"/>
    <w:multiLevelType w:val="hybridMultilevel"/>
    <w:tmpl w:val="3D90223C"/>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70E1E"/>
    <w:multiLevelType w:val="hybridMultilevel"/>
    <w:tmpl w:val="8A9A9BA0"/>
    <w:lvl w:ilvl="0" w:tplc="EAA0B290">
      <w:start w:val="1"/>
      <w:numFmt w:val="bullet"/>
      <w:lvlText w:val="•"/>
      <w:lvlJc w:val="left"/>
      <w:pPr>
        <w:tabs>
          <w:tab w:val="num" w:pos="1210"/>
        </w:tabs>
        <w:ind w:left="1210" w:hanging="850"/>
      </w:pPr>
      <w:rPr>
        <w:rFonts w:ascii="Times New Roman" w:hAnsi="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8"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9" w15:restartNumberingAfterBreak="0">
    <w:nsid w:val="5F4E7404"/>
    <w:multiLevelType w:val="hybridMultilevel"/>
    <w:tmpl w:val="290C19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20"/>
  </w:num>
  <w:num w:numId="2">
    <w:abstractNumId w:val="11"/>
  </w:num>
  <w:num w:numId="3">
    <w:abstractNumId w:val="13"/>
  </w:num>
  <w:num w:numId="4">
    <w:abstractNumId w:val="17"/>
  </w:num>
  <w:num w:numId="5">
    <w:abstractNumId w:val="18"/>
  </w:num>
  <w:num w:numId="6">
    <w:abstractNumId w:val="14"/>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9"/>
  </w:num>
  <w:num w:numId="20">
    <w:abstractNumId w:val="12"/>
  </w:num>
  <w:num w:numId="21">
    <w:abstractNumId w:val="10"/>
  </w:num>
  <w:num w:numId="22">
    <w:abstractNumId w:val="16"/>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0"/>
  </w:num>
  <w:num w:numId="26">
    <w:abstractNumId w:val="20"/>
  </w:num>
  <w:num w:numId="27">
    <w:abstractNumId w:val="20"/>
  </w:num>
  <w:num w:numId="28">
    <w:abstractNumId w:val="20"/>
  </w:num>
  <w:num w:numId="29">
    <w:abstractNumId w:val="18"/>
  </w:num>
  <w:num w:numId="30">
    <w:abstractNumId w:val="14"/>
  </w:num>
  <w:num w:numId="31">
    <w:abstractNumId w:val="14"/>
  </w:num>
  <w:num w:numId="32">
    <w:abstractNumId w:val="14"/>
  </w:num>
  <w:num w:numId="33">
    <w:abstractNumId w:val="13"/>
  </w:num>
  <w:num w:numId="34">
    <w:abstractNumId w:val="11"/>
  </w:num>
  <w:num w:numId="35">
    <w:abstractNumId w:val="11"/>
  </w:num>
  <w:num w:numId="36">
    <w:abstractNumId w:val="11"/>
  </w:num>
  <w:num w:numId="37">
    <w:abstractNumId w:val="11"/>
  </w:num>
  <w:num w:numId="38">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2782F"/>
    <w:rsid w:val="00045A53"/>
    <w:rsid w:val="00054E4D"/>
    <w:rsid w:val="00060073"/>
    <w:rsid w:val="001541EA"/>
    <w:rsid w:val="00161D8C"/>
    <w:rsid w:val="001866FB"/>
    <w:rsid w:val="001902F3"/>
    <w:rsid w:val="001A2B8C"/>
    <w:rsid w:val="001A5DCF"/>
    <w:rsid w:val="001E1DC0"/>
    <w:rsid w:val="0021694A"/>
    <w:rsid w:val="00224623"/>
    <w:rsid w:val="002266EF"/>
    <w:rsid w:val="00234B02"/>
    <w:rsid w:val="00267272"/>
    <w:rsid w:val="0028602A"/>
    <w:rsid w:val="002F0A01"/>
    <w:rsid w:val="002F68C1"/>
    <w:rsid w:val="00301144"/>
    <w:rsid w:val="003113F6"/>
    <w:rsid w:val="003148B7"/>
    <w:rsid w:val="003158C3"/>
    <w:rsid w:val="00323F15"/>
    <w:rsid w:val="0032663D"/>
    <w:rsid w:val="003274CD"/>
    <w:rsid w:val="003302F6"/>
    <w:rsid w:val="003409EF"/>
    <w:rsid w:val="00342163"/>
    <w:rsid w:val="0035119D"/>
    <w:rsid w:val="00364D2D"/>
    <w:rsid w:val="00367921"/>
    <w:rsid w:val="003A1A79"/>
    <w:rsid w:val="003B4F12"/>
    <w:rsid w:val="00415759"/>
    <w:rsid w:val="00423F31"/>
    <w:rsid w:val="00442F2E"/>
    <w:rsid w:val="00492ACE"/>
    <w:rsid w:val="004B3775"/>
    <w:rsid w:val="004E058F"/>
    <w:rsid w:val="004E3B87"/>
    <w:rsid w:val="0050534C"/>
    <w:rsid w:val="00510921"/>
    <w:rsid w:val="00510AD3"/>
    <w:rsid w:val="00513348"/>
    <w:rsid w:val="00531E05"/>
    <w:rsid w:val="00533B5D"/>
    <w:rsid w:val="00537531"/>
    <w:rsid w:val="00611D41"/>
    <w:rsid w:val="00623BA1"/>
    <w:rsid w:val="006346BC"/>
    <w:rsid w:val="00640505"/>
    <w:rsid w:val="0066652A"/>
    <w:rsid w:val="00682167"/>
    <w:rsid w:val="006C06D0"/>
    <w:rsid w:val="006C42AF"/>
    <w:rsid w:val="00711D8E"/>
    <w:rsid w:val="00712672"/>
    <w:rsid w:val="00734E3F"/>
    <w:rsid w:val="00736985"/>
    <w:rsid w:val="0074005C"/>
    <w:rsid w:val="0075026E"/>
    <w:rsid w:val="00750561"/>
    <w:rsid w:val="007917C1"/>
    <w:rsid w:val="00793E98"/>
    <w:rsid w:val="007B6200"/>
    <w:rsid w:val="00801B9F"/>
    <w:rsid w:val="00822809"/>
    <w:rsid w:val="008513AB"/>
    <w:rsid w:val="00863E3B"/>
    <w:rsid w:val="00883A8F"/>
    <w:rsid w:val="008935A4"/>
    <w:rsid w:val="00894FEC"/>
    <w:rsid w:val="00896427"/>
    <w:rsid w:val="008B117D"/>
    <w:rsid w:val="008F6F6E"/>
    <w:rsid w:val="00916616"/>
    <w:rsid w:val="009B4D3B"/>
    <w:rsid w:val="009B5138"/>
    <w:rsid w:val="009D7407"/>
    <w:rsid w:val="009E0866"/>
    <w:rsid w:val="00A24A62"/>
    <w:rsid w:val="00A31C9F"/>
    <w:rsid w:val="00A467B5"/>
    <w:rsid w:val="00A64169"/>
    <w:rsid w:val="00A70449"/>
    <w:rsid w:val="00A776ED"/>
    <w:rsid w:val="00A86921"/>
    <w:rsid w:val="00A96735"/>
    <w:rsid w:val="00AC164A"/>
    <w:rsid w:val="00AF2050"/>
    <w:rsid w:val="00BB26C5"/>
    <w:rsid w:val="00BF4DE6"/>
    <w:rsid w:val="00C13C69"/>
    <w:rsid w:val="00C42CDE"/>
    <w:rsid w:val="00C54AD7"/>
    <w:rsid w:val="00C6518F"/>
    <w:rsid w:val="00C6699F"/>
    <w:rsid w:val="00C87032"/>
    <w:rsid w:val="00CA37B1"/>
    <w:rsid w:val="00CB1959"/>
    <w:rsid w:val="00CC4481"/>
    <w:rsid w:val="00CF26F0"/>
    <w:rsid w:val="00D0296C"/>
    <w:rsid w:val="00D1227A"/>
    <w:rsid w:val="00D23DFF"/>
    <w:rsid w:val="00D3101B"/>
    <w:rsid w:val="00D47EF7"/>
    <w:rsid w:val="00D7601B"/>
    <w:rsid w:val="00D91B18"/>
    <w:rsid w:val="00DA4E3D"/>
    <w:rsid w:val="00DD4B64"/>
    <w:rsid w:val="00DE10AB"/>
    <w:rsid w:val="00E04EA6"/>
    <w:rsid w:val="00E53800"/>
    <w:rsid w:val="00E6081F"/>
    <w:rsid w:val="00E73D3F"/>
    <w:rsid w:val="00EA04B2"/>
    <w:rsid w:val="00EA20F3"/>
    <w:rsid w:val="00EB4F4B"/>
    <w:rsid w:val="00EB6D1C"/>
    <w:rsid w:val="00ED43D1"/>
    <w:rsid w:val="00ED6587"/>
    <w:rsid w:val="00EE4EE1"/>
    <w:rsid w:val="00EE52EB"/>
    <w:rsid w:val="00EE720E"/>
    <w:rsid w:val="00EF4574"/>
    <w:rsid w:val="00F02788"/>
    <w:rsid w:val="00F14483"/>
    <w:rsid w:val="00F2684E"/>
    <w:rsid w:val="00F51113"/>
    <w:rsid w:val="00F729EF"/>
    <w:rsid w:val="00F7515E"/>
    <w:rsid w:val="00F96BB9"/>
    <w:rsid w:val="00FC0BEB"/>
    <w:rsid w:val="00FE2E9D"/>
    <w:rsid w:val="00FE516A"/>
    <w:rsid w:val="00FE6D51"/>
    <w:rsid w:val="00FF1D1B"/>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6DA78"/>
  <w15:docId w15:val="{C49CB042-F784-4844-BDF5-A0A44987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5A4"/>
    <w:pPr>
      <w:suppressAutoHyphens/>
      <w:spacing w:before="240" w:line="240" w:lineRule="atLeast"/>
    </w:pPr>
    <w:rPr>
      <w:sz w:val="20"/>
    </w:rPr>
  </w:style>
  <w:style w:type="paragraph" w:styleId="Heading1">
    <w:name w:val="heading 1"/>
    <w:basedOn w:val="Normal"/>
    <w:next w:val="Normal"/>
    <w:link w:val="Heading1Char"/>
    <w:uiPriority w:val="9"/>
    <w:qFormat/>
    <w:rsid w:val="008935A4"/>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8935A4"/>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8935A4"/>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8935A4"/>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semiHidden/>
    <w:unhideWhenUsed/>
    <w:qFormat/>
    <w:rsid w:val="008935A4"/>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8935A4"/>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8935A4"/>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8935A4"/>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8935A4"/>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5A4"/>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8935A4"/>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8935A4"/>
    <w:rPr>
      <w:rFonts w:asciiTheme="majorHAnsi" w:eastAsiaTheme="majorEastAsia" w:hAnsiTheme="majorHAnsi" w:cstheme="majorBidi"/>
      <w:b/>
      <w:bCs/>
      <w:sz w:val="28"/>
    </w:rPr>
  </w:style>
  <w:style w:type="paragraph" w:customStyle="1" w:styleId="NormalIndented">
    <w:name w:val="Normal Indented"/>
    <w:basedOn w:val="Normal"/>
    <w:qFormat/>
    <w:rsid w:val="008935A4"/>
    <w:pPr>
      <w:ind w:left="284"/>
    </w:pPr>
  </w:style>
  <w:style w:type="paragraph" w:styleId="Title">
    <w:name w:val="Title"/>
    <w:basedOn w:val="Normal"/>
    <w:next w:val="Normal"/>
    <w:link w:val="TitleChar"/>
    <w:uiPriority w:val="10"/>
    <w:qFormat/>
    <w:rsid w:val="008935A4"/>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8935A4"/>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8935A4"/>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8935A4"/>
    <w:rPr>
      <w:rFonts w:eastAsiaTheme="majorEastAsia" w:cstheme="majorBidi"/>
      <w:iCs/>
      <w:color w:val="FFFFFF" w:themeColor="background1"/>
      <w:sz w:val="52"/>
      <w:szCs w:val="24"/>
    </w:rPr>
  </w:style>
  <w:style w:type="paragraph" w:customStyle="1" w:styleId="Bullet1">
    <w:name w:val="Bullet 1"/>
    <w:basedOn w:val="Normal"/>
    <w:qFormat/>
    <w:rsid w:val="008935A4"/>
    <w:pPr>
      <w:numPr>
        <w:numId w:val="28"/>
      </w:numPr>
      <w:spacing w:before="120"/>
    </w:pPr>
  </w:style>
  <w:style w:type="paragraph" w:customStyle="1" w:styleId="Bullet2">
    <w:name w:val="Bullet 2"/>
    <w:basedOn w:val="Normal"/>
    <w:qFormat/>
    <w:rsid w:val="008935A4"/>
    <w:pPr>
      <w:numPr>
        <w:ilvl w:val="1"/>
        <w:numId w:val="28"/>
      </w:numPr>
      <w:spacing w:before="120"/>
    </w:pPr>
  </w:style>
  <w:style w:type="paragraph" w:customStyle="1" w:styleId="Bullet3">
    <w:name w:val="Bullet 3"/>
    <w:basedOn w:val="Normal"/>
    <w:qFormat/>
    <w:rsid w:val="008935A4"/>
    <w:pPr>
      <w:keepNext/>
      <w:numPr>
        <w:ilvl w:val="2"/>
        <w:numId w:val="28"/>
      </w:numPr>
      <w:spacing w:before="120"/>
    </w:pPr>
  </w:style>
  <w:style w:type="paragraph" w:customStyle="1" w:styleId="NumberedList1">
    <w:name w:val="Numbered List 1"/>
    <w:basedOn w:val="Normal"/>
    <w:qFormat/>
    <w:rsid w:val="008935A4"/>
    <w:pPr>
      <w:numPr>
        <w:numId w:val="37"/>
      </w:numPr>
      <w:spacing w:before="120"/>
    </w:pPr>
  </w:style>
  <w:style w:type="paragraph" w:customStyle="1" w:styleId="NumberedList2">
    <w:name w:val="Numbered List 2"/>
    <w:basedOn w:val="NumberedList1"/>
    <w:qFormat/>
    <w:rsid w:val="008935A4"/>
    <w:pPr>
      <w:numPr>
        <w:ilvl w:val="1"/>
      </w:numPr>
    </w:pPr>
  </w:style>
  <w:style w:type="paragraph" w:customStyle="1" w:styleId="NumberedList3">
    <w:name w:val="Numbered List 3"/>
    <w:basedOn w:val="Normal"/>
    <w:qFormat/>
    <w:rsid w:val="008935A4"/>
    <w:pPr>
      <w:numPr>
        <w:ilvl w:val="2"/>
        <w:numId w:val="37"/>
      </w:numPr>
      <w:spacing w:before="120"/>
    </w:pPr>
  </w:style>
  <w:style w:type="paragraph" w:customStyle="1" w:styleId="Heading1Numbered">
    <w:name w:val="Heading 1 Numbered"/>
    <w:basedOn w:val="Heading1"/>
    <w:next w:val="Normal"/>
    <w:qFormat/>
    <w:rsid w:val="008935A4"/>
    <w:pPr>
      <w:numPr>
        <w:numId w:val="33"/>
      </w:numPr>
    </w:pPr>
  </w:style>
  <w:style w:type="paragraph" w:customStyle="1" w:styleId="Heading2Numbered">
    <w:name w:val="Heading 2 Numbered"/>
    <w:basedOn w:val="Heading2"/>
    <w:next w:val="Normal"/>
    <w:qFormat/>
    <w:rsid w:val="008935A4"/>
    <w:pPr>
      <w:numPr>
        <w:ilvl w:val="1"/>
        <w:numId w:val="33"/>
      </w:numPr>
    </w:pPr>
  </w:style>
  <w:style w:type="paragraph" w:customStyle="1" w:styleId="Heading3Numbered">
    <w:name w:val="Heading 3 Numbered"/>
    <w:basedOn w:val="Heading3"/>
    <w:next w:val="Normal"/>
    <w:qFormat/>
    <w:rsid w:val="008935A4"/>
    <w:pPr>
      <w:numPr>
        <w:ilvl w:val="2"/>
        <w:numId w:val="33"/>
      </w:numPr>
    </w:pPr>
  </w:style>
  <w:style w:type="numbering" w:customStyle="1" w:styleId="BulletsList">
    <w:name w:val="Bullets List"/>
    <w:uiPriority w:val="99"/>
    <w:rsid w:val="008935A4"/>
    <w:pPr>
      <w:numPr>
        <w:numId w:val="1"/>
      </w:numPr>
    </w:pPr>
  </w:style>
  <w:style w:type="numbering" w:customStyle="1" w:styleId="Numberedlist">
    <w:name w:val="Numbered list"/>
    <w:uiPriority w:val="99"/>
    <w:rsid w:val="008935A4"/>
    <w:pPr>
      <w:numPr>
        <w:numId w:val="2"/>
      </w:numPr>
    </w:pPr>
  </w:style>
  <w:style w:type="numbering" w:customStyle="1" w:styleId="HeadingsList">
    <w:name w:val="Headings List"/>
    <w:uiPriority w:val="99"/>
    <w:rsid w:val="008935A4"/>
    <w:pPr>
      <w:numPr>
        <w:numId w:val="3"/>
      </w:numPr>
    </w:pPr>
  </w:style>
  <w:style w:type="table" w:styleId="PlainTable2">
    <w:name w:val="Plain Table 2"/>
    <w:basedOn w:val="TableNormal"/>
    <w:uiPriority w:val="42"/>
    <w:rsid w:val="008935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8935A4"/>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8935A4"/>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8935A4"/>
    <w:pPr>
      <w:ind w:right="454"/>
    </w:pPr>
    <w:rPr>
      <w:b/>
    </w:rPr>
  </w:style>
  <w:style w:type="paragraph" w:styleId="TOC2">
    <w:name w:val="toc 2"/>
    <w:basedOn w:val="Normal"/>
    <w:next w:val="Normal"/>
    <w:autoRedefine/>
    <w:uiPriority w:val="39"/>
    <w:unhideWhenUsed/>
    <w:rsid w:val="008935A4"/>
    <w:pPr>
      <w:tabs>
        <w:tab w:val="left" w:pos="880"/>
        <w:tab w:val="right" w:leader="dot" w:pos="9060"/>
      </w:tabs>
      <w:spacing w:before="0"/>
      <w:ind w:left="199" w:right="454"/>
    </w:pPr>
  </w:style>
  <w:style w:type="paragraph" w:styleId="TOC3">
    <w:name w:val="toc 3"/>
    <w:basedOn w:val="Normal"/>
    <w:next w:val="Normal"/>
    <w:autoRedefine/>
    <w:unhideWhenUsed/>
    <w:rsid w:val="008935A4"/>
    <w:pPr>
      <w:ind w:left="400"/>
    </w:pPr>
  </w:style>
  <w:style w:type="paragraph" w:styleId="Header">
    <w:name w:val="header"/>
    <w:basedOn w:val="Normal"/>
    <w:link w:val="HeaderChar"/>
    <w:unhideWhenUsed/>
    <w:rsid w:val="008935A4"/>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8935A4"/>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8935A4"/>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8935A4"/>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8935A4"/>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8935A4"/>
    <w:pPr>
      <w:numPr>
        <w:numId w:val="4"/>
      </w:numPr>
    </w:pPr>
  </w:style>
  <w:style w:type="paragraph" w:styleId="TOC8">
    <w:name w:val="toc 8"/>
    <w:basedOn w:val="Normal"/>
    <w:next w:val="Normal"/>
    <w:autoRedefine/>
    <w:uiPriority w:val="39"/>
    <w:unhideWhenUsed/>
    <w:rsid w:val="008935A4"/>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8935A4"/>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8935A4"/>
    <w:pPr>
      <w:spacing w:after="0"/>
      <w:ind w:left="907" w:hanging="907"/>
    </w:pPr>
  </w:style>
  <w:style w:type="paragraph" w:customStyle="1" w:styleId="BoxText">
    <w:name w:val="Box Text"/>
    <w:basedOn w:val="Normal"/>
    <w:qFormat/>
    <w:rsid w:val="008935A4"/>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89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8935A4"/>
    <w:rPr>
      <w:sz w:val="16"/>
    </w:rPr>
  </w:style>
  <w:style w:type="numbering" w:customStyle="1" w:styleId="FigureTitles">
    <w:name w:val="Figure Titles"/>
    <w:uiPriority w:val="99"/>
    <w:rsid w:val="008935A4"/>
    <w:pPr>
      <w:numPr>
        <w:numId w:val="5"/>
      </w:numPr>
    </w:pPr>
  </w:style>
  <w:style w:type="character" w:styleId="Hyperlink">
    <w:name w:val="Hyperlink"/>
    <w:basedOn w:val="DefaultParagraphFont"/>
    <w:uiPriority w:val="99"/>
    <w:rsid w:val="008935A4"/>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8935A4"/>
    <w:rPr>
      <w:b/>
      <w:i/>
      <w:iCs/>
      <w:color w:val="auto"/>
    </w:rPr>
  </w:style>
  <w:style w:type="character" w:styleId="Strong">
    <w:name w:val="Strong"/>
    <w:basedOn w:val="DefaultParagraphFont"/>
    <w:uiPriority w:val="22"/>
    <w:qFormat/>
    <w:rsid w:val="008935A4"/>
    <w:rPr>
      <w:b/>
      <w:bCs/>
    </w:rPr>
  </w:style>
  <w:style w:type="character" w:styleId="Emphasis">
    <w:name w:val="Emphasis"/>
    <w:basedOn w:val="DefaultParagraphFont"/>
    <w:uiPriority w:val="20"/>
    <w:qFormat/>
    <w:rsid w:val="008935A4"/>
    <w:rPr>
      <w:i/>
      <w:iCs/>
    </w:rPr>
  </w:style>
  <w:style w:type="character" w:customStyle="1" w:styleId="Heading5Char">
    <w:name w:val="Heading 5 Char"/>
    <w:basedOn w:val="DefaultParagraphFont"/>
    <w:link w:val="Heading5"/>
    <w:uiPriority w:val="9"/>
    <w:semiHidden/>
    <w:rsid w:val="008935A4"/>
    <w:rPr>
      <w:rFonts w:asciiTheme="majorHAnsi" w:eastAsiaTheme="majorEastAsia" w:hAnsiTheme="majorHAnsi" w:cstheme="majorBidi"/>
      <w:i/>
      <w:color w:val="2E74B5" w:themeColor="accent1" w:themeShade="BF"/>
    </w:rPr>
  </w:style>
  <w:style w:type="paragraph" w:styleId="Caption">
    <w:name w:val="caption"/>
    <w:basedOn w:val="Normal"/>
    <w:next w:val="Normal"/>
    <w:link w:val="CaptionChar"/>
    <w:uiPriority w:val="35"/>
    <w:unhideWhenUsed/>
    <w:qFormat/>
    <w:rsid w:val="008935A4"/>
    <w:pPr>
      <w:spacing w:before="360"/>
      <w:contextualSpacing/>
      <w:jc w:val="center"/>
    </w:pPr>
    <w:rPr>
      <w:b/>
      <w:iCs/>
      <w:color w:val="000000" w:themeColor="text1"/>
      <w:szCs w:val="18"/>
    </w:rPr>
  </w:style>
  <w:style w:type="paragraph" w:styleId="Footer">
    <w:name w:val="footer"/>
    <w:basedOn w:val="Normal"/>
    <w:link w:val="FooterChar"/>
    <w:uiPriority w:val="99"/>
    <w:unhideWhenUsed/>
    <w:rsid w:val="008935A4"/>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8935A4"/>
    <w:rPr>
      <w:sz w:val="16"/>
    </w:rPr>
  </w:style>
  <w:style w:type="paragraph" w:customStyle="1" w:styleId="SubtitleDate">
    <w:name w:val="Subtitle Date"/>
    <w:basedOn w:val="Normal"/>
    <w:qFormat/>
    <w:rsid w:val="008935A4"/>
    <w:rPr>
      <w:b/>
      <w:color w:val="FFFFFF" w:themeColor="background1"/>
      <w:sz w:val="32"/>
    </w:rPr>
  </w:style>
  <w:style w:type="paragraph" w:customStyle="1" w:styleId="Heading1notinTOC">
    <w:name w:val="Heading 1 not in TOC"/>
    <w:basedOn w:val="Heading1"/>
    <w:qFormat/>
    <w:rsid w:val="008935A4"/>
  </w:style>
  <w:style w:type="paragraph" w:styleId="EndnoteText">
    <w:name w:val="endnote text"/>
    <w:basedOn w:val="Normal"/>
    <w:link w:val="EndnoteTextChar"/>
    <w:uiPriority w:val="99"/>
    <w:semiHidden/>
    <w:unhideWhenUsed/>
    <w:rsid w:val="008935A4"/>
    <w:pPr>
      <w:spacing w:before="0" w:after="0" w:line="240" w:lineRule="auto"/>
    </w:pPr>
    <w:rPr>
      <w:szCs w:val="20"/>
    </w:rPr>
  </w:style>
  <w:style w:type="character" w:customStyle="1" w:styleId="EndnoteTextChar">
    <w:name w:val="Endnote Text Char"/>
    <w:basedOn w:val="DefaultParagraphFont"/>
    <w:link w:val="EndnoteText"/>
    <w:uiPriority w:val="99"/>
    <w:semiHidden/>
    <w:rsid w:val="008935A4"/>
    <w:rPr>
      <w:sz w:val="20"/>
      <w:szCs w:val="20"/>
    </w:rPr>
  </w:style>
  <w:style w:type="character" w:styleId="EndnoteReference">
    <w:name w:val="endnote reference"/>
    <w:basedOn w:val="DefaultParagraphFont"/>
    <w:uiPriority w:val="99"/>
    <w:semiHidden/>
    <w:unhideWhenUsed/>
    <w:rsid w:val="008935A4"/>
    <w:rPr>
      <w:vertAlign w:val="superscript"/>
    </w:rPr>
  </w:style>
  <w:style w:type="paragraph" w:styleId="FootnoteText">
    <w:name w:val="footnote text"/>
    <w:basedOn w:val="Normal"/>
    <w:link w:val="FootnoteTextChar"/>
    <w:uiPriority w:val="99"/>
    <w:unhideWhenUsed/>
    <w:qFormat/>
    <w:rsid w:val="008935A4"/>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8935A4"/>
    <w:rPr>
      <w:sz w:val="16"/>
      <w:szCs w:val="20"/>
    </w:rPr>
  </w:style>
  <w:style w:type="character" w:styleId="FootnoteReference">
    <w:name w:val="footnote reference"/>
    <w:basedOn w:val="DefaultParagraphFont"/>
    <w:uiPriority w:val="99"/>
    <w:unhideWhenUsed/>
    <w:rsid w:val="008935A4"/>
    <w:rPr>
      <w:vertAlign w:val="superscript"/>
    </w:rPr>
  </w:style>
  <w:style w:type="character" w:styleId="PageNumber">
    <w:name w:val="page number"/>
    <w:basedOn w:val="DefaultParagraphFont"/>
    <w:unhideWhenUsed/>
    <w:rsid w:val="008935A4"/>
  </w:style>
  <w:style w:type="character" w:customStyle="1" w:styleId="Heading6Char">
    <w:name w:val="Heading 6 Char"/>
    <w:basedOn w:val="DefaultParagraphFont"/>
    <w:link w:val="Heading6"/>
    <w:uiPriority w:val="9"/>
    <w:semiHidden/>
    <w:rsid w:val="008935A4"/>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935A4"/>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935A4"/>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935A4"/>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8935A4"/>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8935A4"/>
    <w:rPr>
      <w:rFonts w:ascii="Tahoma" w:eastAsia="Times New Roman" w:hAnsi="Tahoma" w:cs="Tahoma"/>
      <w:sz w:val="16"/>
      <w:szCs w:val="16"/>
      <w:lang w:val="en-GB"/>
    </w:rPr>
  </w:style>
  <w:style w:type="paragraph" w:customStyle="1" w:styleId="BoxBullet1">
    <w:name w:val="Box Bullet 1"/>
    <w:basedOn w:val="Bullet1"/>
    <w:qFormat/>
    <w:rsid w:val="008935A4"/>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8935A4"/>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8935A4"/>
    <w:pPr>
      <w:spacing w:before="120" w:after="180"/>
    </w:pPr>
    <w:rPr>
      <w:szCs w:val="20"/>
    </w:rPr>
  </w:style>
  <w:style w:type="paragraph" w:styleId="NormalIndent">
    <w:name w:val="Normal Indent"/>
    <w:basedOn w:val="Normal"/>
    <w:uiPriority w:val="99"/>
    <w:unhideWhenUsed/>
    <w:rsid w:val="008935A4"/>
    <w:pPr>
      <w:ind w:left="720"/>
    </w:pPr>
  </w:style>
  <w:style w:type="paragraph" w:customStyle="1" w:styleId="FooterLandscape">
    <w:name w:val="Footer Landscape"/>
    <w:basedOn w:val="Footer"/>
    <w:qFormat/>
    <w:rsid w:val="008935A4"/>
    <w:pPr>
      <w:tabs>
        <w:tab w:val="clear" w:pos="9072"/>
        <w:tab w:val="right" w:pos="14288"/>
      </w:tabs>
    </w:pPr>
  </w:style>
  <w:style w:type="character" w:styleId="FollowedHyperlink">
    <w:name w:val="FollowedHyperlink"/>
    <w:rsid w:val="008935A4"/>
    <w:rPr>
      <w:color w:val="800080"/>
      <w:u w:val="single"/>
    </w:rPr>
  </w:style>
  <w:style w:type="paragraph" w:styleId="ListParagraph">
    <w:name w:val="List Paragraph"/>
    <w:basedOn w:val="Normal"/>
    <w:uiPriority w:val="34"/>
    <w:qFormat/>
    <w:rsid w:val="008935A4"/>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8935A4"/>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8935A4"/>
    <w:rPr>
      <w:i/>
      <w:iCs/>
    </w:rPr>
  </w:style>
  <w:style w:type="character" w:customStyle="1" w:styleId="CaptionChar">
    <w:name w:val="Caption Char"/>
    <w:basedOn w:val="DefaultParagraphFont"/>
    <w:link w:val="Caption"/>
    <w:uiPriority w:val="35"/>
    <w:locked/>
    <w:rsid w:val="003113F6"/>
    <w:rPr>
      <w:b/>
      <w:iCs/>
      <w:color w:val="000000" w:themeColor="text1"/>
      <w:sz w:val="20"/>
      <w:szCs w:val="18"/>
    </w:rPr>
  </w:style>
  <w:style w:type="character" w:styleId="CommentReference">
    <w:name w:val="annotation reference"/>
    <w:basedOn w:val="DefaultParagraphFont"/>
    <w:uiPriority w:val="99"/>
    <w:semiHidden/>
    <w:unhideWhenUsed/>
    <w:rsid w:val="008935A4"/>
    <w:rPr>
      <w:sz w:val="16"/>
      <w:szCs w:val="16"/>
    </w:rPr>
  </w:style>
  <w:style w:type="paragraph" w:styleId="CommentText">
    <w:name w:val="annotation text"/>
    <w:basedOn w:val="Normal"/>
    <w:link w:val="CommentTextChar"/>
    <w:uiPriority w:val="99"/>
    <w:semiHidden/>
    <w:unhideWhenUsed/>
    <w:rsid w:val="008935A4"/>
    <w:pPr>
      <w:spacing w:line="240" w:lineRule="auto"/>
    </w:pPr>
    <w:rPr>
      <w:szCs w:val="20"/>
    </w:rPr>
  </w:style>
  <w:style w:type="character" w:customStyle="1" w:styleId="CommentTextChar">
    <w:name w:val="Comment Text Char"/>
    <w:basedOn w:val="DefaultParagraphFont"/>
    <w:link w:val="CommentText"/>
    <w:uiPriority w:val="99"/>
    <w:semiHidden/>
    <w:rsid w:val="008935A4"/>
    <w:rPr>
      <w:sz w:val="20"/>
      <w:szCs w:val="20"/>
    </w:rPr>
  </w:style>
  <w:style w:type="paragraph" w:styleId="CommentSubject">
    <w:name w:val="annotation subject"/>
    <w:basedOn w:val="CommentText"/>
    <w:next w:val="CommentText"/>
    <w:link w:val="CommentSubjectChar"/>
    <w:uiPriority w:val="99"/>
    <w:semiHidden/>
    <w:unhideWhenUsed/>
    <w:rsid w:val="008935A4"/>
    <w:rPr>
      <w:b/>
      <w:bCs/>
    </w:rPr>
  </w:style>
  <w:style w:type="character" w:customStyle="1" w:styleId="CommentSubjectChar">
    <w:name w:val="Comment Subject Char"/>
    <w:basedOn w:val="CommentTextChar"/>
    <w:link w:val="CommentSubject"/>
    <w:uiPriority w:val="99"/>
    <w:semiHidden/>
    <w:rsid w:val="00893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45661">
      <w:bodyDiv w:val="1"/>
      <w:marLeft w:val="0"/>
      <w:marRight w:val="0"/>
      <w:marTop w:val="0"/>
      <w:marBottom w:val="0"/>
      <w:divBdr>
        <w:top w:val="none" w:sz="0" w:space="0" w:color="auto"/>
        <w:left w:val="none" w:sz="0" w:space="0" w:color="auto"/>
        <w:bottom w:val="none" w:sz="0" w:space="0" w:color="auto"/>
        <w:right w:val="none" w:sz="0" w:space="0" w:color="auto"/>
      </w:divBdr>
    </w:div>
    <w:div w:id="48197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www.ag.gov.au/cc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93083-E792-41FC-AFD8-25F418459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 Authentication Framework - Executive Summary</dc:title>
  <dc:subject/>
  <dc:creator>Digital Transformation Office</dc:creator>
  <cp:keywords/>
  <dc:description/>
  <cp:lastModifiedBy>Ben Fulford</cp:lastModifiedBy>
  <cp:revision>3</cp:revision>
  <cp:lastPrinted>2015-11-30T23:32:00Z</cp:lastPrinted>
  <dcterms:created xsi:type="dcterms:W3CDTF">2015-10-09T01:01:00Z</dcterms:created>
  <dcterms:modified xsi:type="dcterms:W3CDTF">2015-11-30T23:38:00Z</dcterms:modified>
</cp:coreProperties>
</file>