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6CC17" w14:textId="77777777" w:rsidR="002F0A01" w:rsidRDefault="003409EF" w:rsidP="002F0A01">
      <w:r>
        <w:rPr>
          <w:noProof/>
          <w:lang w:eastAsia="en-AU"/>
        </w:rPr>
        <w:drawing>
          <wp:inline distT="0" distB="0" distL="0" distR="0" wp14:anchorId="5A891E52" wp14:editId="595D1491">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64D0340B" w14:textId="6C827915" w:rsidR="004E058F" w:rsidRDefault="00A70754" w:rsidP="004E058F">
      <w:pPr>
        <w:pStyle w:val="Title"/>
      </w:pPr>
      <w:r w:rsidRPr="00A70754">
        <w:t>Natio</w:t>
      </w:r>
      <w:bookmarkStart w:id="0" w:name="_GoBack"/>
      <w:bookmarkEnd w:id="0"/>
      <w:r w:rsidRPr="00A70754">
        <w:t xml:space="preserve">nal </w:t>
      </w:r>
      <w:r w:rsidR="00B91B23">
        <w:t>e</w:t>
      </w:r>
      <w:r w:rsidR="00B91B23" w:rsidRPr="00933C42">
        <w:rPr>
          <w:rFonts w:ascii="Arial Narrow" w:hAnsi="Arial Narrow"/>
        </w:rPr>
        <w:noBreakHyphen/>
      </w:r>
      <w:r w:rsidRPr="00A70754">
        <w:t>Authentication Framework</w:t>
      </w:r>
      <w:r w:rsidR="00D1227A">
        <w:t xml:space="preserve"> </w:t>
      </w:r>
    </w:p>
    <w:p w14:paraId="226971D9" w14:textId="77777777" w:rsidR="00883A8F" w:rsidRDefault="00A70754" w:rsidP="002F0A01">
      <w:pPr>
        <w:pStyle w:val="SubtitleDate"/>
      </w:pPr>
      <w:r>
        <w:t>January</w:t>
      </w:r>
      <w:r w:rsidR="00D1227A" w:rsidRPr="00D1227A">
        <w:t xml:space="preserve"> 20</w:t>
      </w:r>
      <w:r>
        <w:t>09</w:t>
      </w:r>
    </w:p>
    <w:p w14:paraId="4241623B"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61624773" w14:textId="77777777" w:rsidR="00A70754" w:rsidRPr="00A70754" w:rsidRDefault="00A70754" w:rsidP="00A70754">
      <w:pPr>
        <w:rPr>
          <w:rStyle w:val="Strong"/>
        </w:rPr>
      </w:pPr>
      <w:r w:rsidRPr="00A70754">
        <w:rPr>
          <w:rStyle w:val="Strong"/>
        </w:rPr>
        <w:lastRenderedPageBreak/>
        <w:t>Disclaimer</w:t>
      </w:r>
    </w:p>
    <w:p w14:paraId="125BF4B3" w14:textId="79F6BA7A" w:rsidR="00A70754" w:rsidRDefault="00A70754" w:rsidP="00A70754">
      <w:r>
        <w:t xml:space="preserve">This document has been prepared by the Department of Finance and Deregulation (Finance) to provide information to government bodies in relation to the use of </w:t>
      </w:r>
      <w:r w:rsidR="00BE178F">
        <w:t>e</w:t>
      </w:r>
      <w:r w:rsidR="00BE178F">
        <w:noBreakHyphen/>
      </w:r>
      <w:r>
        <w:t>Authentication for government transactions.</w:t>
      </w:r>
    </w:p>
    <w:p w14:paraId="6CC73C69" w14:textId="095CCBD7" w:rsidR="00A70754" w:rsidRDefault="00A70754" w:rsidP="00A70754">
      <w:r>
        <w:t>While every effort</w:t>
      </w:r>
      <w:r w:rsidR="00D713EA">
        <w:t xml:space="preserve"> </w:t>
      </w:r>
      <w:r>
        <w:t xml:space="preserve">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77920519" w14:textId="5C01325D" w:rsidR="00D713EA" w:rsidRDefault="00A70754" w:rsidP="00A70754">
      <w:r>
        <w:t>Links to other websites are inserted for convenience only and do not constitute endorsement of material at those sites, or any associated organisation, product or service.</w:t>
      </w:r>
    </w:p>
    <w:p w14:paraId="37DA9874" w14:textId="77777777" w:rsidR="00A70754" w:rsidRDefault="00A70754" w:rsidP="00A70754">
      <w:r>
        <w:t>ISBN 0 9758173 7 X</w:t>
      </w:r>
    </w:p>
    <w:p w14:paraId="58176418" w14:textId="77777777" w:rsidR="00A70754" w:rsidRDefault="00A70754" w:rsidP="00A70754">
      <w:r>
        <w:t>Department of Finance and Deregulation</w:t>
      </w:r>
      <w:r>
        <w:br/>
        <w:t>Australian Government Information Management Office</w:t>
      </w:r>
    </w:p>
    <w:p w14:paraId="1467D147" w14:textId="77777777" w:rsidR="00A70754" w:rsidRDefault="00A70754" w:rsidP="00A70754">
      <w:r>
        <w:t>© Commonwealth of Australia 2009</w:t>
      </w:r>
    </w:p>
    <w:p w14:paraId="6DD43B20" w14:textId="77777777" w:rsidR="00A70754" w:rsidRDefault="00A70754" w:rsidP="00A70754">
      <w:r>
        <w:t>This work is copyright. Apart from any use as permitted under the Copyright Act 1968, no part may be reproduced by any process without prior written permission from the Commonwealth.</w:t>
      </w:r>
    </w:p>
    <w:p w14:paraId="01ED2C85" w14:textId="77777777" w:rsidR="00A70754" w:rsidRDefault="00A70754" w:rsidP="00A70754">
      <w:r>
        <w:t>Requests and inquiries concerning reproduction and rights should be addressed to the:</w:t>
      </w:r>
    </w:p>
    <w:p w14:paraId="02D1A165" w14:textId="055E1FD5" w:rsidR="00A70754" w:rsidRDefault="00A70754" w:rsidP="00A70754">
      <w:r>
        <w:t>Commonwealth Copyright Administration,</w:t>
      </w:r>
      <w:r>
        <w:br/>
        <w:t>Attorney General’s Department,</w:t>
      </w:r>
      <w:r>
        <w:br/>
        <w:t>Robert Garran Offices,</w:t>
      </w:r>
      <w:r>
        <w:br/>
        <w:t>National Circuit,</w:t>
      </w:r>
      <w:r>
        <w:br/>
        <w:t>Barton ACT 2600</w:t>
      </w:r>
    </w:p>
    <w:p w14:paraId="3F294037" w14:textId="7783837B" w:rsidR="00A70754" w:rsidRPr="003326A8" w:rsidRDefault="00A70754" w:rsidP="00A70754">
      <w:r w:rsidRPr="003326A8">
        <w:t xml:space="preserve">or posted at </w:t>
      </w:r>
      <w:hyperlink r:id="rId10" w:tooltip="Licensing and use of Commonwealth material website" w:history="1">
        <w:r>
          <w:rPr>
            <w:rStyle w:val="Hyperlink"/>
            <w:szCs w:val="20"/>
            <w:lang w:val="en-US"/>
          </w:rPr>
          <w:t>http://www.ag.gov.au/cca</w:t>
        </w:r>
      </w:hyperlink>
    </w:p>
    <w:p w14:paraId="2C914203" w14:textId="77777777" w:rsidR="00A70754" w:rsidRPr="00A70754" w:rsidRDefault="00A70754" w:rsidP="00A70754">
      <w:pPr>
        <w:rPr>
          <w:rStyle w:val="Strong"/>
        </w:rPr>
      </w:pPr>
      <w:r w:rsidRPr="00A70754">
        <w:rPr>
          <w:rStyle w:val="Strong"/>
        </w:rPr>
        <w:t>Acknowledgements</w:t>
      </w:r>
    </w:p>
    <w:p w14:paraId="5B9E3C96" w14:textId="77777777" w:rsidR="00A70754" w:rsidRDefault="00A70754" w:rsidP="00A70754">
      <w:r>
        <w:t xml:space="preserve">Photographs taken by Steve </w:t>
      </w:r>
      <w:proofErr w:type="spellStart"/>
      <w:r>
        <w:t>Keough</w:t>
      </w:r>
      <w:proofErr w:type="spellEnd"/>
      <w:r>
        <w:t xml:space="preserve">, Steve </w:t>
      </w:r>
      <w:proofErr w:type="spellStart"/>
      <w:r>
        <w:t>Keough</w:t>
      </w:r>
      <w:proofErr w:type="spellEnd"/>
      <w:r>
        <w:t xml:space="preserve"> Photography</w:t>
      </w:r>
    </w:p>
    <w:p w14:paraId="60873BFA" w14:textId="77777777" w:rsidR="00A70754" w:rsidRDefault="00A70754" w:rsidP="00A70754">
      <w:r>
        <w:t>Copyright: Department of Finance and Deregulation</w:t>
      </w:r>
    </w:p>
    <w:p w14:paraId="3F14DED4" w14:textId="77777777" w:rsidR="00A70754" w:rsidRPr="006B3EA5" w:rsidRDefault="00A70754" w:rsidP="00A70754">
      <w:pPr>
        <w:pStyle w:val="Heading1"/>
      </w:pPr>
      <w:bookmarkStart w:id="1" w:name="_Toc430770894"/>
      <w:r w:rsidRPr="006B3EA5">
        <w:lastRenderedPageBreak/>
        <w:t>Foreword</w:t>
      </w:r>
      <w:bookmarkEnd w:id="1"/>
    </w:p>
    <w:p w14:paraId="1EB55245" w14:textId="77777777" w:rsidR="00A70754" w:rsidRPr="00DF4CCF" w:rsidRDefault="00A70754" w:rsidP="00A70754">
      <w:pPr>
        <w:rPr>
          <w:lang w:val="en" w:eastAsia="ja-JP"/>
        </w:rPr>
      </w:pPr>
      <w:r w:rsidRPr="00DF4CCF">
        <w:rPr>
          <w:lang w:val="en" w:eastAsia="ja-JP"/>
        </w:rPr>
        <w:t>Australian citizens and businesses are increasingly conducting a wide range of transactions with government agencies using various delivery channels, including the internet and phon</w:t>
      </w:r>
      <w:r w:rsidR="00BE178F">
        <w:rPr>
          <w:lang w:val="en" w:eastAsia="ja-JP"/>
        </w:rPr>
        <w:t>e</w:t>
      </w:r>
      <w:r w:rsidR="00BE178F">
        <w:rPr>
          <w:lang w:val="en" w:eastAsia="ja-JP"/>
        </w:rPr>
        <w:noBreakHyphen/>
      </w:r>
      <w:r w:rsidRPr="00DF4CCF">
        <w:rPr>
          <w:lang w:val="en" w:eastAsia="ja-JP"/>
        </w:rPr>
        <w:t>based services. These transactions are made to obtain general information, make applications and payments, lodge reports, receive benefits, lodge tenders and provide services for government.</w:t>
      </w:r>
      <w:r>
        <w:rPr>
          <w:lang w:val="en" w:eastAsia="ja-JP"/>
        </w:rPr>
        <w:t xml:space="preserve"> </w:t>
      </w:r>
      <w:r w:rsidRPr="00DF4CCF">
        <w:rPr>
          <w:lang w:val="en" w:eastAsia="ja-JP"/>
        </w:rPr>
        <w:t>As</w:t>
      </w:r>
      <w:r w:rsidR="00E73112">
        <w:rPr>
          <w:lang w:val="en" w:eastAsia="ja-JP"/>
        </w:rPr>
        <w:t> </w:t>
      </w:r>
      <w:r w:rsidRPr="00DF4CCF">
        <w:rPr>
          <w:lang w:val="en" w:eastAsia="ja-JP"/>
        </w:rPr>
        <w:t>online transactions increase in frequency and significance, the risks associated with such transactions – particularly risks relating to identity – may also increase.</w:t>
      </w:r>
    </w:p>
    <w:p w14:paraId="2D21E015" w14:textId="77777777" w:rsidR="00A70754" w:rsidRPr="00DF4CCF" w:rsidRDefault="00A70754" w:rsidP="00A70754">
      <w:pPr>
        <w:rPr>
          <w:lang w:val="en" w:eastAsia="ja-JP"/>
        </w:rPr>
      </w:pPr>
      <w:r w:rsidRPr="00DF4CCF">
        <w:rPr>
          <w:lang w:val="en" w:eastAsia="ja-JP"/>
        </w:rPr>
        <w:t>The Australian Government Information Management Office (AGIMO) of the Department of Finance and Deregulation has developed the National Authentication Framework (</w:t>
      </w:r>
      <w:proofErr w:type="spellStart"/>
      <w:r w:rsidRPr="00DF4CCF">
        <w:rPr>
          <w:lang w:val="en" w:eastAsia="ja-JP"/>
        </w:rPr>
        <w:t>NeAF</w:t>
      </w:r>
      <w:proofErr w:type="spellEnd"/>
      <w:r w:rsidRPr="00DF4CCF">
        <w:rPr>
          <w:lang w:val="en" w:eastAsia="ja-JP"/>
        </w:rPr>
        <w:t>) to provide a consistent, whol</w:t>
      </w:r>
      <w:r w:rsidR="00BE178F">
        <w:rPr>
          <w:lang w:val="en" w:eastAsia="ja-JP"/>
        </w:rPr>
        <w:t>e</w:t>
      </w:r>
      <w:r w:rsidR="00BE178F">
        <w:rPr>
          <w:lang w:val="en" w:eastAsia="ja-JP"/>
        </w:rPr>
        <w:noBreakHyphen/>
      </w:r>
      <w:r w:rsidRPr="00DF4CCF">
        <w:rPr>
          <w:lang w:val="en" w:eastAsia="ja-JP"/>
        </w:rPr>
        <w:t>of-government approach to managing identity-related risks.</w:t>
      </w:r>
    </w:p>
    <w:p w14:paraId="079E5641" w14:textId="77777777" w:rsidR="00A70754" w:rsidRPr="00DF4CCF" w:rsidRDefault="00A70754" w:rsidP="00A70754">
      <w:pPr>
        <w:rPr>
          <w:lang w:val="en" w:eastAsia="ja-JP"/>
        </w:rPr>
      </w:pPr>
      <w:r w:rsidRPr="00DF4CCF">
        <w:rPr>
          <w:lang w:val="en" w:eastAsia="ja-JP"/>
        </w:rPr>
        <w:t xml:space="preserve">The </w:t>
      </w:r>
      <w:proofErr w:type="spellStart"/>
      <w:r w:rsidRPr="00DF4CCF">
        <w:rPr>
          <w:lang w:val="en" w:eastAsia="ja-JP"/>
        </w:rPr>
        <w:t>NeAF</w:t>
      </w:r>
      <w:proofErr w:type="spellEnd"/>
      <w:r w:rsidRPr="00DF4CCF">
        <w:rPr>
          <w:lang w:val="en" w:eastAsia="ja-JP"/>
        </w:rPr>
        <w:t xml:space="preserve"> combines two earlier publications – the Australian Government </w:t>
      </w:r>
      <w:r w:rsidR="00BE178F">
        <w:rPr>
          <w:lang w:val="en" w:eastAsia="ja-JP"/>
        </w:rPr>
        <w:t>e</w:t>
      </w:r>
      <w:r w:rsidR="00BE178F">
        <w:rPr>
          <w:lang w:val="en" w:eastAsia="ja-JP"/>
        </w:rPr>
        <w:noBreakHyphen/>
      </w:r>
      <w:r w:rsidRPr="00DF4CCF">
        <w:rPr>
          <w:lang w:val="en" w:eastAsia="ja-JP"/>
        </w:rPr>
        <w:t xml:space="preserve">Authentication Framework for Business and Australian Government </w:t>
      </w:r>
      <w:r w:rsidR="00BE178F">
        <w:rPr>
          <w:lang w:val="en" w:eastAsia="ja-JP"/>
        </w:rPr>
        <w:t>e</w:t>
      </w:r>
      <w:r w:rsidR="00BE178F">
        <w:rPr>
          <w:lang w:val="en" w:eastAsia="ja-JP"/>
        </w:rPr>
        <w:noBreakHyphen/>
      </w:r>
      <w:r w:rsidRPr="00DF4CCF">
        <w:rPr>
          <w:lang w:val="en" w:eastAsia="ja-JP"/>
        </w:rPr>
        <w:t xml:space="preserve">Authentication Framework for Individuals </w:t>
      </w:r>
      <w:r w:rsidRPr="00DF4CCF">
        <w:t xml:space="preserve">(AGAF-B and AGAF-I) </w:t>
      </w:r>
      <w:r w:rsidRPr="00DF4CCF">
        <w:rPr>
          <w:lang w:val="en" w:eastAsia="ja-JP"/>
        </w:rPr>
        <w:t>– into a single, coherent approach to the challenge of providing assurance to agencies as to the identity of parties with whom they are transacting.</w:t>
      </w:r>
    </w:p>
    <w:p w14:paraId="605FC02C" w14:textId="77777777" w:rsidR="00A70754" w:rsidRPr="00DF4CCF" w:rsidRDefault="00A70754" w:rsidP="00A70754">
      <w:pPr>
        <w:rPr>
          <w:lang w:val="en" w:eastAsia="ja-JP"/>
        </w:rPr>
      </w:pPr>
      <w:r w:rsidRPr="00DF4CCF">
        <w:rPr>
          <w:lang w:val="en" w:eastAsia="ja-JP"/>
        </w:rPr>
        <w:t xml:space="preserve">The </w:t>
      </w:r>
      <w:proofErr w:type="spellStart"/>
      <w:r w:rsidRPr="00DF4CCF">
        <w:rPr>
          <w:lang w:val="en" w:eastAsia="ja-JP"/>
        </w:rPr>
        <w:t>NeAF</w:t>
      </w:r>
      <w:proofErr w:type="spellEnd"/>
      <w:r w:rsidRPr="00DF4CCF">
        <w:t xml:space="preserve"> also </w:t>
      </w:r>
      <w:r w:rsidRPr="00DF4CCF">
        <w:rPr>
          <w:lang w:val="en" w:eastAsia="ja-JP"/>
        </w:rPr>
        <w:t>addresses the important issue of individuals and businesses being able to authenticate government websites with which they interact.</w:t>
      </w:r>
    </w:p>
    <w:p w14:paraId="545C398A" w14:textId="77777777" w:rsidR="00A70754" w:rsidRPr="00DF4CCF" w:rsidRDefault="00A70754" w:rsidP="00A70754">
      <w:r w:rsidRPr="00DF4CCF">
        <w:rPr>
          <w:lang w:val="en" w:eastAsia="ja-JP"/>
        </w:rPr>
        <w:t xml:space="preserve">The </w:t>
      </w:r>
      <w:proofErr w:type="spellStart"/>
      <w:r w:rsidRPr="00DF4CCF">
        <w:rPr>
          <w:lang w:val="en" w:eastAsia="ja-JP"/>
        </w:rPr>
        <w:t>NeAF</w:t>
      </w:r>
      <w:proofErr w:type="spellEnd"/>
      <w:r w:rsidRPr="00DF4CCF">
        <w:rPr>
          <w:lang w:val="en" w:eastAsia="ja-JP"/>
        </w:rPr>
        <w:t xml:space="preserve"> </w:t>
      </w:r>
      <w:proofErr w:type="spellStart"/>
      <w:r w:rsidRPr="00DF4CCF">
        <w:rPr>
          <w:lang w:val="en" w:eastAsia="ja-JP"/>
        </w:rPr>
        <w:t>recognises</w:t>
      </w:r>
      <w:proofErr w:type="spellEnd"/>
      <w:r w:rsidRPr="00DF4CCF">
        <w:rPr>
          <w:lang w:val="en" w:eastAsia="ja-JP"/>
        </w:rPr>
        <w:t xml:space="preserve"> and accommodates sectoral and whol</w:t>
      </w:r>
      <w:r w:rsidR="00BE178F">
        <w:rPr>
          <w:lang w:val="en" w:eastAsia="ja-JP"/>
        </w:rPr>
        <w:t>e</w:t>
      </w:r>
      <w:r w:rsidR="00BE178F">
        <w:rPr>
          <w:lang w:val="en" w:eastAsia="ja-JP"/>
        </w:rPr>
        <w:noBreakHyphen/>
      </w:r>
      <w:r w:rsidRPr="00DF4CCF">
        <w:rPr>
          <w:lang w:val="en" w:eastAsia="ja-JP"/>
        </w:rPr>
        <w:t>of-government initiatives through the r</w:t>
      </w:r>
      <w:r w:rsidR="00BE178F">
        <w:rPr>
          <w:lang w:val="en" w:eastAsia="ja-JP"/>
        </w:rPr>
        <w:t>e</w:t>
      </w:r>
      <w:r w:rsidR="00BE178F">
        <w:rPr>
          <w:lang w:val="en" w:eastAsia="ja-JP"/>
        </w:rPr>
        <w:noBreakHyphen/>
      </w:r>
      <w:r w:rsidRPr="00DF4CCF">
        <w:rPr>
          <w:lang w:val="en" w:eastAsia="ja-JP"/>
        </w:rPr>
        <w:t>use of existing authentication credentials and consideration of a variety of identity management frameworks as alternatives to traditional agency-specific models.</w:t>
      </w:r>
    </w:p>
    <w:p w14:paraId="71185000" w14:textId="77777777" w:rsidR="00A70754" w:rsidRDefault="00A70754" w:rsidP="00A70754">
      <w:r w:rsidRPr="00DF4CCF">
        <w:rPr>
          <w:rFonts w:cs="Arial"/>
          <w:lang w:val="en" w:eastAsia="ja-JP"/>
        </w:rPr>
        <w:t xml:space="preserve">Adoption of the </w:t>
      </w:r>
      <w:proofErr w:type="spellStart"/>
      <w:r w:rsidRPr="00DF4CCF">
        <w:rPr>
          <w:rFonts w:cs="Arial"/>
          <w:lang w:val="en" w:eastAsia="ja-JP"/>
        </w:rPr>
        <w:t>NeAF</w:t>
      </w:r>
      <w:proofErr w:type="spellEnd"/>
      <w:r w:rsidRPr="00DF4CCF">
        <w:rPr>
          <w:rFonts w:cs="Arial"/>
          <w:lang w:val="en" w:eastAsia="ja-JP"/>
        </w:rPr>
        <w:t xml:space="preserve"> across all tiers of government will </w:t>
      </w:r>
      <w:r w:rsidRPr="00DF4CCF">
        <w:t>minimise duplication of effort and achieve consistency of authentication approaches within and across jurisdictional boundaries, thereby:</w:t>
      </w:r>
    </w:p>
    <w:p w14:paraId="4CC20D48" w14:textId="77777777" w:rsidR="00A70754" w:rsidRPr="00DF4CCF" w:rsidRDefault="00A70754" w:rsidP="00A70754">
      <w:pPr>
        <w:pStyle w:val="Bullet1"/>
      </w:pPr>
      <w:r w:rsidRPr="00DF4CCF">
        <w:t>maximising the efficiency and effectiveness of electronic service delivery by Australian Government jurisdictions</w:t>
      </w:r>
      <w:r>
        <w:t>; and</w:t>
      </w:r>
    </w:p>
    <w:p w14:paraId="4B84519B" w14:textId="77777777" w:rsidR="00A70754" w:rsidRPr="00DF4CCF" w:rsidRDefault="00A70754" w:rsidP="00A70754">
      <w:pPr>
        <w:pStyle w:val="Bullet1"/>
      </w:pPr>
      <w:r w:rsidRPr="00DF4CCF">
        <w:t>providing scope for reducing the costs to the community of interacting electronically with government.</w:t>
      </w:r>
    </w:p>
    <w:p w14:paraId="2E3B87F8" w14:textId="77777777" w:rsidR="00A70754" w:rsidRPr="00DF4CCF" w:rsidRDefault="00A70754" w:rsidP="00A70754">
      <w:pPr>
        <w:rPr>
          <w:lang w:val="en" w:eastAsia="ja-JP"/>
        </w:rPr>
      </w:pPr>
      <w:r w:rsidRPr="00DF4CCF">
        <w:rPr>
          <w:lang w:val="en" w:eastAsia="ja-JP"/>
        </w:rPr>
        <w:t xml:space="preserve">The </w:t>
      </w:r>
      <w:proofErr w:type="spellStart"/>
      <w:r w:rsidRPr="00DF4CCF">
        <w:rPr>
          <w:lang w:val="en" w:eastAsia="ja-JP"/>
        </w:rPr>
        <w:t>NeAF</w:t>
      </w:r>
      <w:proofErr w:type="spellEnd"/>
      <w:r w:rsidRPr="00DF4CCF">
        <w:rPr>
          <w:lang w:val="en" w:eastAsia="ja-JP"/>
        </w:rPr>
        <w:t xml:space="preserve"> is endorsed by the Australian Online and Communications Council (OCC), which operates as the peak ministerial forum across </w:t>
      </w:r>
      <w:smartTag w:uri="urn:schemas-microsoft-com:office:smarttags" w:element="place">
        <w:smartTag w:uri="urn:schemas-microsoft-com:office:smarttags" w:element="country-region">
          <w:r w:rsidRPr="00DF4CCF">
            <w:rPr>
              <w:lang w:val="en" w:eastAsia="ja-JP"/>
            </w:rPr>
            <w:t>Australia</w:t>
          </w:r>
        </w:smartTag>
      </w:smartTag>
      <w:r w:rsidRPr="00DF4CCF">
        <w:rPr>
          <w:lang w:val="en" w:eastAsia="ja-JP"/>
        </w:rPr>
        <w:t xml:space="preserve"> on strategic approaches to information and communications technology issues.</w:t>
      </w:r>
      <w:r>
        <w:rPr>
          <w:lang w:val="en" w:eastAsia="ja-JP"/>
        </w:rPr>
        <w:t xml:space="preserve"> </w:t>
      </w:r>
      <w:r w:rsidRPr="00DF4CCF">
        <w:rPr>
          <w:lang w:val="en" w:eastAsia="ja-JP"/>
        </w:rPr>
        <w:t>Membership includes senior ministers from state and territory governments and the president of the Australian Local Government Association (ALGA). The OCC meets annually to discuss policy issues relating to the information economy with a focus on online and</w:t>
      </w:r>
      <w:r w:rsidR="00E73112">
        <w:rPr>
          <w:lang w:val="en" w:eastAsia="ja-JP"/>
        </w:rPr>
        <w:t> </w:t>
      </w:r>
      <w:r w:rsidRPr="00DF4CCF">
        <w:rPr>
          <w:lang w:val="en" w:eastAsia="ja-JP"/>
        </w:rPr>
        <w:t>communications issues.</w:t>
      </w:r>
    </w:p>
    <w:p w14:paraId="3CDBF4B5" w14:textId="77777777" w:rsidR="00A70754" w:rsidRPr="00DF4CCF" w:rsidRDefault="00A70754" w:rsidP="00A70754">
      <w:pPr>
        <w:rPr>
          <w:lang w:val="en" w:eastAsia="ja-JP"/>
        </w:rPr>
      </w:pPr>
      <w:r w:rsidRPr="00DF4CCF">
        <w:rPr>
          <w:lang w:val="en" w:eastAsia="ja-JP"/>
        </w:rPr>
        <w:t xml:space="preserve">In endorsing the </w:t>
      </w:r>
      <w:proofErr w:type="spellStart"/>
      <w:r w:rsidRPr="00DF4CCF">
        <w:rPr>
          <w:lang w:val="en" w:eastAsia="ja-JP"/>
        </w:rPr>
        <w:t>NeAF</w:t>
      </w:r>
      <w:proofErr w:type="spellEnd"/>
      <w:r w:rsidRPr="00DF4CCF">
        <w:rPr>
          <w:lang w:val="en" w:eastAsia="ja-JP"/>
        </w:rPr>
        <w:t>, the OCC agreed that jurisdictions will:</w:t>
      </w:r>
    </w:p>
    <w:p w14:paraId="5D47A5C2" w14:textId="77777777" w:rsidR="00A70754" w:rsidRPr="00DF4CCF" w:rsidRDefault="00A70754" w:rsidP="00A70754">
      <w:pPr>
        <w:pStyle w:val="Bullet1"/>
        <w:rPr>
          <w:lang w:val="en" w:eastAsia="ja-JP"/>
        </w:rPr>
      </w:pPr>
      <w:r w:rsidRPr="00DF4CCF">
        <w:rPr>
          <w:lang w:val="en" w:eastAsia="ja-JP"/>
        </w:rPr>
        <w:t xml:space="preserve">comply with the principles of the National </w:t>
      </w:r>
      <w:r w:rsidR="00BE178F">
        <w:rPr>
          <w:lang w:val="en" w:eastAsia="ja-JP"/>
        </w:rPr>
        <w:t>e</w:t>
      </w:r>
      <w:r w:rsidR="00BE178F">
        <w:rPr>
          <w:lang w:val="en" w:eastAsia="ja-JP"/>
        </w:rPr>
        <w:noBreakHyphen/>
      </w:r>
      <w:r w:rsidRPr="00DF4CCF">
        <w:rPr>
          <w:lang w:val="en" w:eastAsia="ja-JP"/>
        </w:rPr>
        <w:t>Authentication Framework</w:t>
      </w:r>
    </w:p>
    <w:p w14:paraId="20AEF3CC" w14:textId="77777777" w:rsidR="00A70754" w:rsidRDefault="00A70754" w:rsidP="00A70754">
      <w:pPr>
        <w:pStyle w:val="Bullet1"/>
        <w:rPr>
          <w:lang w:val="en" w:eastAsia="ja-JP"/>
        </w:rPr>
      </w:pPr>
      <w:r w:rsidRPr="00DF4CCF">
        <w:rPr>
          <w:lang w:val="en" w:eastAsia="ja-JP"/>
        </w:rPr>
        <w:t>accept and adopt as appropriate the Better Practice Guidelines as a means of providing greater</w:t>
      </w:r>
      <w:r w:rsidR="00E73112">
        <w:rPr>
          <w:lang w:val="en" w:eastAsia="ja-JP"/>
        </w:rPr>
        <w:t> </w:t>
      </w:r>
      <w:r w:rsidRPr="00DF4CCF">
        <w:rPr>
          <w:lang w:val="en" w:eastAsia="ja-JP"/>
        </w:rPr>
        <w:t xml:space="preserve">consistency in the development and implementation of </w:t>
      </w:r>
      <w:r w:rsidR="00BE178F">
        <w:rPr>
          <w:lang w:val="en" w:eastAsia="ja-JP"/>
        </w:rPr>
        <w:t>e</w:t>
      </w:r>
      <w:r w:rsidR="00BE178F">
        <w:rPr>
          <w:lang w:val="en" w:eastAsia="ja-JP"/>
        </w:rPr>
        <w:noBreakHyphen/>
      </w:r>
      <w:r>
        <w:rPr>
          <w:lang w:val="en" w:eastAsia="ja-JP"/>
        </w:rPr>
        <w:t>Authentication</w:t>
      </w:r>
      <w:r w:rsidRPr="00DF4CCF">
        <w:rPr>
          <w:lang w:val="en" w:eastAsia="ja-JP"/>
        </w:rPr>
        <w:t xml:space="preserve"> solutions across</w:t>
      </w:r>
      <w:r w:rsidR="00E73112">
        <w:rPr>
          <w:lang w:val="en" w:eastAsia="ja-JP"/>
        </w:rPr>
        <w:t> </w:t>
      </w:r>
      <w:r w:rsidRPr="00DF4CCF">
        <w:rPr>
          <w:lang w:val="en" w:eastAsia="ja-JP"/>
        </w:rPr>
        <w:t>jurisdictions.</w:t>
      </w:r>
    </w:p>
    <w:p w14:paraId="72CB974C" w14:textId="77777777" w:rsidR="00E73112" w:rsidRDefault="00E73112" w:rsidP="00A70754"/>
    <w:p w14:paraId="077835AD" w14:textId="77777777" w:rsidR="00A70754" w:rsidRPr="00DF4CCF" w:rsidRDefault="00A70754" w:rsidP="00A70754">
      <w:r w:rsidRPr="00DF4CCF">
        <w:t>Ann Steward</w:t>
      </w:r>
      <w:r w:rsidR="00E73112">
        <w:br/>
      </w:r>
      <w:r w:rsidRPr="00DF4CCF">
        <w:t>Australian Government Chief Information Officer</w:t>
      </w:r>
    </w:p>
    <w:p w14:paraId="29AFD317" w14:textId="77777777" w:rsidR="00A70754" w:rsidRPr="006B3EA5" w:rsidRDefault="00A70754" w:rsidP="00A70754">
      <w:pPr>
        <w:pStyle w:val="Heading1notinTOC"/>
      </w:pPr>
      <w:r>
        <w:lastRenderedPageBreak/>
        <w:t>C</w:t>
      </w:r>
      <w:r w:rsidRPr="006B3EA5">
        <w:t>ontents</w:t>
      </w:r>
    </w:p>
    <w:p w14:paraId="5941D765" w14:textId="77777777" w:rsidR="00053312" w:rsidRDefault="00053312" w:rsidP="00470C0E">
      <w:pPr>
        <w:pStyle w:val="TOC1"/>
        <w:rPr>
          <w:rFonts w:eastAsiaTheme="minorEastAsia"/>
          <w:noProof/>
          <w:sz w:val="22"/>
          <w:lang w:eastAsia="en-AU"/>
        </w:rPr>
      </w:pPr>
      <w:r>
        <w:rPr>
          <w:rFonts w:ascii="TheSans-Plain" w:hAnsi="TheSans-Plain"/>
          <w:sz w:val="22"/>
        </w:rPr>
        <w:fldChar w:fldCharType="begin" w:fldLock="1"/>
      </w:r>
      <w:r>
        <w:rPr>
          <w:rFonts w:ascii="TheSans-Plain" w:hAnsi="TheSans-Plain"/>
          <w:sz w:val="22"/>
        </w:rPr>
        <w:instrText xml:space="preserve"> TOC \o "2-2" \h \z \t "Heading 1,1,Heading 1 Numbered,1" </w:instrText>
      </w:r>
      <w:r>
        <w:rPr>
          <w:rFonts w:ascii="TheSans-Plain" w:hAnsi="TheSans-Plain"/>
          <w:sz w:val="22"/>
        </w:rPr>
        <w:fldChar w:fldCharType="separate"/>
      </w:r>
      <w:hyperlink w:anchor="_Toc430770894" w:history="1">
        <w:r w:rsidRPr="00121997">
          <w:rPr>
            <w:rStyle w:val="Hyperlink"/>
            <w:noProof/>
          </w:rPr>
          <w:t>Foreword</w:t>
        </w:r>
        <w:r>
          <w:rPr>
            <w:noProof/>
            <w:webHidden/>
          </w:rPr>
          <w:tab/>
        </w:r>
        <w:r>
          <w:rPr>
            <w:noProof/>
            <w:webHidden/>
          </w:rPr>
          <w:fldChar w:fldCharType="begin" w:fldLock="1"/>
        </w:r>
        <w:r>
          <w:rPr>
            <w:noProof/>
            <w:webHidden/>
          </w:rPr>
          <w:instrText xml:space="preserve"> PAGEREF _Toc430770894 \h </w:instrText>
        </w:r>
        <w:r>
          <w:rPr>
            <w:noProof/>
            <w:webHidden/>
          </w:rPr>
        </w:r>
        <w:r>
          <w:rPr>
            <w:noProof/>
            <w:webHidden/>
          </w:rPr>
          <w:fldChar w:fldCharType="separate"/>
        </w:r>
        <w:r w:rsidR="00933C42">
          <w:rPr>
            <w:noProof/>
            <w:webHidden/>
          </w:rPr>
          <w:t>3</w:t>
        </w:r>
        <w:r>
          <w:rPr>
            <w:noProof/>
            <w:webHidden/>
          </w:rPr>
          <w:fldChar w:fldCharType="end"/>
        </w:r>
      </w:hyperlink>
    </w:p>
    <w:p w14:paraId="4DF126D1" w14:textId="77777777" w:rsidR="00053312" w:rsidRDefault="00AE7A40" w:rsidP="00470C0E">
      <w:pPr>
        <w:pStyle w:val="TOC1"/>
        <w:rPr>
          <w:rFonts w:eastAsiaTheme="minorEastAsia"/>
          <w:noProof/>
          <w:sz w:val="22"/>
          <w:lang w:eastAsia="en-AU"/>
        </w:rPr>
      </w:pPr>
      <w:hyperlink w:anchor="_Toc430770895" w:history="1">
        <w:r w:rsidR="00053312" w:rsidRPr="00121997">
          <w:rPr>
            <w:rStyle w:val="Hyperlink"/>
            <w:noProof/>
          </w:rPr>
          <w:t>List of Acronyms</w:t>
        </w:r>
        <w:r w:rsidR="00053312">
          <w:rPr>
            <w:noProof/>
            <w:webHidden/>
          </w:rPr>
          <w:tab/>
        </w:r>
        <w:r w:rsidR="00053312">
          <w:rPr>
            <w:noProof/>
            <w:webHidden/>
          </w:rPr>
          <w:fldChar w:fldCharType="begin" w:fldLock="1"/>
        </w:r>
        <w:r w:rsidR="00053312">
          <w:rPr>
            <w:noProof/>
            <w:webHidden/>
          </w:rPr>
          <w:instrText xml:space="preserve"> PAGEREF _Toc430770895 \h </w:instrText>
        </w:r>
        <w:r w:rsidR="00053312">
          <w:rPr>
            <w:noProof/>
            <w:webHidden/>
          </w:rPr>
        </w:r>
        <w:r w:rsidR="00053312">
          <w:rPr>
            <w:noProof/>
            <w:webHidden/>
          </w:rPr>
          <w:fldChar w:fldCharType="separate"/>
        </w:r>
        <w:r w:rsidR="00933C42">
          <w:rPr>
            <w:noProof/>
            <w:webHidden/>
          </w:rPr>
          <w:t>6</w:t>
        </w:r>
        <w:r w:rsidR="00053312">
          <w:rPr>
            <w:noProof/>
            <w:webHidden/>
          </w:rPr>
          <w:fldChar w:fldCharType="end"/>
        </w:r>
      </w:hyperlink>
    </w:p>
    <w:p w14:paraId="376AF3B2" w14:textId="77777777" w:rsidR="00053312" w:rsidRDefault="00AE7A40" w:rsidP="00470C0E">
      <w:pPr>
        <w:pStyle w:val="TOC1"/>
        <w:rPr>
          <w:rFonts w:eastAsiaTheme="minorEastAsia"/>
          <w:noProof/>
          <w:sz w:val="22"/>
          <w:lang w:eastAsia="en-AU"/>
        </w:rPr>
      </w:pPr>
      <w:hyperlink w:anchor="_Toc430770896" w:history="1">
        <w:r w:rsidR="00053312" w:rsidRPr="00121997">
          <w:rPr>
            <w:rStyle w:val="Hyperlink"/>
            <w:noProof/>
          </w:rPr>
          <w:t>Executive summary</w:t>
        </w:r>
        <w:r w:rsidR="00053312">
          <w:rPr>
            <w:noProof/>
            <w:webHidden/>
          </w:rPr>
          <w:tab/>
        </w:r>
        <w:r w:rsidR="00053312">
          <w:rPr>
            <w:noProof/>
            <w:webHidden/>
          </w:rPr>
          <w:fldChar w:fldCharType="begin" w:fldLock="1"/>
        </w:r>
        <w:r w:rsidR="00053312">
          <w:rPr>
            <w:noProof/>
            <w:webHidden/>
          </w:rPr>
          <w:instrText xml:space="preserve"> PAGEREF _Toc430770896 \h </w:instrText>
        </w:r>
        <w:r w:rsidR="00053312">
          <w:rPr>
            <w:noProof/>
            <w:webHidden/>
          </w:rPr>
        </w:r>
        <w:r w:rsidR="00053312">
          <w:rPr>
            <w:noProof/>
            <w:webHidden/>
          </w:rPr>
          <w:fldChar w:fldCharType="separate"/>
        </w:r>
        <w:r w:rsidR="00933C42">
          <w:rPr>
            <w:noProof/>
            <w:webHidden/>
          </w:rPr>
          <w:t>8</w:t>
        </w:r>
        <w:r w:rsidR="00053312">
          <w:rPr>
            <w:noProof/>
            <w:webHidden/>
          </w:rPr>
          <w:fldChar w:fldCharType="end"/>
        </w:r>
      </w:hyperlink>
    </w:p>
    <w:p w14:paraId="1D13D05A" w14:textId="34E062B3" w:rsidR="00053312" w:rsidRDefault="00AE7A40" w:rsidP="00470C0E">
      <w:pPr>
        <w:pStyle w:val="TOC1"/>
        <w:rPr>
          <w:rFonts w:eastAsiaTheme="minorEastAsia"/>
          <w:noProof/>
          <w:sz w:val="22"/>
          <w:lang w:eastAsia="en-AU"/>
        </w:rPr>
      </w:pPr>
      <w:hyperlink w:anchor="_Toc430770897" w:history="1">
        <w:r w:rsidR="00053312" w:rsidRPr="00121997">
          <w:rPr>
            <w:rStyle w:val="Hyperlink"/>
            <w:noProof/>
          </w:rPr>
          <w:t>1.</w:t>
        </w:r>
        <w:r w:rsidR="00F415A3">
          <w:rPr>
            <w:rFonts w:eastAsiaTheme="minorEastAsia"/>
            <w:noProof/>
            <w:sz w:val="22"/>
            <w:lang w:eastAsia="en-AU"/>
          </w:rPr>
          <w:t xml:space="preserve"> </w:t>
        </w:r>
        <w:r w:rsidR="00053312" w:rsidRPr="00121997">
          <w:rPr>
            <w:rStyle w:val="Hyperlink"/>
            <w:noProof/>
          </w:rPr>
          <w:t>Introduction</w:t>
        </w:r>
        <w:r w:rsidR="00053312">
          <w:rPr>
            <w:noProof/>
            <w:webHidden/>
          </w:rPr>
          <w:tab/>
        </w:r>
        <w:r w:rsidR="00053312">
          <w:rPr>
            <w:noProof/>
            <w:webHidden/>
          </w:rPr>
          <w:fldChar w:fldCharType="begin" w:fldLock="1"/>
        </w:r>
        <w:r w:rsidR="00053312">
          <w:rPr>
            <w:noProof/>
            <w:webHidden/>
          </w:rPr>
          <w:instrText xml:space="preserve"> PAGEREF _Toc430770897 \h </w:instrText>
        </w:r>
        <w:r w:rsidR="00053312">
          <w:rPr>
            <w:noProof/>
            <w:webHidden/>
          </w:rPr>
        </w:r>
        <w:r w:rsidR="00053312">
          <w:rPr>
            <w:noProof/>
            <w:webHidden/>
          </w:rPr>
          <w:fldChar w:fldCharType="separate"/>
        </w:r>
        <w:r w:rsidR="00933C42">
          <w:rPr>
            <w:noProof/>
            <w:webHidden/>
          </w:rPr>
          <w:t>9</w:t>
        </w:r>
        <w:r w:rsidR="00053312">
          <w:rPr>
            <w:noProof/>
            <w:webHidden/>
          </w:rPr>
          <w:fldChar w:fldCharType="end"/>
        </w:r>
      </w:hyperlink>
    </w:p>
    <w:p w14:paraId="1C2CDAA0" w14:textId="77777777" w:rsidR="00053312" w:rsidRDefault="00AE7A40">
      <w:pPr>
        <w:pStyle w:val="TOC2"/>
        <w:rPr>
          <w:rFonts w:eastAsiaTheme="minorEastAsia"/>
          <w:noProof/>
          <w:sz w:val="22"/>
          <w:lang w:eastAsia="en-AU"/>
        </w:rPr>
      </w:pPr>
      <w:hyperlink w:anchor="_Toc430770898" w:history="1">
        <w:r w:rsidR="00053312" w:rsidRPr="00121997">
          <w:rPr>
            <w:rStyle w:val="Hyperlink"/>
            <w:noProof/>
          </w:rPr>
          <w:t>1.1</w:t>
        </w:r>
        <w:r w:rsidR="00053312">
          <w:rPr>
            <w:rFonts w:eastAsiaTheme="minorEastAsia"/>
            <w:noProof/>
            <w:sz w:val="22"/>
            <w:lang w:eastAsia="en-AU"/>
          </w:rPr>
          <w:tab/>
        </w:r>
        <w:r w:rsidR="00053312" w:rsidRPr="00121997">
          <w:rPr>
            <w:rStyle w:val="Hyperlink"/>
            <w:noProof/>
          </w:rPr>
          <w:t>Background</w:t>
        </w:r>
        <w:r w:rsidR="00053312">
          <w:rPr>
            <w:noProof/>
            <w:webHidden/>
          </w:rPr>
          <w:tab/>
        </w:r>
        <w:r w:rsidR="00053312">
          <w:rPr>
            <w:noProof/>
            <w:webHidden/>
          </w:rPr>
          <w:fldChar w:fldCharType="begin" w:fldLock="1"/>
        </w:r>
        <w:r w:rsidR="00053312">
          <w:rPr>
            <w:noProof/>
            <w:webHidden/>
          </w:rPr>
          <w:instrText xml:space="preserve"> PAGEREF _Toc430770898 \h </w:instrText>
        </w:r>
        <w:r w:rsidR="00053312">
          <w:rPr>
            <w:noProof/>
            <w:webHidden/>
          </w:rPr>
        </w:r>
        <w:r w:rsidR="00053312">
          <w:rPr>
            <w:noProof/>
            <w:webHidden/>
          </w:rPr>
          <w:fldChar w:fldCharType="separate"/>
        </w:r>
        <w:r w:rsidR="00933C42">
          <w:rPr>
            <w:noProof/>
            <w:webHidden/>
          </w:rPr>
          <w:t>9</w:t>
        </w:r>
        <w:r w:rsidR="00053312">
          <w:rPr>
            <w:noProof/>
            <w:webHidden/>
          </w:rPr>
          <w:fldChar w:fldCharType="end"/>
        </w:r>
      </w:hyperlink>
    </w:p>
    <w:p w14:paraId="7FCBDC00" w14:textId="77777777" w:rsidR="00053312" w:rsidRDefault="00AE7A40">
      <w:pPr>
        <w:pStyle w:val="TOC2"/>
        <w:rPr>
          <w:rFonts w:eastAsiaTheme="minorEastAsia"/>
          <w:noProof/>
          <w:sz w:val="22"/>
          <w:lang w:eastAsia="en-AU"/>
        </w:rPr>
      </w:pPr>
      <w:hyperlink w:anchor="_Toc430770899" w:history="1">
        <w:r w:rsidR="00053312" w:rsidRPr="00121997">
          <w:rPr>
            <w:rStyle w:val="Hyperlink"/>
            <w:noProof/>
          </w:rPr>
          <w:t>1.2</w:t>
        </w:r>
        <w:r w:rsidR="00053312">
          <w:rPr>
            <w:rFonts w:eastAsiaTheme="minorEastAsia"/>
            <w:noProof/>
            <w:sz w:val="22"/>
            <w:lang w:eastAsia="en-AU"/>
          </w:rPr>
          <w:tab/>
        </w:r>
        <w:r w:rsidR="00053312" w:rsidRPr="00121997">
          <w:rPr>
            <w:rStyle w:val="Hyperlink"/>
            <w:noProof/>
          </w:rPr>
          <w:t>Objectives</w:t>
        </w:r>
        <w:r w:rsidR="00053312">
          <w:rPr>
            <w:noProof/>
            <w:webHidden/>
          </w:rPr>
          <w:tab/>
        </w:r>
        <w:r w:rsidR="00053312">
          <w:rPr>
            <w:noProof/>
            <w:webHidden/>
          </w:rPr>
          <w:fldChar w:fldCharType="begin" w:fldLock="1"/>
        </w:r>
        <w:r w:rsidR="00053312">
          <w:rPr>
            <w:noProof/>
            <w:webHidden/>
          </w:rPr>
          <w:instrText xml:space="preserve"> PAGEREF _Toc430770899 \h </w:instrText>
        </w:r>
        <w:r w:rsidR="00053312">
          <w:rPr>
            <w:noProof/>
            <w:webHidden/>
          </w:rPr>
        </w:r>
        <w:r w:rsidR="00053312">
          <w:rPr>
            <w:noProof/>
            <w:webHidden/>
          </w:rPr>
          <w:fldChar w:fldCharType="separate"/>
        </w:r>
        <w:r w:rsidR="00933C42">
          <w:rPr>
            <w:noProof/>
            <w:webHidden/>
          </w:rPr>
          <w:t>9</w:t>
        </w:r>
        <w:r w:rsidR="00053312">
          <w:rPr>
            <w:noProof/>
            <w:webHidden/>
          </w:rPr>
          <w:fldChar w:fldCharType="end"/>
        </w:r>
      </w:hyperlink>
    </w:p>
    <w:p w14:paraId="4AC3EED3" w14:textId="77777777" w:rsidR="00053312" w:rsidRDefault="00AE7A40">
      <w:pPr>
        <w:pStyle w:val="TOC2"/>
        <w:rPr>
          <w:rFonts w:eastAsiaTheme="minorEastAsia"/>
          <w:noProof/>
          <w:sz w:val="22"/>
          <w:lang w:eastAsia="en-AU"/>
        </w:rPr>
      </w:pPr>
      <w:hyperlink w:anchor="_Toc430770900" w:history="1">
        <w:r w:rsidR="00053312" w:rsidRPr="00121997">
          <w:rPr>
            <w:rStyle w:val="Hyperlink"/>
            <w:noProof/>
          </w:rPr>
          <w:t>1.3</w:t>
        </w:r>
        <w:r w:rsidR="00053312">
          <w:rPr>
            <w:rFonts w:eastAsiaTheme="minorEastAsia"/>
            <w:noProof/>
            <w:sz w:val="22"/>
            <w:lang w:eastAsia="en-AU"/>
          </w:rPr>
          <w:tab/>
        </w:r>
        <w:r w:rsidR="00053312" w:rsidRPr="00121997">
          <w:rPr>
            <w:rStyle w:val="Hyperlink"/>
            <w:noProof/>
          </w:rPr>
          <w:t>Scope</w:t>
        </w:r>
        <w:r w:rsidR="00053312">
          <w:rPr>
            <w:noProof/>
            <w:webHidden/>
          </w:rPr>
          <w:tab/>
        </w:r>
        <w:r w:rsidR="00053312">
          <w:rPr>
            <w:noProof/>
            <w:webHidden/>
          </w:rPr>
          <w:fldChar w:fldCharType="begin" w:fldLock="1"/>
        </w:r>
        <w:r w:rsidR="00053312">
          <w:rPr>
            <w:noProof/>
            <w:webHidden/>
          </w:rPr>
          <w:instrText xml:space="preserve"> PAGEREF _Toc430770900 \h </w:instrText>
        </w:r>
        <w:r w:rsidR="00053312">
          <w:rPr>
            <w:noProof/>
            <w:webHidden/>
          </w:rPr>
        </w:r>
        <w:r w:rsidR="00053312">
          <w:rPr>
            <w:noProof/>
            <w:webHidden/>
          </w:rPr>
          <w:fldChar w:fldCharType="separate"/>
        </w:r>
        <w:r w:rsidR="00933C42">
          <w:rPr>
            <w:noProof/>
            <w:webHidden/>
          </w:rPr>
          <w:t>10</w:t>
        </w:r>
        <w:r w:rsidR="00053312">
          <w:rPr>
            <w:noProof/>
            <w:webHidden/>
          </w:rPr>
          <w:fldChar w:fldCharType="end"/>
        </w:r>
      </w:hyperlink>
    </w:p>
    <w:p w14:paraId="59ADF42F" w14:textId="77777777" w:rsidR="00053312" w:rsidRDefault="00AE7A40">
      <w:pPr>
        <w:pStyle w:val="TOC2"/>
        <w:rPr>
          <w:rFonts w:eastAsiaTheme="minorEastAsia"/>
          <w:noProof/>
          <w:sz w:val="22"/>
          <w:lang w:eastAsia="en-AU"/>
        </w:rPr>
      </w:pPr>
      <w:hyperlink w:anchor="_Toc430770901" w:history="1">
        <w:r w:rsidR="00053312" w:rsidRPr="00121997">
          <w:rPr>
            <w:rStyle w:val="Hyperlink"/>
            <w:noProof/>
          </w:rPr>
          <w:t>1.4</w:t>
        </w:r>
        <w:r w:rsidR="00053312">
          <w:rPr>
            <w:rFonts w:eastAsiaTheme="minorEastAsia"/>
            <w:noProof/>
            <w:sz w:val="22"/>
            <w:lang w:eastAsia="en-AU"/>
          </w:rPr>
          <w:tab/>
        </w:r>
        <w:r w:rsidR="00053312" w:rsidRPr="00121997">
          <w:rPr>
            <w:rStyle w:val="Hyperlink"/>
            <w:noProof/>
          </w:rPr>
          <w:t>Overview</w:t>
        </w:r>
        <w:r w:rsidR="00053312">
          <w:rPr>
            <w:noProof/>
            <w:webHidden/>
          </w:rPr>
          <w:tab/>
        </w:r>
        <w:r w:rsidR="00053312">
          <w:rPr>
            <w:noProof/>
            <w:webHidden/>
          </w:rPr>
          <w:fldChar w:fldCharType="begin" w:fldLock="1"/>
        </w:r>
        <w:r w:rsidR="00053312">
          <w:rPr>
            <w:noProof/>
            <w:webHidden/>
          </w:rPr>
          <w:instrText xml:space="preserve"> PAGEREF _Toc430770901 \h </w:instrText>
        </w:r>
        <w:r w:rsidR="00053312">
          <w:rPr>
            <w:noProof/>
            <w:webHidden/>
          </w:rPr>
        </w:r>
        <w:r w:rsidR="00053312">
          <w:rPr>
            <w:noProof/>
            <w:webHidden/>
          </w:rPr>
          <w:fldChar w:fldCharType="separate"/>
        </w:r>
        <w:r w:rsidR="00933C42">
          <w:rPr>
            <w:noProof/>
            <w:webHidden/>
          </w:rPr>
          <w:t>10</w:t>
        </w:r>
        <w:r w:rsidR="00053312">
          <w:rPr>
            <w:noProof/>
            <w:webHidden/>
          </w:rPr>
          <w:fldChar w:fldCharType="end"/>
        </w:r>
      </w:hyperlink>
    </w:p>
    <w:p w14:paraId="017D9F9F" w14:textId="77777777" w:rsidR="00053312" w:rsidRDefault="00AE7A40">
      <w:pPr>
        <w:pStyle w:val="TOC2"/>
        <w:rPr>
          <w:rFonts w:eastAsiaTheme="minorEastAsia"/>
          <w:noProof/>
          <w:sz w:val="22"/>
          <w:lang w:eastAsia="en-AU"/>
        </w:rPr>
      </w:pPr>
      <w:hyperlink w:anchor="_Toc430770902" w:history="1">
        <w:r w:rsidR="00053312" w:rsidRPr="00121997">
          <w:rPr>
            <w:rStyle w:val="Hyperlink"/>
            <w:noProof/>
          </w:rPr>
          <w:t>1.5</w:t>
        </w:r>
        <w:r w:rsidR="00053312">
          <w:rPr>
            <w:rFonts w:eastAsiaTheme="minorEastAsia"/>
            <w:noProof/>
            <w:sz w:val="22"/>
            <w:lang w:eastAsia="en-AU"/>
          </w:rPr>
          <w:tab/>
        </w:r>
        <w:r w:rsidR="00053312" w:rsidRPr="00121997">
          <w:rPr>
            <w:rStyle w:val="Hyperlink"/>
            <w:noProof/>
          </w:rPr>
          <w:t xml:space="preserve">What is </w:t>
        </w:r>
        <w:r w:rsidR="00BE178F">
          <w:rPr>
            <w:rStyle w:val="Hyperlink"/>
            <w:noProof/>
          </w:rPr>
          <w:t>e</w:t>
        </w:r>
        <w:r w:rsidR="00BE178F">
          <w:rPr>
            <w:rStyle w:val="Hyperlink"/>
            <w:noProof/>
          </w:rPr>
          <w:noBreakHyphen/>
        </w:r>
        <w:r w:rsidR="00053312" w:rsidRPr="00121997">
          <w:rPr>
            <w:rStyle w:val="Hyperlink"/>
            <w:noProof/>
          </w:rPr>
          <w:t>Authentication?</w:t>
        </w:r>
        <w:r w:rsidR="00053312">
          <w:rPr>
            <w:noProof/>
            <w:webHidden/>
          </w:rPr>
          <w:tab/>
        </w:r>
        <w:r w:rsidR="00053312">
          <w:rPr>
            <w:noProof/>
            <w:webHidden/>
          </w:rPr>
          <w:fldChar w:fldCharType="begin" w:fldLock="1"/>
        </w:r>
        <w:r w:rsidR="00053312">
          <w:rPr>
            <w:noProof/>
            <w:webHidden/>
          </w:rPr>
          <w:instrText xml:space="preserve"> PAGEREF _Toc430770902 \h </w:instrText>
        </w:r>
        <w:r w:rsidR="00053312">
          <w:rPr>
            <w:noProof/>
            <w:webHidden/>
          </w:rPr>
        </w:r>
        <w:r w:rsidR="00053312">
          <w:rPr>
            <w:noProof/>
            <w:webHidden/>
          </w:rPr>
          <w:fldChar w:fldCharType="separate"/>
        </w:r>
        <w:r w:rsidR="00933C42">
          <w:rPr>
            <w:noProof/>
            <w:webHidden/>
          </w:rPr>
          <w:t>11</w:t>
        </w:r>
        <w:r w:rsidR="00053312">
          <w:rPr>
            <w:noProof/>
            <w:webHidden/>
          </w:rPr>
          <w:fldChar w:fldCharType="end"/>
        </w:r>
      </w:hyperlink>
    </w:p>
    <w:p w14:paraId="4B61437E" w14:textId="77777777" w:rsidR="00053312" w:rsidRDefault="00AE7A40">
      <w:pPr>
        <w:pStyle w:val="TOC2"/>
        <w:rPr>
          <w:rFonts w:eastAsiaTheme="minorEastAsia"/>
          <w:noProof/>
          <w:sz w:val="22"/>
          <w:lang w:eastAsia="en-AU"/>
        </w:rPr>
      </w:pPr>
      <w:hyperlink w:anchor="_Toc430770903" w:history="1">
        <w:r w:rsidR="00053312" w:rsidRPr="00121997">
          <w:rPr>
            <w:rStyle w:val="Hyperlink"/>
            <w:iCs/>
            <w:noProof/>
          </w:rPr>
          <w:t>1.6</w:t>
        </w:r>
        <w:r w:rsidR="00053312">
          <w:rPr>
            <w:rFonts w:eastAsiaTheme="minorEastAsia"/>
            <w:noProof/>
            <w:sz w:val="22"/>
            <w:lang w:eastAsia="en-AU"/>
          </w:rPr>
          <w:tab/>
        </w:r>
        <w:r w:rsidR="00053312" w:rsidRPr="00121997">
          <w:rPr>
            <w:rStyle w:val="Hyperlink"/>
            <w:noProof/>
          </w:rPr>
          <w:t>Structure</w:t>
        </w:r>
        <w:r w:rsidR="00053312">
          <w:rPr>
            <w:noProof/>
            <w:webHidden/>
          </w:rPr>
          <w:tab/>
        </w:r>
        <w:r w:rsidR="00053312">
          <w:rPr>
            <w:noProof/>
            <w:webHidden/>
          </w:rPr>
          <w:fldChar w:fldCharType="begin" w:fldLock="1"/>
        </w:r>
        <w:r w:rsidR="00053312">
          <w:rPr>
            <w:noProof/>
            <w:webHidden/>
          </w:rPr>
          <w:instrText xml:space="preserve"> PAGEREF _Toc430770903 \h </w:instrText>
        </w:r>
        <w:r w:rsidR="00053312">
          <w:rPr>
            <w:noProof/>
            <w:webHidden/>
          </w:rPr>
        </w:r>
        <w:r w:rsidR="00053312">
          <w:rPr>
            <w:noProof/>
            <w:webHidden/>
          </w:rPr>
          <w:fldChar w:fldCharType="separate"/>
        </w:r>
        <w:r w:rsidR="00933C42">
          <w:rPr>
            <w:noProof/>
            <w:webHidden/>
          </w:rPr>
          <w:t>12</w:t>
        </w:r>
        <w:r w:rsidR="00053312">
          <w:rPr>
            <w:noProof/>
            <w:webHidden/>
          </w:rPr>
          <w:fldChar w:fldCharType="end"/>
        </w:r>
      </w:hyperlink>
    </w:p>
    <w:p w14:paraId="6D672378" w14:textId="77777777" w:rsidR="00053312" w:rsidRDefault="00AE7A40">
      <w:pPr>
        <w:pStyle w:val="TOC2"/>
        <w:rPr>
          <w:rFonts w:eastAsiaTheme="minorEastAsia"/>
          <w:noProof/>
          <w:sz w:val="22"/>
          <w:lang w:eastAsia="en-AU"/>
        </w:rPr>
      </w:pPr>
      <w:hyperlink w:anchor="_Toc430770904" w:history="1">
        <w:r w:rsidR="00053312" w:rsidRPr="00121997">
          <w:rPr>
            <w:rStyle w:val="Hyperlink"/>
            <w:iCs/>
            <w:noProof/>
          </w:rPr>
          <w:t>1.7</w:t>
        </w:r>
        <w:r w:rsidR="00053312">
          <w:rPr>
            <w:rFonts w:eastAsiaTheme="minorEastAsia"/>
            <w:noProof/>
            <w:sz w:val="22"/>
            <w:lang w:eastAsia="en-AU"/>
          </w:rPr>
          <w:tab/>
        </w:r>
        <w:r w:rsidR="00053312" w:rsidRPr="00121997">
          <w:rPr>
            <w:rStyle w:val="Hyperlink"/>
            <w:noProof/>
          </w:rPr>
          <w:t>Principles and terminology</w:t>
        </w:r>
        <w:r w:rsidR="00053312">
          <w:rPr>
            <w:noProof/>
            <w:webHidden/>
          </w:rPr>
          <w:tab/>
        </w:r>
        <w:r w:rsidR="00053312">
          <w:rPr>
            <w:noProof/>
            <w:webHidden/>
          </w:rPr>
          <w:fldChar w:fldCharType="begin" w:fldLock="1"/>
        </w:r>
        <w:r w:rsidR="00053312">
          <w:rPr>
            <w:noProof/>
            <w:webHidden/>
          </w:rPr>
          <w:instrText xml:space="preserve"> PAGEREF _Toc430770904 \h </w:instrText>
        </w:r>
        <w:r w:rsidR="00053312">
          <w:rPr>
            <w:noProof/>
            <w:webHidden/>
          </w:rPr>
        </w:r>
        <w:r w:rsidR="00053312">
          <w:rPr>
            <w:noProof/>
            <w:webHidden/>
          </w:rPr>
          <w:fldChar w:fldCharType="separate"/>
        </w:r>
        <w:r w:rsidR="00933C42">
          <w:rPr>
            <w:noProof/>
            <w:webHidden/>
          </w:rPr>
          <w:t>13</w:t>
        </w:r>
        <w:r w:rsidR="00053312">
          <w:rPr>
            <w:noProof/>
            <w:webHidden/>
          </w:rPr>
          <w:fldChar w:fldCharType="end"/>
        </w:r>
      </w:hyperlink>
    </w:p>
    <w:p w14:paraId="28C8B113" w14:textId="77777777" w:rsidR="00053312" w:rsidRDefault="00AE7A40">
      <w:pPr>
        <w:pStyle w:val="TOC2"/>
        <w:rPr>
          <w:rFonts w:eastAsiaTheme="minorEastAsia"/>
          <w:noProof/>
          <w:sz w:val="22"/>
          <w:lang w:eastAsia="en-AU"/>
        </w:rPr>
      </w:pPr>
      <w:hyperlink w:anchor="_Toc430770905" w:history="1">
        <w:r w:rsidR="00053312" w:rsidRPr="00121997">
          <w:rPr>
            <w:rStyle w:val="Hyperlink"/>
            <w:noProof/>
          </w:rPr>
          <w:t>1.8</w:t>
        </w:r>
        <w:r w:rsidR="00053312">
          <w:rPr>
            <w:rFonts w:eastAsiaTheme="minorEastAsia"/>
            <w:noProof/>
            <w:sz w:val="22"/>
            <w:lang w:eastAsia="en-AU"/>
          </w:rPr>
          <w:tab/>
        </w:r>
        <w:r w:rsidR="00053312" w:rsidRPr="00121997">
          <w:rPr>
            <w:rStyle w:val="Hyperlink"/>
            <w:noProof/>
          </w:rPr>
          <w:t>NeAF application principles</w:t>
        </w:r>
        <w:r w:rsidR="00053312">
          <w:rPr>
            <w:noProof/>
            <w:webHidden/>
          </w:rPr>
          <w:tab/>
        </w:r>
        <w:r w:rsidR="00053312">
          <w:rPr>
            <w:noProof/>
            <w:webHidden/>
          </w:rPr>
          <w:fldChar w:fldCharType="begin" w:fldLock="1"/>
        </w:r>
        <w:r w:rsidR="00053312">
          <w:rPr>
            <w:noProof/>
            <w:webHidden/>
          </w:rPr>
          <w:instrText xml:space="preserve"> PAGEREF _Toc430770905 \h </w:instrText>
        </w:r>
        <w:r w:rsidR="00053312">
          <w:rPr>
            <w:noProof/>
            <w:webHidden/>
          </w:rPr>
        </w:r>
        <w:r w:rsidR="00053312">
          <w:rPr>
            <w:noProof/>
            <w:webHidden/>
          </w:rPr>
          <w:fldChar w:fldCharType="separate"/>
        </w:r>
        <w:r w:rsidR="00933C42">
          <w:rPr>
            <w:noProof/>
            <w:webHidden/>
          </w:rPr>
          <w:t>13</w:t>
        </w:r>
        <w:r w:rsidR="00053312">
          <w:rPr>
            <w:noProof/>
            <w:webHidden/>
          </w:rPr>
          <w:fldChar w:fldCharType="end"/>
        </w:r>
      </w:hyperlink>
    </w:p>
    <w:p w14:paraId="363DF0C2" w14:textId="77777777" w:rsidR="00053312" w:rsidRDefault="00AE7A40">
      <w:pPr>
        <w:pStyle w:val="TOC2"/>
        <w:rPr>
          <w:rFonts w:eastAsiaTheme="minorEastAsia"/>
          <w:noProof/>
          <w:sz w:val="22"/>
          <w:lang w:eastAsia="en-AU"/>
        </w:rPr>
      </w:pPr>
      <w:hyperlink w:anchor="_Toc430770906" w:history="1">
        <w:r w:rsidR="00053312" w:rsidRPr="00121997">
          <w:rPr>
            <w:rStyle w:val="Hyperlink"/>
            <w:noProof/>
          </w:rPr>
          <w:t>1.9</w:t>
        </w:r>
        <w:r w:rsidR="00053312">
          <w:rPr>
            <w:rFonts w:eastAsiaTheme="minorEastAsia"/>
            <w:noProof/>
            <w:sz w:val="22"/>
            <w:lang w:eastAsia="en-AU"/>
          </w:rPr>
          <w:tab/>
        </w:r>
        <w:r w:rsidR="00053312" w:rsidRPr="00121997">
          <w:rPr>
            <w:rStyle w:val="Hyperlink"/>
            <w:noProof/>
          </w:rPr>
          <w:t>Terminology</w:t>
        </w:r>
        <w:r w:rsidR="00053312">
          <w:rPr>
            <w:noProof/>
            <w:webHidden/>
          </w:rPr>
          <w:tab/>
        </w:r>
        <w:r w:rsidR="00053312">
          <w:rPr>
            <w:noProof/>
            <w:webHidden/>
          </w:rPr>
          <w:fldChar w:fldCharType="begin" w:fldLock="1"/>
        </w:r>
        <w:r w:rsidR="00053312">
          <w:rPr>
            <w:noProof/>
            <w:webHidden/>
          </w:rPr>
          <w:instrText xml:space="preserve"> PAGEREF _Toc430770906 \h </w:instrText>
        </w:r>
        <w:r w:rsidR="00053312">
          <w:rPr>
            <w:noProof/>
            <w:webHidden/>
          </w:rPr>
        </w:r>
        <w:r w:rsidR="00053312">
          <w:rPr>
            <w:noProof/>
            <w:webHidden/>
          </w:rPr>
          <w:fldChar w:fldCharType="separate"/>
        </w:r>
        <w:r w:rsidR="00933C42">
          <w:rPr>
            <w:noProof/>
            <w:webHidden/>
          </w:rPr>
          <w:t>14</w:t>
        </w:r>
        <w:r w:rsidR="00053312">
          <w:rPr>
            <w:noProof/>
            <w:webHidden/>
          </w:rPr>
          <w:fldChar w:fldCharType="end"/>
        </w:r>
      </w:hyperlink>
    </w:p>
    <w:p w14:paraId="014A0791" w14:textId="508B14AC" w:rsidR="00053312" w:rsidRDefault="00AE7A40" w:rsidP="00470C0E">
      <w:pPr>
        <w:pStyle w:val="TOC1"/>
        <w:rPr>
          <w:rFonts w:eastAsiaTheme="minorEastAsia"/>
          <w:noProof/>
          <w:sz w:val="22"/>
          <w:lang w:eastAsia="en-AU"/>
        </w:rPr>
      </w:pPr>
      <w:hyperlink w:anchor="_Toc430770907" w:history="1">
        <w:r w:rsidR="00053312" w:rsidRPr="00121997">
          <w:rPr>
            <w:rStyle w:val="Hyperlink"/>
            <w:noProof/>
          </w:rPr>
          <w:t>2.</w:t>
        </w:r>
        <w:r w:rsidR="00F415A3">
          <w:rPr>
            <w:rFonts w:eastAsiaTheme="minorEastAsia"/>
            <w:noProof/>
            <w:sz w:val="22"/>
            <w:lang w:eastAsia="en-AU"/>
          </w:rPr>
          <w:t xml:space="preserve"> </w:t>
        </w:r>
        <w:r w:rsidR="00053312" w:rsidRPr="00121997">
          <w:rPr>
            <w:rStyle w:val="Hyperlink"/>
            <w:noProof/>
          </w:rPr>
          <w:t xml:space="preserve">Identity </w:t>
        </w:r>
        <w:r w:rsidR="00BE178F">
          <w:rPr>
            <w:rStyle w:val="Hyperlink"/>
            <w:noProof/>
          </w:rPr>
          <w:t>e</w:t>
        </w:r>
        <w:r w:rsidR="00BE178F">
          <w:rPr>
            <w:rStyle w:val="Hyperlink"/>
            <w:noProof/>
          </w:rPr>
          <w:noBreakHyphen/>
        </w:r>
        <w:r w:rsidR="00053312" w:rsidRPr="00121997">
          <w:rPr>
            <w:rStyle w:val="Hyperlink"/>
            <w:noProof/>
          </w:rPr>
          <w:t>Authentication planning (see Better Practice Guidelines Vol. 4)</w:t>
        </w:r>
        <w:r w:rsidR="00053312">
          <w:rPr>
            <w:noProof/>
            <w:webHidden/>
          </w:rPr>
          <w:tab/>
        </w:r>
        <w:r w:rsidR="00053312">
          <w:rPr>
            <w:noProof/>
            <w:webHidden/>
          </w:rPr>
          <w:fldChar w:fldCharType="begin" w:fldLock="1"/>
        </w:r>
        <w:r w:rsidR="00053312">
          <w:rPr>
            <w:noProof/>
            <w:webHidden/>
          </w:rPr>
          <w:instrText xml:space="preserve"> PAGEREF _Toc430770907 \h </w:instrText>
        </w:r>
        <w:r w:rsidR="00053312">
          <w:rPr>
            <w:noProof/>
            <w:webHidden/>
          </w:rPr>
        </w:r>
        <w:r w:rsidR="00053312">
          <w:rPr>
            <w:noProof/>
            <w:webHidden/>
          </w:rPr>
          <w:fldChar w:fldCharType="separate"/>
        </w:r>
        <w:r w:rsidR="00933C42">
          <w:rPr>
            <w:noProof/>
            <w:webHidden/>
          </w:rPr>
          <w:t>16</w:t>
        </w:r>
        <w:r w:rsidR="00053312">
          <w:rPr>
            <w:noProof/>
            <w:webHidden/>
          </w:rPr>
          <w:fldChar w:fldCharType="end"/>
        </w:r>
      </w:hyperlink>
    </w:p>
    <w:p w14:paraId="1010E4ED" w14:textId="77777777" w:rsidR="00053312" w:rsidRDefault="00AE7A40">
      <w:pPr>
        <w:pStyle w:val="TOC2"/>
        <w:rPr>
          <w:rFonts w:eastAsiaTheme="minorEastAsia"/>
          <w:noProof/>
          <w:sz w:val="22"/>
          <w:lang w:eastAsia="en-AU"/>
        </w:rPr>
      </w:pPr>
      <w:hyperlink w:anchor="_Toc430770908" w:history="1">
        <w:r w:rsidR="00053312" w:rsidRPr="00121997">
          <w:rPr>
            <w:rStyle w:val="Hyperlink"/>
            <w:noProof/>
          </w:rPr>
          <w:t>2.1</w:t>
        </w:r>
        <w:r w:rsidR="00053312">
          <w:rPr>
            <w:rFonts w:eastAsiaTheme="minorEastAsia"/>
            <w:noProof/>
            <w:sz w:val="22"/>
            <w:lang w:eastAsia="en-AU"/>
          </w:rPr>
          <w:tab/>
        </w:r>
        <w:r w:rsidR="00053312" w:rsidRPr="00121997">
          <w:rPr>
            <w:rStyle w:val="Hyperlink"/>
            <w:noProof/>
          </w:rPr>
          <w:t>Introduction</w:t>
        </w:r>
        <w:r w:rsidR="00053312">
          <w:rPr>
            <w:noProof/>
            <w:webHidden/>
          </w:rPr>
          <w:tab/>
        </w:r>
        <w:r w:rsidR="00053312">
          <w:rPr>
            <w:noProof/>
            <w:webHidden/>
          </w:rPr>
          <w:fldChar w:fldCharType="begin" w:fldLock="1"/>
        </w:r>
        <w:r w:rsidR="00053312">
          <w:rPr>
            <w:noProof/>
            <w:webHidden/>
          </w:rPr>
          <w:instrText xml:space="preserve"> PAGEREF _Toc430770908 \h </w:instrText>
        </w:r>
        <w:r w:rsidR="00053312">
          <w:rPr>
            <w:noProof/>
            <w:webHidden/>
          </w:rPr>
        </w:r>
        <w:r w:rsidR="00053312">
          <w:rPr>
            <w:noProof/>
            <w:webHidden/>
          </w:rPr>
          <w:fldChar w:fldCharType="separate"/>
        </w:r>
        <w:r w:rsidR="00933C42">
          <w:rPr>
            <w:noProof/>
            <w:webHidden/>
          </w:rPr>
          <w:t>16</w:t>
        </w:r>
        <w:r w:rsidR="00053312">
          <w:rPr>
            <w:noProof/>
            <w:webHidden/>
          </w:rPr>
          <w:fldChar w:fldCharType="end"/>
        </w:r>
      </w:hyperlink>
    </w:p>
    <w:p w14:paraId="732B01C2" w14:textId="77777777" w:rsidR="00053312" w:rsidRDefault="00AE7A40">
      <w:pPr>
        <w:pStyle w:val="TOC2"/>
        <w:rPr>
          <w:rFonts w:eastAsiaTheme="minorEastAsia"/>
          <w:noProof/>
          <w:sz w:val="22"/>
          <w:lang w:eastAsia="en-AU"/>
        </w:rPr>
      </w:pPr>
      <w:hyperlink w:anchor="_Toc430770909" w:history="1">
        <w:r w:rsidR="00053312" w:rsidRPr="00121997">
          <w:rPr>
            <w:rStyle w:val="Hyperlink"/>
            <w:noProof/>
          </w:rPr>
          <w:t>2.2</w:t>
        </w:r>
        <w:r w:rsidR="00053312">
          <w:rPr>
            <w:rFonts w:eastAsiaTheme="minorEastAsia"/>
            <w:noProof/>
            <w:sz w:val="22"/>
            <w:lang w:eastAsia="en-AU"/>
          </w:rPr>
          <w:tab/>
        </w:r>
        <w:r w:rsidR="00053312" w:rsidRPr="00121997">
          <w:rPr>
            <w:rStyle w:val="Hyperlink"/>
            <w:noProof/>
          </w:rPr>
          <w:t>Identity and access management</w:t>
        </w:r>
        <w:r w:rsidR="00053312">
          <w:rPr>
            <w:noProof/>
            <w:webHidden/>
          </w:rPr>
          <w:tab/>
        </w:r>
        <w:r w:rsidR="00053312">
          <w:rPr>
            <w:noProof/>
            <w:webHidden/>
          </w:rPr>
          <w:fldChar w:fldCharType="begin" w:fldLock="1"/>
        </w:r>
        <w:r w:rsidR="00053312">
          <w:rPr>
            <w:noProof/>
            <w:webHidden/>
          </w:rPr>
          <w:instrText xml:space="preserve"> PAGEREF _Toc430770909 \h </w:instrText>
        </w:r>
        <w:r w:rsidR="00053312">
          <w:rPr>
            <w:noProof/>
            <w:webHidden/>
          </w:rPr>
        </w:r>
        <w:r w:rsidR="00053312">
          <w:rPr>
            <w:noProof/>
            <w:webHidden/>
          </w:rPr>
          <w:fldChar w:fldCharType="separate"/>
        </w:r>
        <w:r w:rsidR="00933C42">
          <w:rPr>
            <w:noProof/>
            <w:webHidden/>
          </w:rPr>
          <w:t>16</w:t>
        </w:r>
        <w:r w:rsidR="00053312">
          <w:rPr>
            <w:noProof/>
            <w:webHidden/>
          </w:rPr>
          <w:fldChar w:fldCharType="end"/>
        </w:r>
      </w:hyperlink>
    </w:p>
    <w:p w14:paraId="53EF5484" w14:textId="77777777" w:rsidR="00053312" w:rsidRDefault="00AE7A40">
      <w:pPr>
        <w:pStyle w:val="TOC2"/>
        <w:rPr>
          <w:rFonts w:eastAsiaTheme="minorEastAsia"/>
          <w:noProof/>
          <w:sz w:val="22"/>
          <w:lang w:eastAsia="en-AU"/>
        </w:rPr>
      </w:pPr>
      <w:hyperlink w:anchor="_Toc430770910" w:history="1">
        <w:r w:rsidR="00053312" w:rsidRPr="00121997">
          <w:rPr>
            <w:rStyle w:val="Hyperlink"/>
            <w:noProof/>
          </w:rPr>
          <w:t>2.3</w:t>
        </w:r>
        <w:r w:rsidR="00053312">
          <w:rPr>
            <w:rFonts w:eastAsiaTheme="minorEastAsia"/>
            <w:noProof/>
            <w:sz w:val="22"/>
            <w:lang w:eastAsia="en-AU"/>
          </w:rPr>
          <w:tab/>
        </w:r>
        <w:r w:rsidR="00053312" w:rsidRPr="00121997">
          <w:rPr>
            <w:rStyle w:val="Hyperlink"/>
            <w:noProof/>
          </w:rPr>
          <w:t>Systems architecture and systems development lifecycle</w:t>
        </w:r>
        <w:r w:rsidR="00053312">
          <w:rPr>
            <w:noProof/>
            <w:webHidden/>
          </w:rPr>
          <w:tab/>
        </w:r>
        <w:r w:rsidR="00053312">
          <w:rPr>
            <w:noProof/>
            <w:webHidden/>
          </w:rPr>
          <w:fldChar w:fldCharType="begin" w:fldLock="1"/>
        </w:r>
        <w:r w:rsidR="00053312">
          <w:rPr>
            <w:noProof/>
            <w:webHidden/>
          </w:rPr>
          <w:instrText xml:space="preserve"> PAGEREF _Toc430770910 \h </w:instrText>
        </w:r>
        <w:r w:rsidR="00053312">
          <w:rPr>
            <w:noProof/>
            <w:webHidden/>
          </w:rPr>
        </w:r>
        <w:r w:rsidR="00053312">
          <w:rPr>
            <w:noProof/>
            <w:webHidden/>
          </w:rPr>
          <w:fldChar w:fldCharType="separate"/>
        </w:r>
        <w:r w:rsidR="00933C42">
          <w:rPr>
            <w:noProof/>
            <w:webHidden/>
          </w:rPr>
          <w:t>17</w:t>
        </w:r>
        <w:r w:rsidR="00053312">
          <w:rPr>
            <w:noProof/>
            <w:webHidden/>
          </w:rPr>
          <w:fldChar w:fldCharType="end"/>
        </w:r>
      </w:hyperlink>
    </w:p>
    <w:p w14:paraId="1F8A36E1" w14:textId="77777777" w:rsidR="00053312" w:rsidRDefault="00AE7A40">
      <w:pPr>
        <w:pStyle w:val="TOC2"/>
        <w:rPr>
          <w:rFonts w:eastAsiaTheme="minorEastAsia"/>
          <w:noProof/>
          <w:sz w:val="22"/>
          <w:lang w:eastAsia="en-AU"/>
        </w:rPr>
      </w:pPr>
      <w:hyperlink w:anchor="_Toc430770911" w:history="1">
        <w:r w:rsidR="00053312" w:rsidRPr="00121997">
          <w:rPr>
            <w:rStyle w:val="Hyperlink"/>
            <w:noProof/>
          </w:rPr>
          <w:t>2.4</w:t>
        </w:r>
        <w:r w:rsidR="00053312">
          <w:rPr>
            <w:rFonts w:eastAsiaTheme="minorEastAsia"/>
            <w:noProof/>
            <w:sz w:val="22"/>
            <w:lang w:eastAsia="en-AU"/>
          </w:rPr>
          <w:tab/>
        </w:r>
        <w:r w:rsidR="00053312" w:rsidRPr="00121997">
          <w:rPr>
            <w:rStyle w:val="Hyperlink"/>
            <w:noProof/>
          </w:rPr>
          <w:t>Privacy</w:t>
        </w:r>
        <w:r w:rsidR="00053312">
          <w:rPr>
            <w:noProof/>
            <w:webHidden/>
          </w:rPr>
          <w:tab/>
        </w:r>
        <w:r w:rsidR="00053312">
          <w:rPr>
            <w:noProof/>
            <w:webHidden/>
          </w:rPr>
          <w:fldChar w:fldCharType="begin" w:fldLock="1"/>
        </w:r>
        <w:r w:rsidR="00053312">
          <w:rPr>
            <w:noProof/>
            <w:webHidden/>
          </w:rPr>
          <w:instrText xml:space="preserve"> PAGEREF _Toc430770911 \h </w:instrText>
        </w:r>
        <w:r w:rsidR="00053312">
          <w:rPr>
            <w:noProof/>
            <w:webHidden/>
          </w:rPr>
        </w:r>
        <w:r w:rsidR="00053312">
          <w:rPr>
            <w:noProof/>
            <w:webHidden/>
          </w:rPr>
          <w:fldChar w:fldCharType="separate"/>
        </w:r>
        <w:r w:rsidR="00933C42">
          <w:rPr>
            <w:noProof/>
            <w:webHidden/>
          </w:rPr>
          <w:t>17</w:t>
        </w:r>
        <w:r w:rsidR="00053312">
          <w:rPr>
            <w:noProof/>
            <w:webHidden/>
          </w:rPr>
          <w:fldChar w:fldCharType="end"/>
        </w:r>
      </w:hyperlink>
    </w:p>
    <w:p w14:paraId="146810EF" w14:textId="77777777" w:rsidR="00053312" w:rsidRDefault="00AE7A40">
      <w:pPr>
        <w:pStyle w:val="TOC2"/>
        <w:rPr>
          <w:rFonts w:eastAsiaTheme="minorEastAsia"/>
          <w:noProof/>
          <w:sz w:val="22"/>
          <w:lang w:eastAsia="en-AU"/>
        </w:rPr>
      </w:pPr>
      <w:hyperlink w:anchor="_Toc430770912" w:history="1">
        <w:r w:rsidR="00053312" w:rsidRPr="00121997">
          <w:rPr>
            <w:rStyle w:val="Hyperlink"/>
            <w:noProof/>
          </w:rPr>
          <w:t>2.5</w:t>
        </w:r>
        <w:r w:rsidR="00053312">
          <w:rPr>
            <w:rFonts w:eastAsiaTheme="minorEastAsia"/>
            <w:noProof/>
            <w:sz w:val="22"/>
            <w:lang w:eastAsia="en-AU"/>
          </w:rPr>
          <w:tab/>
        </w:r>
        <w:r w:rsidR="00053312" w:rsidRPr="00121997">
          <w:rPr>
            <w:rStyle w:val="Hyperlink"/>
            <w:noProof/>
          </w:rPr>
          <w:t>Risk management</w:t>
        </w:r>
        <w:r w:rsidR="00053312">
          <w:rPr>
            <w:noProof/>
            <w:webHidden/>
          </w:rPr>
          <w:tab/>
        </w:r>
        <w:r w:rsidR="00053312">
          <w:rPr>
            <w:noProof/>
            <w:webHidden/>
          </w:rPr>
          <w:fldChar w:fldCharType="begin" w:fldLock="1"/>
        </w:r>
        <w:r w:rsidR="00053312">
          <w:rPr>
            <w:noProof/>
            <w:webHidden/>
          </w:rPr>
          <w:instrText xml:space="preserve"> PAGEREF _Toc430770912 \h </w:instrText>
        </w:r>
        <w:r w:rsidR="00053312">
          <w:rPr>
            <w:noProof/>
            <w:webHidden/>
          </w:rPr>
        </w:r>
        <w:r w:rsidR="00053312">
          <w:rPr>
            <w:noProof/>
            <w:webHidden/>
          </w:rPr>
          <w:fldChar w:fldCharType="separate"/>
        </w:r>
        <w:r w:rsidR="00933C42">
          <w:rPr>
            <w:noProof/>
            <w:webHidden/>
          </w:rPr>
          <w:t>17</w:t>
        </w:r>
        <w:r w:rsidR="00053312">
          <w:rPr>
            <w:noProof/>
            <w:webHidden/>
          </w:rPr>
          <w:fldChar w:fldCharType="end"/>
        </w:r>
      </w:hyperlink>
    </w:p>
    <w:p w14:paraId="775E6754" w14:textId="09FD9FA8" w:rsidR="00053312" w:rsidRDefault="00AE7A40" w:rsidP="00470C0E">
      <w:pPr>
        <w:pStyle w:val="TOC1"/>
        <w:rPr>
          <w:rFonts w:eastAsiaTheme="minorEastAsia"/>
          <w:noProof/>
          <w:sz w:val="22"/>
          <w:lang w:eastAsia="en-AU"/>
        </w:rPr>
      </w:pPr>
      <w:hyperlink w:anchor="_Toc430770913" w:history="1">
        <w:r w:rsidR="00053312" w:rsidRPr="00121997">
          <w:rPr>
            <w:rStyle w:val="Hyperlink"/>
            <w:noProof/>
          </w:rPr>
          <w:t>3.</w:t>
        </w:r>
        <w:r w:rsidR="00F415A3">
          <w:rPr>
            <w:rFonts w:eastAsiaTheme="minorEastAsia"/>
            <w:noProof/>
            <w:sz w:val="22"/>
            <w:lang w:eastAsia="en-AU"/>
          </w:rPr>
          <w:t xml:space="preserve"> </w:t>
        </w:r>
        <w:r w:rsidR="00053312" w:rsidRPr="00121997">
          <w:rPr>
            <w:rStyle w:val="Hyperlink"/>
            <w:noProof/>
          </w:rPr>
          <w:t>NeAF methodology (see Better Practice Guidelines Vol 1)</w:t>
        </w:r>
        <w:r w:rsidR="00053312">
          <w:rPr>
            <w:noProof/>
            <w:webHidden/>
          </w:rPr>
          <w:tab/>
        </w:r>
        <w:r w:rsidR="00053312">
          <w:rPr>
            <w:noProof/>
            <w:webHidden/>
          </w:rPr>
          <w:fldChar w:fldCharType="begin" w:fldLock="1"/>
        </w:r>
        <w:r w:rsidR="00053312">
          <w:rPr>
            <w:noProof/>
            <w:webHidden/>
          </w:rPr>
          <w:instrText xml:space="preserve"> PAGEREF _Toc430770913 \h </w:instrText>
        </w:r>
        <w:r w:rsidR="00053312">
          <w:rPr>
            <w:noProof/>
            <w:webHidden/>
          </w:rPr>
        </w:r>
        <w:r w:rsidR="00053312">
          <w:rPr>
            <w:noProof/>
            <w:webHidden/>
          </w:rPr>
          <w:fldChar w:fldCharType="separate"/>
        </w:r>
        <w:r w:rsidR="00933C42">
          <w:rPr>
            <w:noProof/>
            <w:webHidden/>
          </w:rPr>
          <w:t>19</w:t>
        </w:r>
        <w:r w:rsidR="00053312">
          <w:rPr>
            <w:noProof/>
            <w:webHidden/>
          </w:rPr>
          <w:fldChar w:fldCharType="end"/>
        </w:r>
      </w:hyperlink>
    </w:p>
    <w:p w14:paraId="7BAEFECB" w14:textId="77777777" w:rsidR="00053312" w:rsidRDefault="00AE7A40">
      <w:pPr>
        <w:pStyle w:val="TOC2"/>
        <w:rPr>
          <w:rFonts w:eastAsiaTheme="minorEastAsia"/>
          <w:noProof/>
          <w:sz w:val="22"/>
          <w:lang w:eastAsia="en-AU"/>
        </w:rPr>
      </w:pPr>
      <w:hyperlink w:anchor="_Toc430770914" w:history="1">
        <w:r w:rsidR="00053312" w:rsidRPr="00121997">
          <w:rPr>
            <w:rStyle w:val="Hyperlink"/>
            <w:noProof/>
          </w:rPr>
          <w:t>Step 1: Determine the business requirements</w:t>
        </w:r>
        <w:r w:rsidR="00053312">
          <w:rPr>
            <w:noProof/>
            <w:webHidden/>
          </w:rPr>
          <w:tab/>
        </w:r>
        <w:r w:rsidR="00053312">
          <w:rPr>
            <w:noProof/>
            <w:webHidden/>
          </w:rPr>
          <w:fldChar w:fldCharType="begin" w:fldLock="1"/>
        </w:r>
        <w:r w:rsidR="00053312">
          <w:rPr>
            <w:noProof/>
            <w:webHidden/>
          </w:rPr>
          <w:instrText xml:space="preserve"> PAGEREF _Toc430770914 \h </w:instrText>
        </w:r>
        <w:r w:rsidR="00053312">
          <w:rPr>
            <w:noProof/>
            <w:webHidden/>
          </w:rPr>
        </w:r>
        <w:r w:rsidR="00053312">
          <w:rPr>
            <w:noProof/>
            <w:webHidden/>
          </w:rPr>
          <w:fldChar w:fldCharType="separate"/>
        </w:r>
        <w:r w:rsidR="00933C42">
          <w:rPr>
            <w:noProof/>
            <w:webHidden/>
          </w:rPr>
          <w:t>19</w:t>
        </w:r>
        <w:r w:rsidR="00053312">
          <w:rPr>
            <w:noProof/>
            <w:webHidden/>
          </w:rPr>
          <w:fldChar w:fldCharType="end"/>
        </w:r>
      </w:hyperlink>
    </w:p>
    <w:p w14:paraId="0371A690" w14:textId="77777777" w:rsidR="00053312" w:rsidRDefault="00AE7A40">
      <w:pPr>
        <w:pStyle w:val="TOC2"/>
        <w:rPr>
          <w:rFonts w:eastAsiaTheme="minorEastAsia"/>
          <w:noProof/>
          <w:sz w:val="22"/>
          <w:lang w:eastAsia="en-AU"/>
        </w:rPr>
      </w:pPr>
      <w:hyperlink w:anchor="_Toc430770915" w:history="1">
        <w:r w:rsidR="00053312" w:rsidRPr="00121997">
          <w:rPr>
            <w:rStyle w:val="Hyperlink"/>
            <w:noProof/>
          </w:rPr>
          <w:t>Step 2: Determine the assurance level requirements</w:t>
        </w:r>
        <w:r w:rsidR="00053312">
          <w:rPr>
            <w:noProof/>
            <w:webHidden/>
          </w:rPr>
          <w:tab/>
        </w:r>
        <w:r w:rsidR="00053312">
          <w:rPr>
            <w:noProof/>
            <w:webHidden/>
          </w:rPr>
          <w:fldChar w:fldCharType="begin" w:fldLock="1"/>
        </w:r>
        <w:r w:rsidR="00053312">
          <w:rPr>
            <w:noProof/>
            <w:webHidden/>
          </w:rPr>
          <w:instrText xml:space="preserve"> PAGEREF _Toc430770915 \h </w:instrText>
        </w:r>
        <w:r w:rsidR="00053312">
          <w:rPr>
            <w:noProof/>
            <w:webHidden/>
          </w:rPr>
        </w:r>
        <w:r w:rsidR="00053312">
          <w:rPr>
            <w:noProof/>
            <w:webHidden/>
          </w:rPr>
          <w:fldChar w:fldCharType="separate"/>
        </w:r>
        <w:r w:rsidR="00933C42">
          <w:rPr>
            <w:noProof/>
            <w:webHidden/>
          </w:rPr>
          <w:t>20</w:t>
        </w:r>
        <w:r w:rsidR="00053312">
          <w:rPr>
            <w:noProof/>
            <w:webHidden/>
          </w:rPr>
          <w:fldChar w:fldCharType="end"/>
        </w:r>
      </w:hyperlink>
    </w:p>
    <w:p w14:paraId="3A0F9CAF" w14:textId="77777777" w:rsidR="00053312" w:rsidRDefault="00AE7A40">
      <w:pPr>
        <w:pStyle w:val="TOC2"/>
        <w:rPr>
          <w:rFonts w:eastAsiaTheme="minorEastAsia"/>
          <w:noProof/>
          <w:sz w:val="22"/>
          <w:lang w:eastAsia="en-AU"/>
        </w:rPr>
      </w:pPr>
      <w:hyperlink w:anchor="_Toc430770916" w:history="1">
        <w:r w:rsidR="00053312" w:rsidRPr="00121997">
          <w:rPr>
            <w:rStyle w:val="Hyperlink"/>
            <w:noProof/>
          </w:rPr>
          <w:t>Step 3: Select the registration approach</w:t>
        </w:r>
        <w:r w:rsidR="00053312">
          <w:rPr>
            <w:noProof/>
            <w:webHidden/>
          </w:rPr>
          <w:tab/>
        </w:r>
        <w:r w:rsidR="00053312">
          <w:rPr>
            <w:noProof/>
            <w:webHidden/>
          </w:rPr>
          <w:fldChar w:fldCharType="begin" w:fldLock="1"/>
        </w:r>
        <w:r w:rsidR="00053312">
          <w:rPr>
            <w:noProof/>
            <w:webHidden/>
          </w:rPr>
          <w:instrText xml:space="preserve"> PAGEREF _Toc430770916 \h </w:instrText>
        </w:r>
        <w:r w:rsidR="00053312">
          <w:rPr>
            <w:noProof/>
            <w:webHidden/>
          </w:rPr>
        </w:r>
        <w:r w:rsidR="00053312">
          <w:rPr>
            <w:noProof/>
            <w:webHidden/>
          </w:rPr>
          <w:fldChar w:fldCharType="separate"/>
        </w:r>
        <w:r w:rsidR="00933C42">
          <w:rPr>
            <w:noProof/>
            <w:webHidden/>
          </w:rPr>
          <w:t>23</w:t>
        </w:r>
        <w:r w:rsidR="00053312">
          <w:rPr>
            <w:noProof/>
            <w:webHidden/>
          </w:rPr>
          <w:fldChar w:fldCharType="end"/>
        </w:r>
      </w:hyperlink>
    </w:p>
    <w:p w14:paraId="03FAAC29" w14:textId="77777777" w:rsidR="00053312" w:rsidRDefault="00AE7A40">
      <w:pPr>
        <w:pStyle w:val="TOC2"/>
        <w:rPr>
          <w:rFonts w:eastAsiaTheme="minorEastAsia"/>
          <w:noProof/>
          <w:sz w:val="22"/>
          <w:lang w:eastAsia="en-AU"/>
        </w:rPr>
      </w:pPr>
      <w:hyperlink w:anchor="_Toc430770917" w:history="1">
        <w:r w:rsidR="00053312" w:rsidRPr="00121997">
          <w:rPr>
            <w:rStyle w:val="Hyperlink"/>
            <w:noProof/>
          </w:rPr>
          <w:t xml:space="preserve">Step 4: Select the </w:t>
        </w:r>
        <w:r w:rsidR="00BE178F">
          <w:rPr>
            <w:rStyle w:val="Hyperlink"/>
            <w:noProof/>
          </w:rPr>
          <w:t>e</w:t>
        </w:r>
        <w:r w:rsidR="00BE178F">
          <w:rPr>
            <w:rStyle w:val="Hyperlink"/>
            <w:noProof/>
          </w:rPr>
          <w:noBreakHyphen/>
        </w:r>
        <w:r w:rsidR="00053312" w:rsidRPr="00121997">
          <w:rPr>
            <w:rStyle w:val="Hyperlink"/>
            <w:noProof/>
          </w:rPr>
          <w:t>Authentication mechanism</w:t>
        </w:r>
        <w:r w:rsidR="00053312">
          <w:rPr>
            <w:noProof/>
            <w:webHidden/>
          </w:rPr>
          <w:tab/>
        </w:r>
        <w:r w:rsidR="00053312">
          <w:rPr>
            <w:noProof/>
            <w:webHidden/>
          </w:rPr>
          <w:fldChar w:fldCharType="begin" w:fldLock="1"/>
        </w:r>
        <w:r w:rsidR="00053312">
          <w:rPr>
            <w:noProof/>
            <w:webHidden/>
          </w:rPr>
          <w:instrText xml:space="preserve"> PAGEREF _Toc430770917 \h </w:instrText>
        </w:r>
        <w:r w:rsidR="00053312">
          <w:rPr>
            <w:noProof/>
            <w:webHidden/>
          </w:rPr>
        </w:r>
        <w:r w:rsidR="00053312">
          <w:rPr>
            <w:noProof/>
            <w:webHidden/>
          </w:rPr>
          <w:fldChar w:fldCharType="separate"/>
        </w:r>
        <w:r w:rsidR="00933C42">
          <w:rPr>
            <w:noProof/>
            <w:webHidden/>
          </w:rPr>
          <w:t>24</w:t>
        </w:r>
        <w:r w:rsidR="00053312">
          <w:rPr>
            <w:noProof/>
            <w:webHidden/>
          </w:rPr>
          <w:fldChar w:fldCharType="end"/>
        </w:r>
      </w:hyperlink>
    </w:p>
    <w:p w14:paraId="42AB586B" w14:textId="77777777" w:rsidR="00053312" w:rsidRDefault="00AE7A40">
      <w:pPr>
        <w:pStyle w:val="TOC2"/>
        <w:rPr>
          <w:rFonts w:eastAsiaTheme="minorEastAsia"/>
          <w:noProof/>
          <w:sz w:val="22"/>
          <w:lang w:eastAsia="en-AU"/>
        </w:rPr>
      </w:pPr>
      <w:hyperlink w:anchor="_Toc430770918" w:history="1">
        <w:r w:rsidR="00053312" w:rsidRPr="00121997">
          <w:rPr>
            <w:rStyle w:val="Hyperlink"/>
            <w:noProof/>
          </w:rPr>
          <w:t>Step 5: Select an implementation model (see Better Practice Guidelines Vol 3)</w:t>
        </w:r>
        <w:r w:rsidR="00053312">
          <w:rPr>
            <w:noProof/>
            <w:webHidden/>
          </w:rPr>
          <w:tab/>
        </w:r>
        <w:r w:rsidR="00053312">
          <w:rPr>
            <w:noProof/>
            <w:webHidden/>
          </w:rPr>
          <w:fldChar w:fldCharType="begin" w:fldLock="1"/>
        </w:r>
        <w:r w:rsidR="00053312">
          <w:rPr>
            <w:noProof/>
            <w:webHidden/>
          </w:rPr>
          <w:instrText xml:space="preserve"> PAGEREF _Toc430770918 \h </w:instrText>
        </w:r>
        <w:r w:rsidR="00053312">
          <w:rPr>
            <w:noProof/>
            <w:webHidden/>
          </w:rPr>
        </w:r>
        <w:r w:rsidR="00053312">
          <w:rPr>
            <w:noProof/>
            <w:webHidden/>
          </w:rPr>
          <w:fldChar w:fldCharType="separate"/>
        </w:r>
        <w:r w:rsidR="00933C42">
          <w:rPr>
            <w:noProof/>
            <w:webHidden/>
          </w:rPr>
          <w:t>27</w:t>
        </w:r>
        <w:r w:rsidR="00053312">
          <w:rPr>
            <w:noProof/>
            <w:webHidden/>
          </w:rPr>
          <w:fldChar w:fldCharType="end"/>
        </w:r>
      </w:hyperlink>
    </w:p>
    <w:p w14:paraId="426BCB33" w14:textId="77777777" w:rsidR="00053312" w:rsidRDefault="00AE7A40">
      <w:pPr>
        <w:pStyle w:val="TOC2"/>
        <w:rPr>
          <w:rFonts w:eastAsiaTheme="minorEastAsia"/>
          <w:noProof/>
          <w:sz w:val="22"/>
          <w:lang w:eastAsia="en-AU"/>
        </w:rPr>
      </w:pPr>
      <w:hyperlink w:anchor="_Toc430770919" w:history="1">
        <w:r w:rsidR="00053312" w:rsidRPr="00121997">
          <w:rPr>
            <w:rStyle w:val="Hyperlink"/>
            <w:noProof/>
          </w:rPr>
          <w:t xml:space="preserve">Step 6: Assess the business case and feasibility of the </w:t>
        </w:r>
        <w:r w:rsidR="00BE178F">
          <w:rPr>
            <w:rStyle w:val="Hyperlink"/>
            <w:noProof/>
          </w:rPr>
          <w:t>e</w:t>
        </w:r>
        <w:r w:rsidR="00BE178F">
          <w:rPr>
            <w:rStyle w:val="Hyperlink"/>
            <w:noProof/>
          </w:rPr>
          <w:noBreakHyphen/>
        </w:r>
        <w:r w:rsidR="00053312" w:rsidRPr="00121997">
          <w:rPr>
            <w:rStyle w:val="Hyperlink"/>
            <w:noProof/>
          </w:rPr>
          <w:t>Authentication model</w:t>
        </w:r>
        <w:r w:rsidR="00053312">
          <w:rPr>
            <w:noProof/>
            <w:webHidden/>
          </w:rPr>
          <w:tab/>
        </w:r>
        <w:r w:rsidR="00053312">
          <w:rPr>
            <w:noProof/>
            <w:webHidden/>
          </w:rPr>
          <w:fldChar w:fldCharType="begin" w:fldLock="1"/>
        </w:r>
        <w:r w:rsidR="00053312">
          <w:rPr>
            <w:noProof/>
            <w:webHidden/>
          </w:rPr>
          <w:instrText xml:space="preserve"> PAGEREF _Toc430770919 \h </w:instrText>
        </w:r>
        <w:r w:rsidR="00053312">
          <w:rPr>
            <w:noProof/>
            <w:webHidden/>
          </w:rPr>
        </w:r>
        <w:r w:rsidR="00053312">
          <w:rPr>
            <w:noProof/>
            <w:webHidden/>
          </w:rPr>
          <w:fldChar w:fldCharType="separate"/>
        </w:r>
        <w:r w:rsidR="00933C42">
          <w:rPr>
            <w:noProof/>
            <w:webHidden/>
          </w:rPr>
          <w:t>28</w:t>
        </w:r>
        <w:r w:rsidR="00053312">
          <w:rPr>
            <w:noProof/>
            <w:webHidden/>
          </w:rPr>
          <w:fldChar w:fldCharType="end"/>
        </w:r>
      </w:hyperlink>
    </w:p>
    <w:p w14:paraId="3C5F448F" w14:textId="77777777" w:rsidR="00053312" w:rsidRDefault="00AE7A40">
      <w:pPr>
        <w:pStyle w:val="TOC2"/>
        <w:rPr>
          <w:rFonts w:eastAsiaTheme="minorEastAsia"/>
          <w:noProof/>
          <w:sz w:val="22"/>
          <w:lang w:eastAsia="en-AU"/>
        </w:rPr>
      </w:pPr>
      <w:hyperlink w:anchor="_Toc430770920" w:history="1">
        <w:r w:rsidR="00053312" w:rsidRPr="00121997">
          <w:rPr>
            <w:rStyle w:val="Hyperlink"/>
            <w:noProof/>
          </w:rPr>
          <w:t xml:space="preserve">Step 7: Review the </w:t>
        </w:r>
        <w:r w:rsidR="00BE178F">
          <w:rPr>
            <w:rStyle w:val="Hyperlink"/>
            <w:noProof/>
          </w:rPr>
          <w:t>e</w:t>
        </w:r>
        <w:r w:rsidR="00BE178F">
          <w:rPr>
            <w:rStyle w:val="Hyperlink"/>
            <w:noProof/>
          </w:rPr>
          <w:noBreakHyphen/>
        </w:r>
        <w:r w:rsidR="00053312" w:rsidRPr="00121997">
          <w:rPr>
            <w:rStyle w:val="Hyperlink"/>
            <w:noProof/>
          </w:rPr>
          <w:t>Authentication solution</w:t>
        </w:r>
        <w:r w:rsidR="00053312">
          <w:rPr>
            <w:noProof/>
            <w:webHidden/>
          </w:rPr>
          <w:tab/>
        </w:r>
        <w:r w:rsidR="00053312">
          <w:rPr>
            <w:noProof/>
            <w:webHidden/>
          </w:rPr>
          <w:fldChar w:fldCharType="begin" w:fldLock="1"/>
        </w:r>
        <w:r w:rsidR="00053312">
          <w:rPr>
            <w:noProof/>
            <w:webHidden/>
          </w:rPr>
          <w:instrText xml:space="preserve"> PAGEREF _Toc430770920 \h </w:instrText>
        </w:r>
        <w:r w:rsidR="00053312">
          <w:rPr>
            <w:noProof/>
            <w:webHidden/>
          </w:rPr>
        </w:r>
        <w:r w:rsidR="00053312">
          <w:rPr>
            <w:noProof/>
            <w:webHidden/>
          </w:rPr>
          <w:fldChar w:fldCharType="separate"/>
        </w:r>
        <w:r w:rsidR="00933C42">
          <w:rPr>
            <w:noProof/>
            <w:webHidden/>
          </w:rPr>
          <w:t>29</w:t>
        </w:r>
        <w:r w:rsidR="00053312">
          <w:rPr>
            <w:noProof/>
            <w:webHidden/>
          </w:rPr>
          <w:fldChar w:fldCharType="end"/>
        </w:r>
      </w:hyperlink>
    </w:p>
    <w:p w14:paraId="2DD60468" w14:textId="4F87D0CE" w:rsidR="00053312" w:rsidRDefault="00AE7A40" w:rsidP="00470C0E">
      <w:pPr>
        <w:pStyle w:val="TOC1"/>
        <w:rPr>
          <w:rFonts w:eastAsiaTheme="minorEastAsia"/>
          <w:noProof/>
          <w:sz w:val="22"/>
          <w:lang w:eastAsia="en-AU"/>
        </w:rPr>
      </w:pPr>
      <w:hyperlink w:anchor="_Toc430770921" w:history="1">
        <w:r w:rsidR="00053312" w:rsidRPr="00121997">
          <w:rPr>
            <w:rStyle w:val="Hyperlink"/>
            <w:noProof/>
          </w:rPr>
          <w:t>4.</w:t>
        </w:r>
        <w:r w:rsidR="00F415A3">
          <w:rPr>
            <w:rFonts w:eastAsiaTheme="minorEastAsia"/>
            <w:noProof/>
            <w:sz w:val="22"/>
            <w:lang w:eastAsia="en-AU"/>
          </w:rPr>
          <w:t xml:space="preserve"> </w:t>
        </w:r>
        <w:r w:rsidR="00053312" w:rsidRPr="00121997">
          <w:rPr>
            <w:rStyle w:val="Hyperlink"/>
            <w:noProof/>
          </w:rPr>
          <w:t>Authentication of government websites (see Better Practice Guidelines Vol 2)</w:t>
        </w:r>
        <w:r w:rsidR="00053312">
          <w:rPr>
            <w:noProof/>
            <w:webHidden/>
          </w:rPr>
          <w:tab/>
        </w:r>
        <w:r w:rsidR="00053312">
          <w:rPr>
            <w:noProof/>
            <w:webHidden/>
          </w:rPr>
          <w:fldChar w:fldCharType="begin" w:fldLock="1"/>
        </w:r>
        <w:r w:rsidR="00053312">
          <w:rPr>
            <w:noProof/>
            <w:webHidden/>
          </w:rPr>
          <w:instrText xml:space="preserve"> PAGEREF _Toc430770921 \h </w:instrText>
        </w:r>
        <w:r w:rsidR="00053312">
          <w:rPr>
            <w:noProof/>
            <w:webHidden/>
          </w:rPr>
        </w:r>
        <w:r w:rsidR="00053312">
          <w:rPr>
            <w:noProof/>
            <w:webHidden/>
          </w:rPr>
          <w:fldChar w:fldCharType="separate"/>
        </w:r>
        <w:r w:rsidR="00933C42">
          <w:rPr>
            <w:noProof/>
            <w:webHidden/>
          </w:rPr>
          <w:t>30</w:t>
        </w:r>
        <w:r w:rsidR="00053312">
          <w:rPr>
            <w:noProof/>
            <w:webHidden/>
          </w:rPr>
          <w:fldChar w:fldCharType="end"/>
        </w:r>
      </w:hyperlink>
    </w:p>
    <w:p w14:paraId="0673D730" w14:textId="77777777" w:rsidR="00053312" w:rsidRDefault="00AE7A40">
      <w:pPr>
        <w:pStyle w:val="TOC2"/>
        <w:rPr>
          <w:rFonts w:eastAsiaTheme="minorEastAsia"/>
          <w:noProof/>
          <w:sz w:val="22"/>
          <w:lang w:eastAsia="en-AU"/>
        </w:rPr>
      </w:pPr>
      <w:hyperlink w:anchor="_Toc430770922" w:history="1">
        <w:r w:rsidR="00053312" w:rsidRPr="00121997">
          <w:rPr>
            <w:rStyle w:val="Hyperlink"/>
            <w:noProof/>
          </w:rPr>
          <w:t>4.1</w:t>
        </w:r>
        <w:r w:rsidR="00053312">
          <w:rPr>
            <w:rFonts w:eastAsiaTheme="minorEastAsia"/>
            <w:noProof/>
            <w:sz w:val="22"/>
            <w:lang w:eastAsia="en-AU"/>
          </w:rPr>
          <w:tab/>
        </w:r>
        <w:r w:rsidR="00053312" w:rsidRPr="00121997">
          <w:rPr>
            <w:rStyle w:val="Hyperlink"/>
            <w:noProof/>
          </w:rPr>
          <w:t>Rationale</w:t>
        </w:r>
        <w:r w:rsidR="00053312">
          <w:rPr>
            <w:noProof/>
            <w:webHidden/>
          </w:rPr>
          <w:tab/>
        </w:r>
        <w:r w:rsidR="00053312">
          <w:rPr>
            <w:noProof/>
            <w:webHidden/>
          </w:rPr>
          <w:fldChar w:fldCharType="begin" w:fldLock="1"/>
        </w:r>
        <w:r w:rsidR="00053312">
          <w:rPr>
            <w:noProof/>
            <w:webHidden/>
          </w:rPr>
          <w:instrText xml:space="preserve"> PAGEREF _Toc430770922 \h </w:instrText>
        </w:r>
        <w:r w:rsidR="00053312">
          <w:rPr>
            <w:noProof/>
            <w:webHidden/>
          </w:rPr>
        </w:r>
        <w:r w:rsidR="00053312">
          <w:rPr>
            <w:noProof/>
            <w:webHidden/>
          </w:rPr>
          <w:fldChar w:fldCharType="separate"/>
        </w:r>
        <w:r w:rsidR="00933C42">
          <w:rPr>
            <w:noProof/>
            <w:webHidden/>
          </w:rPr>
          <w:t>30</w:t>
        </w:r>
        <w:r w:rsidR="00053312">
          <w:rPr>
            <w:noProof/>
            <w:webHidden/>
          </w:rPr>
          <w:fldChar w:fldCharType="end"/>
        </w:r>
      </w:hyperlink>
    </w:p>
    <w:p w14:paraId="2512F1E7" w14:textId="77777777" w:rsidR="00053312" w:rsidRDefault="00AE7A40">
      <w:pPr>
        <w:pStyle w:val="TOC2"/>
        <w:rPr>
          <w:rFonts w:eastAsiaTheme="minorEastAsia"/>
          <w:noProof/>
          <w:sz w:val="22"/>
          <w:lang w:eastAsia="en-AU"/>
        </w:rPr>
      </w:pPr>
      <w:hyperlink w:anchor="_Toc430770923" w:history="1">
        <w:r w:rsidR="00053312" w:rsidRPr="00121997">
          <w:rPr>
            <w:rStyle w:val="Hyperlink"/>
            <w:noProof/>
          </w:rPr>
          <w:t>4.2</w:t>
        </w:r>
        <w:r w:rsidR="00053312">
          <w:rPr>
            <w:rFonts w:eastAsiaTheme="minorEastAsia"/>
            <w:noProof/>
            <w:sz w:val="22"/>
            <w:lang w:eastAsia="en-AU"/>
          </w:rPr>
          <w:tab/>
        </w:r>
        <w:r w:rsidR="00053312" w:rsidRPr="00121997">
          <w:rPr>
            <w:rStyle w:val="Hyperlink"/>
            <w:noProof/>
          </w:rPr>
          <w:t>Website authentication planning principles</w:t>
        </w:r>
        <w:r w:rsidR="00053312">
          <w:rPr>
            <w:noProof/>
            <w:webHidden/>
          </w:rPr>
          <w:tab/>
        </w:r>
        <w:r w:rsidR="00053312">
          <w:rPr>
            <w:noProof/>
            <w:webHidden/>
          </w:rPr>
          <w:fldChar w:fldCharType="begin" w:fldLock="1"/>
        </w:r>
        <w:r w:rsidR="00053312">
          <w:rPr>
            <w:noProof/>
            <w:webHidden/>
          </w:rPr>
          <w:instrText xml:space="preserve"> PAGEREF _Toc430770923 \h </w:instrText>
        </w:r>
        <w:r w:rsidR="00053312">
          <w:rPr>
            <w:noProof/>
            <w:webHidden/>
          </w:rPr>
        </w:r>
        <w:r w:rsidR="00053312">
          <w:rPr>
            <w:noProof/>
            <w:webHidden/>
          </w:rPr>
          <w:fldChar w:fldCharType="separate"/>
        </w:r>
        <w:r w:rsidR="00933C42">
          <w:rPr>
            <w:noProof/>
            <w:webHidden/>
          </w:rPr>
          <w:t>30</w:t>
        </w:r>
        <w:r w:rsidR="00053312">
          <w:rPr>
            <w:noProof/>
            <w:webHidden/>
          </w:rPr>
          <w:fldChar w:fldCharType="end"/>
        </w:r>
      </w:hyperlink>
    </w:p>
    <w:p w14:paraId="62D6FDDD" w14:textId="77777777" w:rsidR="00053312" w:rsidRDefault="00AE7A40">
      <w:pPr>
        <w:pStyle w:val="TOC2"/>
        <w:rPr>
          <w:rFonts w:eastAsiaTheme="minorEastAsia"/>
          <w:noProof/>
          <w:sz w:val="22"/>
          <w:lang w:eastAsia="en-AU"/>
        </w:rPr>
      </w:pPr>
      <w:hyperlink w:anchor="_Toc430770924" w:history="1">
        <w:r w:rsidR="00053312" w:rsidRPr="00121997">
          <w:rPr>
            <w:rStyle w:val="Hyperlink"/>
            <w:noProof/>
          </w:rPr>
          <w:t>4.3</w:t>
        </w:r>
        <w:r w:rsidR="00053312">
          <w:rPr>
            <w:rFonts w:eastAsiaTheme="minorEastAsia"/>
            <w:noProof/>
            <w:sz w:val="22"/>
            <w:lang w:eastAsia="en-AU"/>
          </w:rPr>
          <w:tab/>
        </w:r>
        <w:r w:rsidR="00053312" w:rsidRPr="00121997">
          <w:rPr>
            <w:rStyle w:val="Hyperlink"/>
            <w:noProof/>
          </w:rPr>
          <w:t>Website authentication framework</w:t>
        </w:r>
        <w:r w:rsidR="00053312">
          <w:rPr>
            <w:noProof/>
            <w:webHidden/>
          </w:rPr>
          <w:tab/>
        </w:r>
        <w:r w:rsidR="00053312">
          <w:rPr>
            <w:noProof/>
            <w:webHidden/>
          </w:rPr>
          <w:fldChar w:fldCharType="begin" w:fldLock="1"/>
        </w:r>
        <w:r w:rsidR="00053312">
          <w:rPr>
            <w:noProof/>
            <w:webHidden/>
          </w:rPr>
          <w:instrText xml:space="preserve"> PAGEREF _Toc430770924 \h </w:instrText>
        </w:r>
        <w:r w:rsidR="00053312">
          <w:rPr>
            <w:noProof/>
            <w:webHidden/>
          </w:rPr>
        </w:r>
        <w:r w:rsidR="00053312">
          <w:rPr>
            <w:noProof/>
            <w:webHidden/>
          </w:rPr>
          <w:fldChar w:fldCharType="separate"/>
        </w:r>
        <w:r w:rsidR="00933C42">
          <w:rPr>
            <w:noProof/>
            <w:webHidden/>
          </w:rPr>
          <w:t>31</w:t>
        </w:r>
        <w:r w:rsidR="00053312">
          <w:rPr>
            <w:noProof/>
            <w:webHidden/>
          </w:rPr>
          <w:fldChar w:fldCharType="end"/>
        </w:r>
      </w:hyperlink>
    </w:p>
    <w:p w14:paraId="6CD5E40B" w14:textId="5D658833" w:rsidR="00053312" w:rsidRDefault="00AE7A40" w:rsidP="00470C0E">
      <w:pPr>
        <w:pStyle w:val="TOC1"/>
        <w:rPr>
          <w:rFonts w:eastAsiaTheme="minorEastAsia"/>
          <w:noProof/>
          <w:sz w:val="22"/>
          <w:lang w:eastAsia="en-AU"/>
        </w:rPr>
      </w:pPr>
      <w:hyperlink w:anchor="_Toc430770925" w:history="1">
        <w:r w:rsidR="00053312" w:rsidRPr="00121997">
          <w:rPr>
            <w:rStyle w:val="Hyperlink"/>
            <w:noProof/>
          </w:rPr>
          <w:t>5.</w:t>
        </w:r>
        <w:r w:rsidR="00F415A3">
          <w:rPr>
            <w:rFonts w:eastAsiaTheme="minorEastAsia"/>
            <w:noProof/>
            <w:sz w:val="22"/>
            <w:lang w:eastAsia="en-AU"/>
          </w:rPr>
          <w:t xml:space="preserve"> </w:t>
        </w:r>
        <w:r w:rsidR="00053312" w:rsidRPr="00121997">
          <w:rPr>
            <w:rStyle w:val="Hyperlink"/>
            <w:noProof/>
          </w:rPr>
          <w:t>Roles and responsibilities</w:t>
        </w:r>
        <w:r w:rsidR="00053312">
          <w:rPr>
            <w:noProof/>
            <w:webHidden/>
          </w:rPr>
          <w:tab/>
        </w:r>
        <w:r w:rsidR="00053312">
          <w:rPr>
            <w:noProof/>
            <w:webHidden/>
          </w:rPr>
          <w:fldChar w:fldCharType="begin" w:fldLock="1"/>
        </w:r>
        <w:r w:rsidR="00053312">
          <w:rPr>
            <w:noProof/>
            <w:webHidden/>
          </w:rPr>
          <w:instrText xml:space="preserve"> PAGEREF _Toc430770925 \h </w:instrText>
        </w:r>
        <w:r w:rsidR="00053312">
          <w:rPr>
            <w:noProof/>
            <w:webHidden/>
          </w:rPr>
        </w:r>
        <w:r w:rsidR="00053312">
          <w:rPr>
            <w:noProof/>
            <w:webHidden/>
          </w:rPr>
          <w:fldChar w:fldCharType="separate"/>
        </w:r>
        <w:r w:rsidR="00933C42">
          <w:rPr>
            <w:noProof/>
            <w:webHidden/>
          </w:rPr>
          <w:t>32</w:t>
        </w:r>
        <w:r w:rsidR="00053312">
          <w:rPr>
            <w:noProof/>
            <w:webHidden/>
          </w:rPr>
          <w:fldChar w:fldCharType="end"/>
        </w:r>
      </w:hyperlink>
    </w:p>
    <w:p w14:paraId="649A7540" w14:textId="77777777" w:rsidR="00053312" w:rsidRDefault="00AE7A40">
      <w:pPr>
        <w:pStyle w:val="TOC2"/>
        <w:rPr>
          <w:rFonts w:eastAsiaTheme="minorEastAsia"/>
          <w:noProof/>
          <w:sz w:val="22"/>
          <w:lang w:eastAsia="en-AU"/>
        </w:rPr>
      </w:pPr>
      <w:hyperlink w:anchor="_Toc430770926" w:history="1">
        <w:r w:rsidR="00053312" w:rsidRPr="00121997">
          <w:rPr>
            <w:rStyle w:val="Hyperlink"/>
            <w:noProof/>
          </w:rPr>
          <w:t>5.1</w:t>
        </w:r>
        <w:r w:rsidR="00053312">
          <w:rPr>
            <w:rFonts w:eastAsiaTheme="minorEastAsia"/>
            <w:noProof/>
            <w:sz w:val="22"/>
            <w:lang w:eastAsia="en-AU"/>
          </w:rPr>
          <w:tab/>
        </w:r>
        <w:r w:rsidR="00053312" w:rsidRPr="00121997">
          <w:rPr>
            <w:rStyle w:val="Hyperlink"/>
            <w:noProof/>
          </w:rPr>
          <w:t>Government roles and responsibilities</w:t>
        </w:r>
        <w:r w:rsidR="00053312">
          <w:rPr>
            <w:noProof/>
            <w:webHidden/>
          </w:rPr>
          <w:tab/>
        </w:r>
        <w:r w:rsidR="00053312">
          <w:rPr>
            <w:noProof/>
            <w:webHidden/>
          </w:rPr>
          <w:fldChar w:fldCharType="begin" w:fldLock="1"/>
        </w:r>
        <w:r w:rsidR="00053312">
          <w:rPr>
            <w:noProof/>
            <w:webHidden/>
          </w:rPr>
          <w:instrText xml:space="preserve"> PAGEREF _Toc430770926 \h </w:instrText>
        </w:r>
        <w:r w:rsidR="00053312">
          <w:rPr>
            <w:noProof/>
            <w:webHidden/>
          </w:rPr>
        </w:r>
        <w:r w:rsidR="00053312">
          <w:rPr>
            <w:noProof/>
            <w:webHidden/>
          </w:rPr>
          <w:fldChar w:fldCharType="separate"/>
        </w:r>
        <w:r w:rsidR="00933C42">
          <w:rPr>
            <w:noProof/>
            <w:webHidden/>
          </w:rPr>
          <w:t>32</w:t>
        </w:r>
        <w:r w:rsidR="00053312">
          <w:rPr>
            <w:noProof/>
            <w:webHidden/>
          </w:rPr>
          <w:fldChar w:fldCharType="end"/>
        </w:r>
      </w:hyperlink>
    </w:p>
    <w:p w14:paraId="149110D0" w14:textId="77777777" w:rsidR="00053312" w:rsidRDefault="00AE7A40">
      <w:pPr>
        <w:pStyle w:val="TOC2"/>
        <w:rPr>
          <w:rFonts w:eastAsiaTheme="minorEastAsia"/>
          <w:noProof/>
          <w:sz w:val="22"/>
          <w:lang w:eastAsia="en-AU"/>
        </w:rPr>
      </w:pPr>
      <w:hyperlink w:anchor="_Toc430770927" w:history="1">
        <w:r w:rsidR="00053312" w:rsidRPr="00121997">
          <w:rPr>
            <w:rStyle w:val="Hyperlink"/>
            <w:noProof/>
          </w:rPr>
          <w:t>5.2</w:t>
        </w:r>
        <w:r w:rsidR="00053312">
          <w:rPr>
            <w:rFonts w:eastAsiaTheme="minorEastAsia"/>
            <w:noProof/>
            <w:sz w:val="22"/>
            <w:lang w:eastAsia="en-AU"/>
          </w:rPr>
          <w:tab/>
        </w:r>
        <w:r w:rsidR="00053312" w:rsidRPr="00121997">
          <w:rPr>
            <w:rStyle w:val="Hyperlink"/>
            <w:noProof/>
          </w:rPr>
          <w:t>Businesses’ and citizens’ roles and responsibilities</w:t>
        </w:r>
        <w:r w:rsidR="00053312">
          <w:rPr>
            <w:noProof/>
            <w:webHidden/>
          </w:rPr>
          <w:tab/>
        </w:r>
        <w:r w:rsidR="00053312">
          <w:rPr>
            <w:noProof/>
            <w:webHidden/>
          </w:rPr>
          <w:fldChar w:fldCharType="begin" w:fldLock="1"/>
        </w:r>
        <w:r w:rsidR="00053312">
          <w:rPr>
            <w:noProof/>
            <w:webHidden/>
          </w:rPr>
          <w:instrText xml:space="preserve"> PAGEREF _Toc430770927 \h </w:instrText>
        </w:r>
        <w:r w:rsidR="00053312">
          <w:rPr>
            <w:noProof/>
            <w:webHidden/>
          </w:rPr>
        </w:r>
        <w:r w:rsidR="00053312">
          <w:rPr>
            <w:noProof/>
            <w:webHidden/>
          </w:rPr>
          <w:fldChar w:fldCharType="separate"/>
        </w:r>
        <w:r w:rsidR="00933C42">
          <w:rPr>
            <w:noProof/>
            <w:webHidden/>
          </w:rPr>
          <w:t>32</w:t>
        </w:r>
        <w:r w:rsidR="00053312">
          <w:rPr>
            <w:noProof/>
            <w:webHidden/>
          </w:rPr>
          <w:fldChar w:fldCharType="end"/>
        </w:r>
      </w:hyperlink>
    </w:p>
    <w:p w14:paraId="1C3EB902" w14:textId="77777777" w:rsidR="00053312" w:rsidRDefault="00AE7A40" w:rsidP="00470C0E">
      <w:pPr>
        <w:pStyle w:val="TOC1"/>
        <w:rPr>
          <w:rFonts w:eastAsiaTheme="minorEastAsia"/>
          <w:noProof/>
          <w:sz w:val="22"/>
          <w:lang w:eastAsia="en-AU"/>
        </w:rPr>
      </w:pPr>
      <w:hyperlink w:anchor="_Toc430770928" w:history="1">
        <w:r w:rsidR="00053312" w:rsidRPr="00121997">
          <w:rPr>
            <w:rStyle w:val="Hyperlink"/>
            <w:noProof/>
          </w:rPr>
          <w:t>Appendix A: NeAF legal and policy framework</w:t>
        </w:r>
        <w:r w:rsidR="00053312">
          <w:rPr>
            <w:noProof/>
            <w:webHidden/>
          </w:rPr>
          <w:tab/>
        </w:r>
        <w:r w:rsidR="00053312">
          <w:rPr>
            <w:noProof/>
            <w:webHidden/>
          </w:rPr>
          <w:fldChar w:fldCharType="begin" w:fldLock="1"/>
        </w:r>
        <w:r w:rsidR="00053312">
          <w:rPr>
            <w:noProof/>
            <w:webHidden/>
          </w:rPr>
          <w:instrText xml:space="preserve"> PAGEREF _Toc430770928 \h </w:instrText>
        </w:r>
        <w:r w:rsidR="00053312">
          <w:rPr>
            <w:noProof/>
            <w:webHidden/>
          </w:rPr>
        </w:r>
        <w:r w:rsidR="00053312">
          <w:rPr>
            <w:noProof/>
            <w:webHidden/>
          </w:rPr>
          <w:fldChar w:fldCharType="separate"/>
        </w:r>
        <w:r w:rsidR="00933C42">
          <w:rPr>
            <w:noProof/>
            <w:webHidden/>
          </w:rPr>
          <w:t>33</w:t>
        </w:r>
        <w:r w:rsidR="00053312">
          <w:rPr>
            <w:noProof/>
            <w:webHidden/>
          </w:rPr>
          <w:fldChar w:fldCharType="end"/>
        </w:r>
      </w:hyperlink>
    </w:p>
    <w:p w14:paraId="2D4C331B" w14:textId="77777777" w:rsidR="00053312" w:rsidRDefault="00AE7A40">
      <w:pPr>
        <w:pStyle w:val="TOC2"/>
        <w:rPr>
          <w:rFonts w:eastAsiaTheme="minorEastAsia"/>
          <w:noProof/>
          <w:sz w:val="22"/>
          <w:lang w:eastAsia="en-AU"/>
        </w:rPr>
      </w:pPr>
      <w:hyperlink w:anchor="_Toc430770929" w:history="1">
        <w:r w:rsidR="00053312" w:rsidRPr="00121997">
          <w:rPr>
            <w:rStyle w:val="Hyperlink"/>
            <w:noProof/>
          </w:rPr>
          <w:t>Legislation and regulation</w:t>
        </w:r>
        <w:r w:rsidR="00053312">
          <w:rPr>
            <w:noProof/>
            <w:webHidden/>
          </w:rPr>
          <w:tab/>
        </w:r>
        <w:r w:rsidR="00053312">
          <w:rPr>
            <w:noProof/>
            <w:webHidden/>
          </w:rPr>
          <w:fldChar w:fldCharType="begin" w:fldLock="1"/>
        </w:r>
        <w:r w:rsidR="00053312">
          <w:rPr>
            <w:noProof/>
            <w:webHidden/>
          </w:rPr>
          <w:instrText xml:space="preserve"> PAGEREF _Toc430770929 \h </w:instrText>
        </w:r>
        <w:r w:rsidR="00053312">
          <w:rPr>
            <w:noProof/>
            <w:webHidden/>
          </w:rPr>
        </w:r>
        <w:r w:rsidR="00053312">
          <w:rPr>
            <w:noProof/>
            <w:webHidden/>
          </w:rPr>
          <w:fldChar w:fldCharType="separate"/>
        </w:r>
        <w:r w:rsidR="00933C42">
          <w:rPr>
            <w:noProof/>
            <w:webHidden/>
          </w:rPr>
          <w:t>33</w:t>
        </w:r>
        <w:r w:rsidR="00053312">
          <w:rPr>
            <w:noProof/>
            <w:webHidden/>
          </w:rPr>
          <w:fldChar w:fldCharType="end"/>
        </w:r>
      </w:hyperlink>
    </w:p>
    <w:p w14:paraId="5F51612F" w14:textId="77777777" w:rsidR="00053312" w:rsidRDefault="00AE7A40">
      <w:pPr>
        <w:pStyle w:val="TOC2"/>
        <w:rPr>
          <w:rFonts w:eastAsiaTheme="minorEastAsia"/>
          <w:noProof/>
          <w:sz w:val="22"/>
          <w:lang w:eastAsia="en-AU"/>
        </w:rPr>
      </w:pPr>
      <w:hyperlink w:anchor="_Toc430770930" w:history="1">
        <w:r w:rsidR="00053312" w:rsidRPr="00121997">
          <w:rPr>
            <w:rStyle w:val="Hyperlink"/>
            <w:noProof/>
          </w:rPr>
          <w:t>Government policies and references</w:t>
        </w:r>
        <w:r w:rsidR="00053312">
          <w:rPr>
            <w:noProof/>
            <w:webHidden/>
          </w:rPr>
          <w:tab/>
        </w:r>
        <w:r w:rsidR="00053312">
          <w:rPr>
            <w:noProof/>
            <w:webHidden/>
          </w:rPr>
          <w:fldChar w:fldCharType="begin" w:fldLock="1"/>
        </w:r>
        <w:r w:rsidR="00053312">
          <w:rPr>
            <w:noProof/>
            <w:webHidden/>
          </w:rPr>
          <w:instrText xml:space="preserve"> PAGEREF _Toc430770930 \h </w:instrText>
        </w:r>
        <w:r w:rsidR="00053312">
          <w:rPr>
            <w:noProof/>
            <w:webHidden/>
          </w:rPr>
        </w:r>
        <w:r w:rsidR="00053312">
          <w:rPr>
            <w:noProof/>
            <w:webHidden/>
          </w:rPr>
          <w:fldChar w:fldCharType="separate"/>
        </w:r>
        <w:r w:rsidR="00933C42">
          <w:rPr>
            <w:noProof/>
            <w:webHidden/>
          </w:rPr>
          <w:t>33</w:t>
        </w:r>
        <w:r w:rsidR="00053312">
          <w:rPr>
            <w:noProof/>
            <w:webHidden/>
          </w:rPr>
          <w:fldChar w:fldCharType="end"/>
        </w:r>
      </w:hyperlink>
    </w:p>
    <w:p w14:paraId="500A21C3" w14:textId="77777777" w:rsidR="00053312" w:rsidRDefault="00AE7A40" w:rsidP="00470C0E">
      <w:pPr>
        <w:pStyle w:val="TOC1"/>
        <w:rPr>
          <w:rFonts w:eastAsiaTheme="minorEastAsia"/>
          <w:noProof/>
          <w:sz w:val="22"/>
          <w:lang w:eastAsia="en-AU"/>
        </w:rPr>
      </w:pPr>
      <w:hyperlink w:anchor="_Toc430770931" w:history="1">
        <w:r w:rsidR="00053312" w:rsidRPr="00121997">
          <w:rPr>
            <w:rStyle w:val="Hyperlink"/>
            <w:noProof/>
          </w:rPr>
          <w:t>Appendix B: NeAF standards and practices foundation</w:t>
        </w:r>
        <w:r w:rsidR="00053312">
          <w:rPr>
            <w:noProof/>
            <w:webHidden/>
          </w:rPr>
          <w:tab/>
        </w:r>
        <w:r w:rsidR="00053312">
          <w:rPr>
            <w:noProof/>
            <w:webHidden/>
          </w:rPr>
          <w:fldChar w:fldCharType="begin" w:fldLock="1"/>
        </w:r>
        <w:r w:rsidR="00053312">
          <w:rPr>
            <w:noProof/>
            <w:webHidden/>
          </w:rPr>
          <w:instrText xml:space="preserve"> PAGEREF _Toc430770931 \h </w:instrText>
        </w:r>
        <w:r w:rsidR="00053312">
          <w:rPr>
            <w:noProof/>
            <w:webHidden/>
          </w:rPr>
        </w:r>
        <w:r w:rsidR="00053312">
          <w:rPr>
            <w:noProof/>
            <w:webHidden/>
          </w:rPr>
          <w:fldChar w:fldCharType="separate"/>
        </w:r>
        <w:r w:rsidR="00933C42">
          <w:rPr>
            <w:noProof/>
            <w:webHidden/>
          </w:rPr>
          <w:t>34</w:t>
        </w:r>
        <w:r w:rsidR="00053312">
          <w:rPr>
            <w:noProof/>
            <w:webHidden/>
          </w:rPr>
          <w:fldChar w:fldCharType="end"/>
        </w:r>
      </w:hyperlink>
    </w:p>
    <w:p w14:paraId="2FBE1FF1" w14:textId="77777777" w:rsidR="00053312" w:rsidRDefault="00AE7A40" w:rsidP="00470C0E">
      <w:pPr>
        <w:pStyle w:val="TOC1"/>
        <w:rPr>
          <w:rFonts w:eastAsiaTheme="minorEastAsia"/>
          <w:noProof/>
          <w:sz w:val="22"/>
          <w:lang w:eastAsia="en-AU"/>
        </w:rPr>
      </w:pPr>
      <w:hyperlink w:anchor="_Toc430770932" w:history="1">
        <w:r w:rsidR="00053312" w:rsidRPr="00121997">
          <w:rPr>
            <w:rStyle w:val="Hyperlink"/>
            <w:noProof/>
          </w:rPr>
          <w:t xml:space="preserve">Appendix C: Current government </w:t>
        </w:r>
        <w:r w:rsidR="00BE178F">
          <w:rPr>
            <w:rStyle w:val="Hyperlink"/>
            <w:noProof/>
          </w:rPr>
          <w:t>e</w:t>
        </w:r>
        <w:r w:rsidR="00BE178F">
          <w:rPr>
            <w:rStyle w:val="Hyperlink"/>
            <w:noProof/>
          </w:rPr>
          <w:noBreakHyphen/>
        </w:r>
        <w:r w:rsidR="00053312" w:rsidRPr="00121997">
          <w:rPr>
            <w:rStyle w:val="Hyperlink"/>
            <w:noProof/>
          </w:rPr>
          <w:t>Authentication initiatives</w:t>
        </w:r>
        <w:r w:rsidR="00053312">
          <w:rPr>
            <w:noProof/>
            <w:webHidden/>
          </w:rPr>
          <w:tab/>
        </w:r>
        <w:r w:rsidR="00053312">
          <w:rPr>
            <w:noProof/>
            <w:webHidden/>
          </w:rPr>
          <w:fldChar w:fldCharType="begin" w:fldLock="1"/>
        </w:r>
        <w:r w:rsidR="00053312">
          <w:rPr>
            <w:noProof/>
            <w:webHidden/>
          </w:rPr>
          <w:instrText xml:space="preserve"> PAGEREF _Toc430770932 \h </w:instrText>
        </w:r>
        <w:r w:rsidR="00053312">
          <w:rPr>
            <w:noProof/>
            <w:webHidden/>
          </w:rPr>
        </w:r>
        <w:r w:rsidR="00053312">
          <w:rPr>
            <w:noProof/>
            <w:webHidden/>
          </w:rPr>
          <w:fldChar w:fldCharType="separate"/>
        </w:r>
        <w:r w:rsidR="00933C42">
          <w:rPr>
            <w:noProof/>
            <w:webHidden/>
          </w:rPr>
          <w:t>35</w:t>
        </w:r>
        <w:r w:rsidR="00053312">
          <w:rPr>
            <w:noProof/>
            <w:webHidden/>
          </w:rPr>
          <w:fldChar w:fldCharType="end"/>
        </w:r>
      </w:hyperlink>
    </w:p>
    <w:p w14:paraId="2BDC1BD2" w14:textId="77777777" w:rsidR="00053312" w:rsidRDefault="00AE7A40">
      <w:pPr>
        <w:pStyle w:val="TOC2"/>
        <w:rPr>
          <w:rFonts w:eastAsiaTheme="minorEastAsia"/>
          <w:noProof/>
          <w:sz w:val="22"/>
          <w:lang w:eastAsia="en-AU"/>
        </w:rPr>
      </w:pPr>
      <w:hyperlink w:anchor="_Toc430770933" w:history="1">
        <w:r w:rsidR="00053312" w:rsidRPr="00121997">
          <w:rPr>
            <w:rStyle w:val="Hyperlink"/>
            <w:noProof/>
          </w:rPr>
          <w:t>AGOSP single sign-on (via the enhanced &lt;http://www.australia.gov.au&gt;)</w:t>
        </w:r>
        <w:r w:rsidR="00053312">
          <w:rPr>
            <w:noProof/>
            <w:webHidden/>
          </w:rPr>
          <w:tab/>
        </w:r>
        <w:r w:rsidR="00053312">
          <w:rPr>
            <w:noProof/>
            <w:webHidden/>
          </w:rPr>
          <w:fldChar w:fldCharType="begin" w:fldLock="1"/>
        </w:r>
        <w:r w:rsidR="00053312">
          <w:rPr>
            <w:noProof/>
            <w:webHidden/>
          </w:rPr>
          <w:instrText xml:space="preserve"> PAGEREF _Toc430770933 \h </w:instrText>
        </w:r>
        <w:r w:rsidR="00053312">
          <w:rPr>
            <w:noProof/>
            <w:webHidden/>
          </w:rPr>
        </w:r>
        <w:r w:rsidR="00053312">
          <w:rPr>
            <w:noProof/>
            <w:webHidden/>
          </w:rPr>
          <w:fldChar w:fldCharType="separate"/>
        </w:r>
        <w:r w:rsidR="00933C42">
          <w:rPr>
            <w:noProof/>
            <w:webHidden/>
          </w:rPr>
          <w:t>35</w:t>
        </w:r>
        <w:r w:rsidR="00053312">
          <w:rPr>
            <w:noProof/>
            <w:webHidden/>
          </w:rPr>
          <w:fldChar w:fldCharType="end"/>
        </w:r>
      </w:hyperlink>
    </w:p>
    <w:p w14:paraId="362414C4" w14:textId="77777777" w:rsidR="00053312" w:rsidRDefault="00AE7A40">
      <w:pPr>
        <w:pStyle w:val="TOC2"/>
        <w:rPr>
          <w:rFonts w:eastAsiaTheme="minorEastAsia"/>
          <w:noProof/>
          <w:sz w:val="22"/>
          <w:lang w:eastAsia="en-AU"/>
        </w:rPr>
      </w:pPr>
      <w:hyperlink w:anchor="_Toc430770934" w:history="1">
        <w:r w:rsidR="00053312" w:rsidRPr="00121997">
          <w:rPr>
            <w:rStyle w:val="Hyperlink"/>
            <w:noProof/>
          </w:rPr>
          <w:t xml:space="preserve">VANguard </w:t>
        </w:r>
        <w:r w:rsidR="00BE178F">
          <w:rPr>
            <w:rStyle w:val="Hyperlink"/>
            <w:noProof/>
          </w:rPr>
          <w:t>e</w:t>
        </w:r>
        <w:r w:rsidR="00BE178F">
          <w:rPr>
            <w:rStyle w:val="Hyperlink"/>
            <w:noProof/>
          </w:rPr>
          <w:noBreakHyphen/>
        </w:r>
        <w:r w:rsidR="00053312" w:rsidRPr="00121997">
          <w:rPr>
            <w:rStyle w:val="Hyperlink"/>
            <w:noProof/>
          </w:rPr>
          <w:t>Authentication Services</w:t>
        </w:r>
        <w:r w:rsidR="00053312">
          <w:rPr>
            <w:noProof/>
            <w:webHidden/>
          </w:rPr>
          <w:tab/>
        </w:r>
        <w:r w:rsidR="00053312">
          <w:rPr>
            <w:noProof/>
            <w:webHidden/>
          </w:rPr>
          <w:fldChar w:fldCharType="begin" w:fldLock="1"/>
        </w:r>
        <w:r w:rsidR="00053312">
          <w:rPr>
            <w:noProof/>
            <w:webHidden/>
          </w:rPr>
          <w:instrText xml:space="preserve"> PAGEREF _Toc430770934 \h </w:instrText>
        </w:r>
        <w:r w:rsidR="00053312">
          <w:rPr>
            <w:noProof/>
            <w:webHidden/>
          </w:rPr>
        </w:r>
        <w:r w:rsidR="00053312">
          <w:rPr>
            <w:noProof/>
            <w:webHidden/>
          </w:rPr>
          <w:fldChar w:fldCharType="separate"/>
        </w:r>
        <w:r w:rsidR="00933C42">
          <w:rPr>
            <w:noProof/>
            <w:webHidden/>
          </w:rPr>
          <w:t>35</w:t>
        </w:r>
        <w:r w:rsidR="00053312">
          <w:rPr>
            <w:noProof/>
            <w:webHidden/>
          </w:rPr>
          <w:fldChar w:fldCharType="end"/>
        </w:r>
      </w:hyperlink>
    </w:p>
    <w:p w14:paraId="213D7600" w14:textId="77777777" w:rsidR="00053312" w:rsidRDefault="00AE7A40">
      <w:pPr>
        <w:pStyle w:val="TOC2"/>
        <w:rPr>
          <w:rFonts w:eastAsiaTheme="minorEastAsia"/>
          <w:noProof/>
          <w:sz w:val="22"/>
          <w:lang w:eastAsia="en-AU"/>
        </w:rPr>
      </w:pPr>
      <w:hyperlink w:anchor="_Toc430770935" w:history="1">
        <w:r w:rsidR="00053312" w:rsidRPr="00121997">
          <w:rPr>
            <w:rStyle w:val="Hyperlink"/>
            <w:noProof/>
          </w:rPr>
          <w:t>Standard Business Reporting (SBR) program</w:t>
        </w:r>
        <w:r w:rsidR="00053312">
          <w:rPr>
            <w:noProof/>
            <w:webHidden/>
          </w:rPr>
          <w:tab/>
        </w:r>
        <w:r w:rsidR="00053312">
          <w:rPr>
            <w:noProof/>
            <w:webHidden/>
          </w:rPr>
          <w:fldChar w:fldCharType="begin" w:fldLock="1"/>
        </w:r>
        <w:r w:rsidR="00053312">
          <w:rPr>
            <w:noProof/>
            <w:webHidden/>
          </w:rPr>
          <w:instrText xml:space="preserve"> PAGEREF _Toc430770935 \h </w:instrText>
        </w:r>
        <w:r w:rsidR="00053312">
          <w:rPr>
            <w:noProof/>
            <w:webHidden/>
          </w:rPr>
        </w:r>
        <w:r w:rsidR="00053312">
          <w:rPr>
            <w:noProof/>
            <w:webHidden/>
          </w:rPr>
          <w:fldChar w:fldCharType="separate"/>
        </w:r>
        <w:r w:rsidR="00933C42">
          <w:rPr>
            <w:noProof/>
            <w:webHidden/>
          </w:rPr>
          <w:t>36</w:t>
        </w:r>
        <w:r w:rsidR="00053312">
          <w:rPr>
            <w:noProof/>
            <w:webHidden/>
          </w:rPr>
          <w:fldChar w:fldCharType="end"/>
        </w:r>
      </w:hyperlink>
    </w:p>
    <w:p w14:paraId="4DE4ACD3" w14:textId="77777777" w:rsidR="00053312" w:rsidRDefault="00AE7A40" w:rsidP="00470C0E">
      <w:pPr>
        <w:pStyle w:val="TOC1"/>
        <w:rPr>
          <w:rFonts w:eastAsiaTheme="minorEastAsia"/>
          <w:noProof/>
          <w:sz w:val="22"/>
          <w:lang w:eastAsia="en-AU"/>
        </w:rPr>
      </w:pPr>
      <w:hyperlink w:anchor="_Toc430770936" w:history="1">
        <w:r w:rsidR="00053312" w:rsidRPr="00121997">
          <w:rPr>
            <w:rStyle w:val="Hyperlink"/>
            <w:noProof/>
          </w:rPr>
          <w:t>Schedule A: Registration approaches</w:t>
        </w:r>
        <w:r w:rsidR="00053312">
          <w:rPr>
            <w:noProof/>
            <w:webHidden/>
          </w:rPr>
          <w:tab/>
        </w:r>
        <w:r w:rsidR="00053312">
          <w:rPr>
            <w:noProof/>
            <w:webHidden/>
          </w:rPr>
          <w:fldChar w:fldCharType="begin" w:fldLock="1"/>
        </w:r>
        <w:r w:rsidR="00053312">
          <w:rPr>
            <w:noProof/>
            <w:webHidden/>
          </w:rPr>
          <w:instrText xml:space="preserve"> PAGEREF _Toc430770936 \h </w:instrText>
        </w:r>
        <w:r w:rsidR="00053312">
          <w:rPr>
            <w:noProof/>
            <w:webHidden/>
          </w:rPr>
        </w:r>
        <w:r w:rsidR="00053312">
          <w:rPr>
            <w:noProof/>
            <w:webHidden/>
          </w:rPr>
          <w:fldChar w:fldCharType="separate"/>
        </w:r>
        <w:r w:rsidR="00933C42">
          <w:rPr>
            <w:noProof/>
            <w:webHidden/>
          </w:rPr>
          <w:t>37</w:t>
        </w:r>
        <w:r w:rsidR="00053312">
          <w:rPr>
            <w:noProof/>
            <w:webHidden/>
          </w:rPr>
          <w:fldChar w:fldCharType="end"/>
        </w:r>
      </w:hyperlink>
    </w:p>
    <w:p w14:paraId="58C6F7C9" w14:textId="77777777" w:rsidR="00053312" w:rsidRDefault="00AE7A40">
      <w:pPr>
        <w:pStyle w:val="TOC2"/>
        <w:rPr>
          <w:rFonts w:eastAsiaTheme="minorEastAsia"/>
          <w:noProof/>
          <w:sz w:val="22"/>
          <w:lang w:eastAsia="en-AU"/>
        </w:rPr>
      </w:pPr>
      <w:hyperlink w:anchor="_Toc430770937" w:history="1">
        <w:r w:rsidR="00053312" w:rsidRPr="00121997">
          <w:rPr>
            <w:rStyle w:val="Hyperlink"/>
            <w:noProof/>
          </w:rPr>
          <w:t>Schedule A1: Registration of individuals and individuals as representatives of organisations.</w:t>
        </w:r>
        <w:r w:rsidR="00053312">
          <w:rPr>
            <w:noProof/>
            <w:webHidden/>
          </w:rPr>
          <w:tab/>
        </w:r>
        <w:r w:rsidR="00053312">
          <w:rPr>
            <w:noProof/>
            <w:webHidden/>
          </w:rPr>
          <w:fldChar w:fldCharType="begin" w:fldLock="1"/>
        </w:r>
        <w:r w:rsidR="00053312">
          <w:rPr>
            <w:noProof/>
            <w:webHidden/>
          </w:rPr>
          <w:instrText xml:space="preserve"> PAGEREF _Toc430770937 \h </w:instrText>
        </w:r>
        <w:r w:rsidR="00053312">
          <w:rPr>
            <w:noProof/>
            <w:webHidden/>
          </w:rPr>
        </w:r>
        <w:r w:rsidR="00053312">
          <w:rPr>
            <w:noProof/>
            <w:webHidden/>
          </w:rPr>
          <w:fldChar w:fldCharType="separate"/>
        </w:r>
        <w:r w:rsidR="00933C42">
          <w:rPr>
            <w:noProof/>
            <w:webHidden/>
          </w:rPr>
          <w:t>37</w:t>
        </w:r>
        <w:r w:rsidR="00053312">
          <w:rPr>
            <w:noProof/>
            <w:webHidden/>
          </w:rPr>
          <w:fldChar w:fldCharType="end"/>
        </w:r>
      </w:hyperlink>
    </w:p>
    <w:p w14:paraId="641CD1C1" w14:textId="77777777" w:rsidR="00053312" w:rsidRDefault="00AE7A40">
      <w:pPr>
        <w:pStyle w:val="TOC2"/>
        <w:rPr>
          <w:rFonts w:eastAsiaTheme="minorEastAsia"/>
          <w:noProof/>
          <w:sz w:val="22"/>
          <w:lang w:eastAsia="en-AU"/>
        </w:rPr>
      </w:pPr>
      <w:hyperlink w:anchor="_Toc430770938" w:history="1">
        <w:r w:rsidR="00053312" w:rsidRPr="00121997">
          <w:rPr>
            <w:rStyle w:val="Hyperlink"/>
            <w:noProof/>
          </w:rPr>
          <w:t>Schedule A2. Registration of authorised representatives</w:t>
        </w:r>
        <w:r w:rsidR="00053312">
          <w:rPr>
            <w:noProof/>
            <w:webHidden/>
          </w:rPr>
          <w:tab/>
        </w:r>
        <w:r w:rsidR="00053312">
          <w:rPr>
            <w:noProof/>
            <w:webHidden/>
          </w:rPr>
          <w:fldChar w:fldCharType="begin" w:fldLock="1"/>
        </w:r>
        <w:r w:rsidR="00053312">
          <w:rPr>
            <w:noProof/>
            <w:webHidden/>
          </w:rPr>
          <w:instrText xml:space="preserve"> PAGEREF _Toc430770938 \h </w:instrText>
        </w:r>
        <w:r w:rsidR="00053312">
          <w:rPr>
            <w:noProof/>
            <w:webHidden/>
          </w:rPr>
        </w:r>
        <w:r w:rsidR="00053312">
          <w:rPr>
            <w:noProof/>
            <w:webHidden/>
          </w:rPr>
          <w:fldChar w:fldCharType="separate"/>
        </w:r>
        <w:r w:rsidR="00933C42">
          <w:rPr>
            <w:noProof/>
            <w:webHidden/>
          </w:rPr>
          <w:t>38</w:t>
        </w:r>
        <w:r w:rsidR="00053312">
          <w:rPr>
            <w:noProof/>
            <w:webHidden/>
          </w:rPr>
          <w:fldChar w:fldCharType="end"/>
        </w:r>
      </w:hyperlink>
    </w:p>
    <w:p w14:paraId="40A7BCFE" w14:textId="77777777" w:rsidR="00053312" w:rsidRDefault="00AE7A40" w:rsidP="00470C0E">
      <w:pPr>
        <w:pStyle w:val="TOC1"/>
        <w:rPr>
          <w:rFonts w:eastAsiaTheme="minorEastAsia"/>
          <w:noProof/>
          <w:sz w:val="22"/>
          <w:lang w:eastAsia="en-AU"/>
        </w:rPr>
      </w:pPr>
      <w:hyperlink w:anchor="_Toc430770939" w:history="1">
        <w:r w:rsidR="00053312" w:rsidRPr="00121997">
          <w:rPr>
            <w:rStyle w:val="Hyperlink"/>
            <w:noProof/>
          </w:rPr>
          <w:t>Schedule B: Authentication mechanisms</w:t>
        </w:r>
        <w:r w:rsidR="00053312">
          <w:rPr>
            <w:noProof/>
            <w:webHidden/>
          </w:rPr>
          <w:tab/>
        </w:r>
        <w:r w:rsidR="00053312">
          <w:rPr>
            <w:noProof/>
            <w:webHidden/>
          </w:rPr>
          <w:fldChar w:fldCharType="begin" w:fldLock="1"/>
        </w:r>
        <w:r w:rsidR="00053312">
          <w:rPr>
            <w:noProof/>
            <w:webHidden/>
          </w:rPr>
          <w:instrText xml:space="preserve"> PAGEREF _Toc430770939 \h </w:instrText>
        </w:r>
        <w:r w:rsidR="00053312">
          <w:rPr>
            <w:noProof/>
            <w:webHidden/>
          </w:rPr>
        </w:r>
        <w:r w:rsidR="00053312">
          <w:rPr>
            <w:noProof/>
            <w:webHidden/>
          </w:rPr>
          <w:fldChar w:fldCharType="separate"/>
        </w:r>
        <w:r w:rsidR="00933C42">
          <w:rPr>
            <w:noProof/>
            <w:webHidden/>
          </w:rPr>
          <w:t>39</w:t>
        </w:r>
        <w:r w:rsidR="00053312">
          <w:rPr>
            <w:noProof/>
            <w:webHidden/>
          </w:rPr>
          <w:fldChar w:fldCharType="end"/>
        </w:r>
      </w:hyperlink>
    </w:p>
    <w:p w14:paraId="7E0A3AFB" w14:textId="77777777" w:rsidR="00053312" w:rsidRDefault="00AE7A40">
      <w:pPr>
        <w:pStyle w:val="TOC2"/>
        <w:rPr>
          <w:rFonts w:eastAsiaTheme="minorEastAsia"/>
          <w:noProof/>
          <w:sz w:val="22"/>
          <w:lang w:eastAsia="en-AU"/>
        </w:rPr>
      </w:pPr>
      <w:hyperlink w:anchor="_Toc430770940" w:history="1">
        <w:r w:rsidR="00053312" w:rsidRPr="00121997">
          <w:rPr>
            <w:rStyle w:val="Hyperlink"/>
            <w:noProof/>
          </w:rPr>
          <w:t>Standard credential types</w:t>
        </w:r>
        <w:r w:rsidR="00053312">
          <w:rPr>
            <w:noProof/>
            <w:webHidden/>
          </w:rPr>
          <w:tab/>
        </w:r>
        <w:r w:rsidR="00053312">
          <w:rPr>
            <w:noProof/>
            <w:webHidden/>
          </w:rPr>
          <w:fldChar w:fldCharType="begin" w:fldLock="1"/>
        </w:r>
        <w:r w:rsidR="00053312">
          <w:rPr>
            <w:noProof/>
            <w:webHidden/>
          </w:rPr>
          <w:instrText xml:space="preserve"> PAGEREF _Toc430770940 \h </w:instrText>
        </w:r>
        <w:r w:rsidR="00053312">
          <w:rPr>
            <w:noProof/>
            <w:webHidden/>
          </w:rPr>
        </w:r>
        <w:r w:rsidR="00053312">
          <w:rPr>
            <w:noProof/>
            <w:webHidden/>
          </w:rPr>
          <w:fldChar w:fldCharType="separate"/>
        </w:r>
        <w:r w:rsidR="00933C42">
          <w:rPr>
            <w:noProof/>
            <w:webHidden/>
          </w:rPr>
          <w:t>39</w:t>
        </w:r>
        <w:r w:rsidR="00053312">
          <w:rPr>
            <w:noProof/>
            <w:webHidden/>
          </w:rPr>
          <w:fldChar w:fldCharType="end"/>
        </w:r>
      </w:hyperlink>
    </w:p>
    <w:p w14:paraId="69859FCC" w14:textId="77777777" w:rsidR="00053312" w:rsidRDefault="00AE7A40">
      <w:pPr>
        <w:pStyle w:val="TOC2"/>
        <w:rPr>
          <w:rFonts w:eastAsiaTheme="minorEastAsia"/>
          <w:noProof/>
          <w:sz w:val="22"/>
          <w:lang w:eastAsia="en-AU"/>
        </w:rPr>
      </w:pPr>
      <w:hyperlink w:anchor="_Toc430770941" w:history="1">
        <w:r w:rsidR="00053312" w:rsidRPr="00121997">
          <w:rPr>
            <w:rStyle w:val="Hyperlink"/>
            <w:noProof/>
          </w:rPr>
          <w:t>Schedule B1: Credential strength</w:t>
        </w:r>
        <w:r w:rsidR="00053312">
          <w:rPr>
            <w:noProof/>
            <w:webHidden/>
          </w:rPr>
          <w:tab/>
        </w:r>
        <w:r w:rsidR="00053312">
          <w:rPr>
            <w:noProof/>
            <w:webHidden/>
          </w:rPr>
          <w:fldChar w:fldCharType="begin" w:fldLock="1"/>
        </w:r>
        <w:r w:rsidR="00053312">
          <w:rPr>
            <w:noProof/>
            <w:webHidden/>
          </w:rPr>
          <w:instrText xml:space="preserve"> PAGEREF _Toc430770941 \h </w:instrText>
        </w:r>
        <w:r w:rsidR="00053312">
          <w:rPr>
            <w:noProof/>
            <w:webHidden/>
          </w:rPr>
        </w:r>
        <w:r w:rsidR="00053312">
          <w:rPr>
            <w:noProof/>
            <w:webHidden/>
          </w:rPr>
          <w:fldChar w:fldCharType="separate"/>
        </w:r>
        <w:r w:rsidR="00933C42">
          <w:rPr>
            <w:noProof/>
            <w:webHidden/>
          </w:rPr>
          <w:t>42</w:t>
        </w:r>
        <w:r w:rsidR="00053312">
          <w:rPr>
            <w:noProof/>
            <w:webHidden/>
          </w:rPr>
          <w:fldChar w:fldCharType="end"/>
        </w:r>
      </w:hyperlink>
    </w:p>
    <w:p w14:paraId="4650559D" w14:textId="2CF02A08" w:rsidR="00053312" w:rsidRDefault="00AE7A40">
      <w:pPr>
        <w:pStyle w:val="TOC2"/>
        <w:rPr>
          <w:rFonts w:eastAsiaTheme="minorEastAsia"/>
          <w:noProof/>
          <w:sz w:val="22"/>
          <w:lang w:eastAsia="en-AU"/>
        </w:rPr>
      </w:pPr>
      <w:hyperlink w:anchor="_Toc430770942" w:history="1">
        <w:r w:rsidR="00053312" w:rsidRPr="00121997">
          <w:rPr>
            <w:rStyle w:val="Hyperlink"/>
            <w:noProof/>
          </w:rPr>
          <w:t>Schedule B2: Credential management and usage</w:t>
        </w:r>
        <w:r w:rsidR="00053312">
          <w:rPr>
            <w:noProof/>
            <w:webHidden/>
          </w:rPr>
          <w:tab/>
        </w:r>
        <w:r w:rsidR="00053312">
          <w:rPr>
            <w:noProof/>
            <w:webHidden/>
          </w:rPr>
          <w:fldChar w:fldCharType="begin" w:fldLock="1"/>
        </w:r>
        <w:r w:rsidR="00053312">
          <w:rPr>
            <w:noProof/>
            <w:webHidden/>
          </w:rPr>
          <w:instrText xml:space="preserve"> PAGEREF _Toc430770942 \h </w:instrText>
        </w:r>
        <w:r w:rsidR="00053312">
          <w:rPr>
            <w:noProof/>
            <w:webHidden/>
          </w:rPr>
        </w:r>
        <w:r w:rsidR="00053312">
          <w:rPr>
            <w:noProof/>
            <w:webHidden/>
          </w:rPr>
          <w:fldChar w:fldCharType="separate"/>
        </w:r>
        <w:r w:rsidR="00933C42">
          <w:rPr>
            <w:noProof/>
            <w:webHidden/>
          </w:rPr>
          <w:t>50</w:t>
        </w:r>
        <w:r w:rsidR="00053312">
          <w:rPr>
            <w:noProof/>
            <w:webHidden/>
          </w:rPr>
          <w:fldChar w:fldCharType="end"/>
        </w:r>
      </w:hyperlink>
    </w:p>
    <w:p w14:paraId="12F12F38" w14:textId="77777777" w:rsidR="00A70754" w:rsidRPr="00BC1226" w:rsidRDefault="00053312" w:rsidP="00A70754">
      <w:r>
        <w:rPr>
          <w:rFonts w:ascii="TheSans-Plain" w:hAnsi="TheSans-Plain"/>
          <w:b/>
          <w:sz w:val="22"/>
        </w:rPr>
        <w:fldChar w:fldCharType="end"/>
      </w:r>
    </w:p>
    <w:p w14:paraId="49AD4040" w14:textId="77777777" w:rsidR="00A70754" w:rsidRDefault="00A70754" w:rsidP="00A70754">
      <w:pPr>
        <w:pStyle w:val="TOCHeading"/>
      </w:pPr>
      <w:r w:rsidRPr="006B3EA5">
        <w:t>Figures</w:t>
      </w:r>
    </w:p>
    <w:p w14:paraId="1686A6FA" w14:textId="77777777" w:rsidR="00053312" w:rsidRDefault="00053312">
      <w:pPr>
        <w:pStyle w:val="TableofFigures"/>
        <w:tabs>
          <w:tab w:val="right" w:leader="dot" w:pos="9060"/>
        </w:tabs>
        <w:rPr>
          <w:rFonts w:eastAsiaTheme="minorEastAsia"/>
          <w:noProof/>
          <w:sz w:val="22"/>
          <w:lang w:eastAsia="en-AU"/>
        </w:rPr>
      </w:pPr>
      <w:r>
        <w:fldChar w:fldCharType="begin" w:fldLock="1"/>
      </w:r>
      <w:r>
        <w:instrText xml:space="preserve"> TOC \h \z \c "Figure" </w:instrText>
      </w:r>
      <w:r>
        <w:fldChar w:fldCharType="separate"/>
      </w:r>
      <w:hyperlink w:anchor="_Toc430770943" w:history="1">
        <w:r w:rsidRPr="0067305B">
          <w:rPr>
            <w:rStyle w:val="Hyperlink"/>
            <w:noProof/>
          </w:rPr>
          <w:t>Figure 1: Identity and Access Management lifecycle</w:t>
        </w:r>
        <w:r>
          <w:rPr>
            <w:noProof/>
            <w:webHidden/>
          </w:rPr>
          <w:tab/>
        </w:r>
        <w:r>
          <w:rPr>
            <w:noProof/>
            <w:webHidden/>
          </w:rPr>
          <w:fldChar w:fldCharType="begin" w:fldLock="1"/>
        </w:r>
        <w:r>
          <w:rPr>
            <w:noProof/>
            <w:webHidden/>
          </w:rPr>
          <w:instrText xml:space="preserve"> PAGEREF _Toc430770943 \h </w:instrText>
        </w:r>
        <w:r>
          <w:rPr>
            <w:noProof/>
            <w:webHidden/>
          </w:rPr>
        </w:r>
        <w:r>
          <w:rPr>
            <w:noProof/>
            <w:webHidden/>
          </w:rPr>
          <w:fldChar w:fldCharType="separate"/>
        </w:r>
        <w:r w:rsidR="00933C42">
          <w:rPr>
            <w:noProof/>
            <w:webHidden/>
          </w:rPr>
          <w:t>12</w:t>
        </w:r>
        <w:r>
          <w:rPr>
            <w:noProof/>
            <w:webHidden/>
          </w:rPr>
          <w:fldChar w:fldCharType="end"/>
        </w:r>
      </w:hyperlink>
    </w:p>
    <w:p w14:paraId="46C0827C" w14:textId="77777777" w:rsidR="00053312" w:rsidRDefault="00AE7A40">
      <w:pPr>
        <w:pStyle w:val="TableofFigures"/>
        <w:tabs>
          <w:tab w:val="right" w:leader="dot" w:pos="9060"/>
        </w:tabs>
        <w:rPr>
          <w:rFonts w:eastAsiaTheme="minorEastAsia"/>
          <w:noProof/>
          <w:sz w:val="22"/>
          <w:lang w:eastAsia="en-AU"/>
        </w:rPr>
      </w:pPr>
      <w:hyperlink w:anchor="_Toc430770944" w:history="1">
        <w:r w:rsidR="00053312" w:rsidRPr="0067305B">
          <w:rPr>
            <w:rStyle w:val="Hyperlink"/>
            <w:noProof/>
          </w:rPr>
          <w:t>Figure 2: NeAF structure</w:t>
        </w:r>
        <w:r w:rsidR="00053312">
          <w:rPr>
            <w:noProof/>
            <w:webHidden/>
          </w:rPr>
          <w:tab/>
        </w:r>
        <w:r w:rsidR="00053312">
          <w:rPr>
            <w:noProof/>
            <w:webHidden/>
          </w:rPr>
          <w:fldChar w:fldCharType="begin" w:fldLock="1"/>
        </w:r>
        <w:r w:rsidR="00053312">
          <w:rPr>
            <w:noProof/>
            <w:webHidden/>
          </w:rPr>
          <w:instrText xml:space="preserve"> PAGEREF _Toc430770944 \h </w:instrText>
        </w:r>
        <w:r w:rsidR="00053312">
          <w:rPr>
            <w:noProof/>
            <w:webHidden/>
          </w:rPr>
        </w:r>
        <w:r w:rsidR="00053312">
          <w:rPr>
            <w:noProof/>
            <w:webHidden/>
          </w:rPr>
          <w:fldChar w:fldCharType="separate"/>
        </w:r>
        <w:r w:rsidR="00933C42">
          <w:rPr>
            <w:noProof/>
            <w:webHidden/>
          </w:rPr>
          <w:t>12</w:t>
        </w:r>
        <w:r w:rsidR="00053312">
          <w:rPr>
            <w:noProof/>
            <w:webHidden/>
          </w:rPr>
          <w:fldChar w:fldCharType="end"/>
        </w:r>
      </w:hyperlink>
    </w:p>
    <w:p w14:paraId="625ABBB1" w14:textId="77777777" w:rsidR="00053312" w:rsidRDefault="00AE7A40">
      <w:pPr>
        <w:pStyle w:val="TableofFigures"/>
        <w:tabs>
          <w:tab w:val="right" w:leader="dot" w:pos="9060"/>
        </w:tabs>
        <w:rPr>
          <w:rFonts w:eastAsiaTheme="minorEastAsia"/>
          <w:noProof/>
          <w:sz w:val="22"/>
          <w:lang w:eastAsia="en-AU"/>
        </w:rPr>
      </w:pPr>
      <w:hyperlink w:anchor="_Toc430770945" w:history="1">
        <w:r w:rsidR="00053312" w:rsidRPr="0067305B">
          <w:rPr>
            <w:rStyle w:val="Hyperlink"/>
            <w:noProof/>
          </w:rPr>
          <w:t xml:space="preserve">Figure 3: </w:t>
        </w:r>
        <w:r w:rsidR="00BE178F">
          <w:rPr>
            <w:rStyle w:val="Hyperlink"/>
            <w:noProof/>
          </w:rPr>
          <w:t>e</w:t>
        </w:r>
        <w:r w:rsidR="00BE178F">
          <w:rPr>
            <w:rStyle w:val="Hyperlink"/>
            <w:noProof/>
          </w:rPr>
          <w:noBreakHyphen/>
        </w:r>
        <w:r w:rsidR="00053312" w:rsidRPr="0067305B">
          <w:rPr>
            <w:rStyle w:val="Hyperlink"/>
            <w:noProof/>
          </w:rPr>
          <w:t>Authentication solution components</w:t>
        </w:r>
        <w:r w:rsidR="00053312">
          <w:rPr>
            <w:noProof/>
            <w:webHidden/>
          </w:rPr>
          <w:tab/>
        </w:r>
        <w:r w:rsidR="00053312">
          <w:rPr>
            <w:noProof/>
            <w:webHidden/>
          </w:rPr>
          <w:fldChar w:fldCharType="begin" w:fldLock="1"/>
        </w:r>
        <w:r w:rsidR="00053312">
          <w:rPr>
            <w:noProof/>
            <w:webHidden/>
          </w:rPr>
          <w:instrText xml:space="preserve"> PAGEREF _Toc430770945 \h </w:instrText>
        </w:r>
        <w:r w:rsidR="00053312">
          <w:rPr>
            <w:noProof/>
            <w:webHidden/>
          </w:rPr>
        </w:r>
        <w:r w:rsidR="00053312">
          <w:rPr>
            <w:noProof/>
            <w:webHidden/>
          </w:rPr>
          <w:fldChar w:fldCharType="separate"/>
        </w:r>
        <w:r w:rsidR="00933C42">
          <w:rPr>
            <w:noProof/>
            <w:webHidden/>
          </w:rPr>
          <w:t>24</w:t>
        </w:r>
        <w:r w:rsidR="00053312">
          <w:rPr>
            <w:noProof/>
            <w:webHidden/>
          </w:rPr>
          <w:fldChar w:fldCharType="end"/>
        </w:r>
      </w:hyperlink>
    </w:p>
    <w:p w14:paraId="4DDF5DAD" w14:textId="77777777" w:rsidR="00A70754" w:rsidRDefault="00053312" w:rsidP="00A70754">
      <w:r>
        <w:fldChar w:fldCharType="end"/>
      </w:r>
    </w:p>
    <w:p w14:paraId="0D1990AA" w14:textId="77777777" w:rsidR="00A70754" w:rsidRDefault="00A70754" w:rsidP="00A70754">
      <w:pPr>
        <w:pStyle w:val="TOCHeading"/>
      </w:pPr>
      <w:r w:rsidRPr="006B3EA5">
        <w:t>Tables</w:t>
      </w:r>
    </w:p>
    <w:p w14:paraId="28CF82EE" w14:textId="77777777" w:rsidR="00053312" w:rsidRDefault="00053312">
      <w:pPr>
        <w:pStyle w:val="TableofFigures"/>
        <w:tabs>
          <w:tab w:val="right" w:leader="dot" w:pos="9060"/>
        </w:tabs>
        <w:rPr>
          <w:rFonts w:eastAsiaTheme="minorEastAsia"/>
          <w:noProof/>
          <w:sz w:val="22"/>
          <w:lang w:eastAsia="en-AU"/>
        </w:rPr>
      </w:pPr>
      <w:r>
        <w:fldChar w:fldCharType="begin" w:fldLock="1"/>
      </w:r>
      <w:r>
        <w:instrText xml:space="preserve"> TOC \h \z \c "Table" </w:instrText>
      </w:r>
      <w:r>
        <w:fldChar w:fldCharType="separate"/>
      </w:r>
      <w:hyperlink w:anchor="_Toc430770946" w:history="1">
        <w:r w:rsidRPr="00B2651B">
          <w:rPr>
            <w:rStyle w:val="Hyperlink"/>
            <w:noProof/>
          </w:rPr>
          <w:t>Table 1: Definition of key NeAF terms</w:t>
        </w:r>
        <w:r>
          <w:rPr>
            <w:noProof/>
            <w:webHidden/>
          </w:rPr>
          <w:tab/>
        </w:r>
        <w:r>
          <w:rPr>
            <w:noProof/>
            <w:webHidden/>
          </w:rPr>
          <w:fldChar w:fldCharType="begin" w:fldLock="1"/>
        </w:r>
        <w:r>
          <w:rPr>
            <w:noProof/>
            <w:webHidden/>
          </w:rPr>
          <w:instrText xml:space="preserve"> PAGEREF _Toc430770946 \h </w:instrText>
        </w:r>
        <w:r>
          <w:rPr>
            <w:noProof/>
            <w:webHidden/>
          </w:rPr>
        </w:r>
        <w:r>
          <w:rPr>
            <w:noProof/>
            <w:webHidden/>
          </w:rPr>
          <w:fldChar w:fldCharType="separate"/>
        </w:r>
        <w:r w:rsidR="00933C42">
          <w:rPr>
            <w:noProof/>
            <w:webHidden/>
          </w:rPr>
          <w:t>14</w:t>
        </w:r>
        <w:r>
          <w:rPr>
            <w:noProof/>
            <w:webHidden/>
          </w:rPr>
          <w:fldChar w:fldCharType="end"/>
        </w:r>
      </w:hyperlink>
    </w:p>
    <w:p w14:paraId="3BDEAEA4" w14:textId="77777777" w:rsidR="00053312" w:rsidRDefault="00AE7A40">
      <w:pPr>
        <w:pStyle w:val="TableofFigures"/>
        <w:tabs>
          <w:tab w:val="right" w:leader="dot" w:pos="9060"/>
        </w:tabs>
        <w:rPr>
          <w:rFonts w:eastAsiaTheme="minorEastAsia"/>
          <w:noProof/>
          <w:sz w:val="22"/>
          <w:lang w:eastAsia="en-AU"/>
        </w:rPr>
      </w:pPr>
      <w:hyperlink w:anchor="_Toc430770947" w:history="1">
        <w:r w:rsidR="00053312" w:rsidRPr="00B2651B">
          <w:rPr>
            <w:rStyle w:val="Hyperlink"/>
            <w:noProof/>
          </w:rPr>
          <w:t>Table 2 NeAF assurance levels</w:t>
        </w:r>
        <w:r w:rsidR="00053312">
          <w:rPr>
            <w:noProof/>
            <w:webHidden/>
          </w:rPr>
          <w:tab/>
        </w:r>
        <w:r w:rsidR="00053312">
          <w:rPr>
            <w:noProof/>
            <w:webHidden/>
          </w:rPr>
          <w:fldChar w:fldCharType="begin" w:fldLock="1"/>
        </w:r>
        <w:r w:rsidR="00053312">
          <w:rPr>
            <w:noProof/>
            <w:webHidden/>
          </w:rPr>
          <w:instrText xml:space="preserve"> PAGEREF _Toc430770947 \h </w:instrText>
        </w:r>
        <w:r w:rsidR="00053312">
          <w:rPr>
            <w:noProof/>
            <w:webHidden/>
          </w:rPr>
        </w:r>
        <w:r w:rsidR="00053312">
          <w:rPr>
            <w:noProof/>
            <w:webHidden/>
          </w:rPr>
          <w:fldChar w:fldCharType="separate"/>
        </w:r>
        <w:r w:rsidR="00933C42">
          <w:rPr>
            <w:noProof/>
            <w:webHidden/>
          </w:rPr>
          <w:t>20</w:t>
        </w:r>
        <w:r w:rsidR="00053312">
          <w:rPr>
            <w:noProof/>
            <w:webHidden/>
          </w:rPr>
          <w:fldChar w:fldCharType="end"/>
        </w:r>
      </w:hyperlink>
    </w:p>
    <w:p w14:paraId="68DE9CAC" w14:textId="77777777" w:rsidR="00053312" w:rsidRDefault="00AE7A40">
      <w:pPr>
        <w:pStyle w:val="TableofFigures"/>
        <w:tabs>
          <w:tab w:val="right" w:leader="dot" w:pos="9060"/>
        </w:tabs>
        <w:rPr>
          <w:rFonts w:eastAsiaTheme="minorEastAsia"/>
          <w:noProof/>
          <w:sz w:val="22"/>
          <w:lang w:eastAsia="en-AU"/>
        </w:rPr>
      </w:pPr>
      <w:hyperlink w:anchor="_Toc430770948" w:history="1">
        <w:r w:rsidR="00053312" w:rsidRPr="00B2651B">
          <w:rPr>
            <w:rStyle w:val="Hyperlink"/>
            <w:noProof/>
          </w:rPr>
          <w:t>Table 3 Illustrative consequences and severity</w:t>
        </w:r>
        <w:r w:rsidR="00053312">
          <w:rPr>
            <w:noProof/>
            <w:webHidden/>
          </w:rPr>
          <w:tab/>
        </w:r>
        <w:r w:rsidR="00053312">
          <w:rPr>
            <w:noProof/>
            <w:webHidden/>
          </w:rPr>
          <w:fldChar w:fldCharType="begin" w:fldLock="1"/>
        </w:r>
        <w:r w:rsidR="00053312">
          <w:rPr>
            <w:noProof/>
            <w:webHidden/>
          </w:rPr>
          <w:instrText xml:space="preserve"> PAGEREF _Toc430770948 \h </w:instrText>
        </w:r>
        <w:r w:rsidR="00053312">
          <w:rPr>
            <w:noProof/>
            <w:webHidden/>
          </w:rPr>
        </w:r>
        <w:r w:rsidR="00053312">
          <w:rPr>
            <w:noProof/>
            <w:webHidden/>
          </w:rPr>
          <w:fldChar w:fldCharType="separate"/>
        </w:r>
        <w:r w:rsidR="00933C42">
          <w:rPr>
            <w:noProof/>
            <w:webHidden/>
          </w:rPr>
          <w:t>21</w:t>
        </w:r>
        <w:r w:rsidR="00053312">
          <w:rPr>
            <w:noProof/>
            <w:webHidden/>
          </w:rPr>
          <w:fldChar w:fldCharType="end"/>
        </w:r>
      </w:hyperlink>
    </w:p>
    <w:p w14:paraId="3F2D5D2F" w14:textId="77777777" w:rsidR="00053312" w:rsidRDefault="00AE7A40">
      <w:pPr>
        <w:pStyle w:val="TableofFigures"/>
        <w:tabs>
          <w:tab w:val="right" w:leader="dot" w:pos="9060"/>
        </w:tabs>
        <w:rPr>
          <w:rFonts w:eastAsiaTheme="minorEastAsia"/>
          <w:noProof/>
          <w:sz w:val="22"/>
          <w:lang w:eastAsia="en-AU"/>
        </w:rPr>
      </w:pPr>
      <w:hyperlink w:anchor="_Toc430770949" w:history="1">
        <w:r w:rsidR="00053312" w:rsidRPr="00B2651B">
          <w:rPr>
            <w:rStyle w:val="Hyperlink"/>
            <w:noProof/>
          </w:rPr>
          <w:t>Table 4 Indicative assurance level requirements based upon likelihood and consequences</w:t>
        </w:r>
        <w:r w:rsidR="00053312">
          <w:rPr>
            <w:noProof/>
            <w:webHidden/>
          </w:rPr>
          <w:tab/>
        </w:r>
        <w:r w:rsidR="00053312">
          <w:rPr>
            <w:noProof/>
            <w:webHidden/>
          </w:rPr>
          <w:fldChar w:fldCharType="begin" w:fldLock="1"/>
        </w:r>
        <w:r w:rsidR="00053312">
          <w:rPr>
            <w:noProof/>
            <w:webHidden/>
          </w:rPr>
          <w:instrText xml:space="preserve"> PAGEREF _Toc430770949 \h </w:instrText>
        </w:r>
        <w:r w:rsidR="00053312">
          <w:rPr>
            <w:noProof/>
            <w:webHidden/>
          </w:rPr>
        </w:r>
        <w:r w:rsidR="00053312">
          <w:rPr>
            <w:noProof/>
            <w:webHidden/>
          </w:rPr>
          <w:fldChar w:fldCharType="separate"/>
        </w:r>
        <w:r w:rsidR="00933C42">
          <w:rPr>
            <w:noProof/>
            <w:webHidden/>
          </w:rPr>
          <w:t>22</w:t>
        </w:r>
        <w:r w:rsidR="00053312">
          <w:rPr>
            <w:noProof/>
            <w:webHidden/>
          </w:rPr>
          <w:fldChar w:fldCharType="end"/>
        </w:r>
      </w:hyperlink>
    </w:p>
    <w:p w14:paraId="4A5CA0BA" w14:textId="77777777" w:rsidR="00053312" w:rsidRDefault="00AE7A40">
      <w:pPr>
        <w:pStyle w:val="TableofFigures"/>
        <w:tabs>
          <w:tab w:val="right" w:leader="dot" w:pos="9060"/>
        </w:tabs>
        <w:rPr>
          <w:rFonts w:eastAsiaTheme="minorEastAsia"/>
          <w:noProof/>
          <w:sz w:val="22"/>
          <w:lang w:eastAsia="en-AU"/>
        </w:rPr>
      </w:pPr>
      <w:hyperlink w:anchor="_Toc430770950" w:history="1">
        <w:r w:rsidR="00053312" w:rsidRPr="00B2651B">
          <w:rPr>
            <w:rStyle w:val="Hyperlink"/>
            <w:noProof/>
          </w:rPr>
          <w:t>Table 5 Authentication mechanism attributes to meet assurance level</w:t>
        </w:r>
        <w:r w:rsidR="00053312">
          <w:rPr>
            <w:noProof/>
            <w:webHidden/>
          </w:rPr>
          <w:tab/>
        </w:r>
        <w:r w:rsidR="00053312">
          <w:rPr>
            <w:noProof/>
            <w:webHidden/>
          </w:rPr>
          <w:fldChar w:fldCharType="begin" w:fldLock="1"/>
        </w:r>
        <w:r w:rsidR="00053312">
          <w:rPr>
            <w:noProof/>
            <w:webHidden/>
          </w:rPr>
          <w:instrText xml:space="preserve"> PAGEREF _Toc430770950 \h </w:instrText>
        </w:r>
        <w:r w:rsidR="00053312">
          <w:rPr>
            <w:noProof/>
            <w:webHidden/>
          </w:rPr>
        </w:r>
        <w:r w:rsidR="00053312">
          <w:rPr>
            <w:noProof/>
            <w:webHidden/>
          </w:rPr>
          <w:fldChar w:fldCharType="separate"/>
        </w:r>
        <w:r w:rsidR="00933C42">
          <w:rPr>
            <w:noProof/>
            <w:webHidden/>
          </w:rPr>
          <w:t>27</w:t>
        </w:r>
        <w:r w:rsidR="00053312">
          <w:rPr>
            <w:noProof/>
            <w:webHidden/>
          </w:rPr>
          <w:fldChar w:fldCharType="end"/>
        </w:r>
      </w:hyperlink>
    </w:p>
    <w:p w14:paraId="5E8ED271" w14:textId="77777777" w:rsidR="00053312" w:rsidRDefault="00AE7A40">
      <w:pPr>
        <w:pStyle w:val="TableofFigures"/>
        <w:tabs>
          <w:tab w:val="right" w:leader="dot" w:pos="9060"/>
        </w:tabs>
        <w:rPr>
          <w:rFonts w:eastAsiaTheme="minorEastAsia"/>
          <w:noProof/>
          <w:sz w:val="22"/>
          <w:lang w:eastAsia="en-AU"/>
        </w:rPr>
      </w:pPr>
      <w:hyperlink w:anchor="_Toc430770951" w:history="1">
        <w:r w:rsidR="00053312" w:rsidRPr="00B2651B">
          <w:rPr>
            <w:rStyle w:val="Hyperlink"/>
            <w:noProof/>
          </w:rPr>
          <w:t>Table 6 NeAF – solution element-mapping for assurance levels</w:t>
        </w:r>
        <w:r w:rsidR="00053312">
          <w:rPr>
            <w:noProof/>
            <w:webHidden/>
          </w:rPr>
          <w:tab/>
        </w:r>
        <w:r w:rsidR="00053312">
          <w:rPr>
            <w:noProof/>
            <w:webHidden/>
          </w:rPr>
          <w:fldChar w:fldCharType="begin" w:fldLock="1"/>
        </w:r>
        <w:r w:rsidR="00053312">
          <w:rPr>
            <w:noProof/>
            <w:webHidden/>
          </w:rPr>
          <w:instrText xml:space="preserve"> PAGEREF _Toc430770951 \h </w:instrText>
        </w:r>
        <w:r w:rsidR="00053312">
          <w:rPr>
            <w:noProof/>
            <w:webHidden/>
          </w:rPr>
        </w:r>
        <w:r w:rsidR="00053312">
          <w:rPr>
            <w:noProof/>
            <w:webHidden/>
          </w:rPr>
          <w:fldChar w:fldCharType="separate"/>
        </w:r>
        <w:r w:rsidR="00933C42">
          <w:rPr>
            <w:noProof/>
            <w:webHidden/>
          </w:rPr>
          <w:t>29</w:t>
        </w:r>
        <w:r w:rsidR="00053312">
          <w:rPr>
            <w:noProof/>
            <w:webHidden/>
          </w:rPr>
          <w:fldChar w:fldCharType="end"/>
        </w:r>
      </w:hyperlink>
    </w:p>
    <w:p w14:paraId="282C0ED8" w14:textId="77777777" w:rsidR="00A70754" w:rsidRDefault="00053312" w:rsidP="00A70754">
      <w:r>
        <w:fldChar w:fldCharType="end"/>
      </w:r>
    </w:p>
    <w:p w14:paraId="3D424D7C" w14:textId="77777777" w:rsidR="00A70754" w:rsidRPr="006B3EA5" w:rsidRDefault="00A70754" w:rsidP="00A70754">
      <w:pPr>
        <w:pStyle w:val="Heading1"/>
      </w:pPr>
      <w:bookmarkStart w:id="2" w:name="_Toc430770895"/>
      <w:r w:rsidRPr="006B3EA5">
        <w:lastRenderedPageBreak/>
        <w:t>List of Acronyms</w:t>
      </w:r>
      <w:bookmarkEnd w:id="2"/>
    </w:p>
    <w:tbl>
      <w:tblPr>
        <w:tblStyle w:val="DTOTable1"/>
        <w:tblW w:w="5000" w:type="pct"/>
        <w:tblLook w:val="04A0" w:firstRow="1" w:lastRow="0" w:firstColumn="1" w:lastColumn="0" w:noHBand="0" w:noVBand="1"/>
        <w:tblDescription w:val="List of acronyms"/>
      </w:tblPr>
      <w:tblGrid>
        <w:gridCol w:w="1268"/>
        <w:gridCol w:w="7792"/>
      </w:tblGrid>
      <w:tr w:rsidR="00A70754" w:rsidRPr="00A70754" w14:paraId="707C08E9" w14:textId="77777777" w:rsidTr="00A70754">
        <w:trPr>
          <w:cnfStyle w:val="100000000000" w:firstRow="1" w:lastRow="0" w:firstColumn="0" w:lastColumn="0" w:oddVBand="0" w:evenVBand="0" w:oddHBand="0" w:evenHBand="0" w:firstRowFirstColumn="0" w:firstRowLastColumn="0" w:lastRowFirstColumn="0" w:lastRowLastColumn="0"/>
          <w:trHeight w:val="113"/>
          <w:tblHeader/>
        </w:trPr>
        <w:tc>
          <w:tcPr>
            <w:tcW w:w="700" w:type="pct"/>
          </w:tcPr>
          <w:p w14:paraId="33A35FCB" w14:textId="77777777" w:rsidR="00A70754" w:rsidRPr="00A70754" w:rsidRDefault="00A70754" w:rsidP="00A70754">
            <w:pPr>
              <w:pStyle w:val="Normal-TableText"/>
            </w:pPr>
            <w:r>
              <w:t>Term</w:t>
            </w:r>
          </w:p>
        </w:tc>
        <w:tc>
          <w:tcPr>
            <w:tcW w:w="4300" w:type="pct"/>
          </w:tcPr>
          <w:p w14:paraId="1D9ECF1B" w14:textId="77777777" w:rsidR="00A70754" w:rsidRPr="00A70754" w:rsidRDefault="00A70754" w:rsidP="00A70754">
            <w:pPr>
              <w:pStyle w:val="Normal-TableText"/>
            </w:pPr>
            <w:r>
              <w:t>Definition</w:t>
            </w:r>
          </w:p>
        </w:tc>
      </w:tr>
      <w:tr w:rsidR="00A70754" w:rsidRPr="00A70754" w14:paraId="60139C42" w14:textId="77777777" w:rsidTr="00A70754">
        <w:trPr>
          <w:trHeight w:val="113"/>
        </w:trPr>
        <w:tc>
          <w:tcPr>
            <w:tcW w:w="700" w:type="pct"/>
          </w:tcPr>
          <w:p w14:paraId="616EC522" w14:textId="77777777" w:rsidR="00A70754" w:rsidRPr="00A70754" w:rsidRDefault="00A70754" w:rsidP="00A70754">
            <w:pPr>
              <w:pStyle w:val="Normal-TableText"/>
            </w:pPr>
            <w:r w:rsidRPr="00A70754">
              <w:rPr>
                <w:szCs w:val="22"/>
              </w:rPr>
              <w:t>AGAF</w:t>
            </w:r>
          </w:p>
        </w:tc>
        <w:tc>
          <w:tcPr>
            <w:tcW w:w="4300" w:type="pct"/>
          </w:tcPr>
          <w:p w14:paraId="718D982B" w14:textId="77777777" w:rsidR="00A70754" w:rsidRPr="00A70754" w:rsidRDefault="00A70754" w:rsidP="00A70754">
            <w:pPr>
              <w:pStyle w:val="Normal-TableText"/>
            </w:pPr>
            <w:r w:rsidRPr="00A70754">
              <w:rPr>
                <w:szCs w:val="22"/>
              </w:rPr>
              <w:t xml:space="preserve">Australian Government </w:t>
            </w:r>
            <w:r w:rsidR="00BE178F">
              <w:rPr>
                <w:szCs w:val="22"/>
              </w:rPr>
              <w:t>e</w:t>
            </w:r>
            <w:r w:rsidR="00BE178F">
              <w:rPr>
                <w:szCs w:val="22"/>
              </w:rPr>
              <w:noBreakHyphen/>
            </w:r>
            <w:r w:rsidRPr="00A70754">
              <w:rPr>
                <w:szCs w:val="22"/>
              </w:rPr>
              <w:t>Authentication Framework</w:t>
            </w:r>
          </w:p>
        </w:tc>
      </w:tr>
      <w:tr w:rsidR="00A70754" w:rsidRPr="00A70754" w14:paraId="77BD83F3" w14:textId="77777777" w:rsidTr="00A70754">
        <w:trPr>
          <w:trHeight w:val="113"/>
        </w:trPr>
        <w:tc>
          <w:tcPr>
            <w:tcW w:w="700" w:type="pct"/>
          </w:tcPr>
          <w:p w14:paraId="6B5E8CE1" w14:textId="77777777" w:rsidR="00A70754" w:rsidRPr="00A70754" w:rsidRDefault="00A70754" w:rsidP="00A70754">
            <w:pPr>
              <w:pStyle w:val="Normal-TableText"/>
            </w:pPr>
            <w:r w:rsidRPr="00A70754">
              <w:rPr>
                <w:szCs w:val="22"/>
              </w:rPr>
              <w:t>AGAF-B</w:t>
            </w:r>
          </w:p>
        </w:tc>
        <w:tc>
          <w:tcPr>
            <w:tcW w:w="4300" w:type="pct"/>
          </w:tcPr>
          <w:p w14:paraId="254F8C13" w14:textId="77777777" w:rsidR="00A70754" w:rsidRPr="00A70754" w:rsidRDefault="00A70754" w:rsidP="00A70754">
            <w:pPr>
              <w:pStyle w:val="Normal-TableText"/>
            </w:pPr>
            <w:r w:rsidRPr="00A70754">
              <w:rPr>
                <w:szCs w:val="22"/>
              </w:rPr>
              <w:t>Australian Government Authentication Framework for Business</w:t>
            </w:r>
          </w:p>
        </w:tc>
      </w:tr>
      <w:tr w:rsidR="00A70754" w:rsidRPr="00A70754" w14:paraId="781817DA" w14:textId="77777777" w:rsidTr="00A70754">
        <w:trPr>
          <w:trHeight w:val="113"/>
        </w:trPr>
        <w:tc>
          <w:tcPr>
            <w:tcW w:w="700" w:type="pct"/>
          </w:tcPr>
          <w:p w14:paraId="3C7BF352" w14:textId="77777777" w:rsidR="00A70754" w:rsidRPr="00A70754" w:rsidRDefault="00A70754" w:rsidP="00A70754">
            <w:pPr>
              <w:pStyle w:val="Normal-TableText"/>
            </w:pPr>
            <w:r w:rsidRPr="00A70754">
              <w:rPr>
                <w:szCs w:val="22"/>
              </w:rPr>
              <w:t>AGAF-I</w:t>
            </w:r>
          </w:p>
        </w:tc>
        <w:tc>
          <w:tcPr>
            <w:tcW w:w="4300" w:type="pct"/>
          </w:tcPr>
          <w:p w14:paraId="7A3255F2" w14:textId="77777777" w:rsidR="00A70754" w:rsidRPr="00A70754" w:rsidRDefault="00A70754" w:rsidP="00A70754">
            <w:pPr>
              <w:pStyle w:val="Normal-TableText"/>
            </w:pPr>
            <w:r w:rsidRPr="00A70754">
              <w:rPr>
                <w:szCs w:val="22"/>
              </w:rPr>
              <w:t>Australian Government Authentication Framework for Individuals</w:t>
            </w:r>
          </w:p>
        </w:tc>
      </w:tr>
      <w:tr w:rsidR="00A70754" w:rsidRPr="00A70754" w14:paraId="202BA4F3" w14:textId="77777777" w:rsidTr="00A70754">
        <w:trPr>
          <w:trHeight w:val="113"/>
        </w:trPr>
        <w:tc>
          <w:tcPr>
            <w:tcW w:w="700" w:type="pct"/>
          </w:tcPr>
          <w:p w14:paraId="4F57F89C" w14:textId="77777777" w:rsidR="00A70754" w:rsidRPr="00A70754" w:rsidRDefault="00A70754" w:rsidP="00A70754">
            <w:pPr>
              <w:pStyle w:val="Normal-TableText"/>
            </w:pPr>
            <w:r w:rsidRPr="00A70754">
              <w:rPr>
                <w:szCs w:val="22"/>
              </w:rPr>
              <w:t>AGIMO</w:t>
            </w:r>
          </w:p>
        </w:tc>
        <w:tc>
          <w:tcPr>
            <w:tcW w:w="4300" w:type="pct"/>
          </w:tcPr>
          <w:p w14:paraId="7CE96098" w14:textId="77777777" w:rsidR="00A70754" w:rsidRPr="00A70754" w:rsidRDefault="00A70754" w:rsidP="00A70754">
            <w:pPr>
              <w:pStyle w:val="Normal-TableText"/>
            </w:pPr>
            <w:r w:rsidRPr="00A70754">
              <w:rPr>
                <w:szCs w:val="22"/>
              </w:rPr>
              <w:t>Australian Government Information Management Office</w:t>
            </w:r>
          </w:p>
        </w:tc>
      </w:tr>
      <w:tr w:rsidR="00A70754" w:rsidRPr="00A70754" w14:paraId="0F8E5DCE" w14:textId="77777777" w:rsidTr="00A70754">
        <w:trPr>
          <w:trHeight w:val="113"/>
        </w:trPr>
        <w:tc>
          <w:tcPr>
            <w:tcW w:w="700" w:type="pct"/>
          </w:tcPr>
          <w:p w14:paraId="4563D053" w14:textId="77777777" w:rsidR="00A70754" w:rsidRPr="00A70754" w:rsidRDefault="00A70754" w:rsidP="00A70754">
            <w:pPr>
              <w:pStyle w:val="Normal-TableText"/>
            </w:pPr>
            <w:r w:rsidRPr="00A70754">
              <w:rPr>
                <w:szCs w:val="22"/>
              </w:rPr>
              <w:t>AGOSP</w:t>
            </w:r>
          </w:p>
        </w:tc>
        <w:tc>
          <w:tcPr>
            <w:tcW w:w="4300" w:type="pct"/>
          </w:tcPr>
          <w:p w14:paraId="213BD606" w14:textId="77777777" w:rsidR="00A70754" w:rsidRPr="00A70754" w:rsidRDefault="00A70754" w:rsidP="00A70754">
            <w:pPr>
              <w:pStyle w:val="Normal-TableText"/>
            </w:pPr>
            <w:r w:rsidRPr="00A70754">
              <w:rPr>
                <w:szCs w:val="22"/>
              </w:rPr>
              <w:t>Australian Government Online Service Point</w:t>
            </w:r>
          </w:p>
        </w:tc>
      </w:tr>
      <w:tr w:rsidR="00A70754" w:rsidRPr="00A70754" w14:paraId="0659E283" w14:textId="77777777" w:rsidTr="00A70754">
        <w:trPr>
          <w:trHeight w:val="113"/>
        </w:trPr>
        <w:tc>
          <w:tcPr>
            <w:tcW w:w="700" w:type="pct"/>
          </w:tcPr>
          <w:p w14:paraId="63B14F19" w14:textId="77777777" w:rsidR="00A70754" w:rsidRPr="00A70754" w:rsidRDefault="00A70754" w:rsidP="00A70754">
            <w:pPr>
              <w:pStyle w:val="Normal-TableText"/>
            </w:pPr>
            <w:r w:rsidRPr="00A70754">
              <w:rPr>
                <w:szCs w:val="22"/>
              </w:rPr>
              <w:t>AISEF</w:t>
            </w:r>
          </w:p>
        </w:tc>
        <w:tc>
          <w:tcPr>
            <w:tcW w:w="4300" w:type="pct"/>
          </w:tcPr>
          <w:p w14:paraId="243452D1" w14:textId="77777777" w:rsidR="00A70754" w:rsidRPr="00A70754" w:rsidRDefault="00A70754" w:rsidP="00A70754">
            <w:pPr>
              <w:pStyle w:val="Normal-TableText"/>
            </w:pPr>
            <w:r w:rsidRPr="00A70754">
              <w:rPr>
                <w:szCs w:val="22"/>
              </w:rPr>
              <w:t>Australasian Information Security Evaluation Facility</w:t>
            </w:r>
          </w:p>
        </w:tc>
      </w:tr>
      <w:tr w:rsidR="00A70754" w:rsidRPr="00A70754" w14:paraId="2EDFA452" w14:textId="77777777" w:rsidTr="00A70754">
        <w:trPr>
          <w:trHeight w:val="113"/>
        </w:trPr>
        <w:tc>
          <w:tcPr>
            <w:tcW w:w="700" w:type="pct"/>
          </w:tcPr>
          <w:p w14:paraId="4153731D" w14:textId="77777777" w:rsidR="00A70754" w:rsidRPr="00A70754" w:rsidRDefault="00A70754" w:rsidP="00A70754">
            <w:pPr>
              <w:pStyle w:val="Normal-TableText"/>
            </w:pPr>
            <w:r w:rsidRPr="00A70754">
              <w:rPr>
                <w:szCs w:val="22"/>
              </w:rPr>
              <w:t>ALGA</w:t>
            </w:r>
          </w:p>
        </w:tc>
        <w:tc>
          <w:tcPr>
            <w:tcW w:w="4300" w:type="pct"/>
          </w:tcPr>
          <w:p w14:paraId="3973E9DD" w14:textId="77777777" w:rsidR="00A70754" w:rsidRPr="00A70754" w:rsidRDefault="00A70754" w:rsidP="00A70754">
            <w:pPr>
              <w:pStyle w:val="Normal-TableText"/>
            </w:pPr>
            <w:r w:rsidRPr="00A70754">
              <w:rPr>
                <w:szCs w:val="22"/>
              </w:rPr>
              <w:t>Australian Local Government Association</w:t>
            </w:r>
          </w:p>
        </w:tc>
      </w:tr>
      <w:tr w:rsidR="00A70754" w:rsidRPr="00A70754" w14:paraId="314A60B1" w14:textId="77777777" w:rsidTr="00A70754">
        <w:trPr>
          <w:trHeight w:val="113"/>
        </w:trPr>
        <w:tc>
          <w:tcPr>
            <w:tcW w:w="700" w:type="pct"/>
          </w:tcPr>
          <w:p w14:paraId="54AF99E1" w14:textId="77777777" w:rsidR="00A70754" w:rsidRPr="00A70754" w:rsidRDefault="00A70754" w:rsidP="00A70754">
            <w:pPr>
              <w:pStyle w:val="Normal-TableText"/>
            </w:pPr>
            <w:r w:rsidRPr="00A70754">
              <w:rPr>
                <w:szCs w:val="22"/>
              </w:rPr>
              <w:t>CAPTCHA</w:t>
            </w:r>
          </w:p>
        </w:tc>
        <w:tc>
          <w:tcPr>
            <w:tcW w:w="4300" w:type="pct"/>
          </w:tcPr>
          <w:p w14:paraId="6FAF4080" w14:textId="77777777" w:rsidR="00A70754" w:rsidRPr="00A70754" w:rsidRDefault="00A70754" w:rsidP="00A70754">
            <w:pPr>
              <w:pStyle w:val="Normal-TableText"/>
            </w:pPr>
            <w:r w:rsidRPr="00A70754">
              <w:rPr>
                <w:szCs w:val="22"/>
              </w:rPr>
              <w:t>T</w:t>
            </w:r>
            <w:proofErr w:type="spellStart"/>
            <w:r w:rsidRPr="00A70754">
              <w:rPr>
                <w:szCs w:val="22"/>
                <w:lang w:val="en"/>
              </w:rPr>
              <w:t>ype</w:t>
            </w:r>
            <w:proofErr w:type="spellEnd"/>
            <w:r w:rsidRPr="00A70754">
              <w:rPr>
                <w:szCs w:val="22"/>
                <w:lang w:val="en"/>
              </w:rPr>
              <w:t xml:space="preserve"> of challeng</w:t>
            </w:r>
            <w:r w:rsidR="00BE178F">
              <w:rPr>
                <w:szCs w:val="22"/>
                <w:lang w:val="en"/>
              </w:rPr>
              <w:t>e</w:t>
            </w:r>
            <w:r w:rsidR="00BE178F">
              <w:rPr>
                <w:szCs w:val="22"/>
                <w:lang w:val="en"/>
              </w:rPr>
              <w:noBreakHyphen/>
            </w:r>
            <w:r w:rsidRPr="00A70754">
              <w:rPr>
                <w:szCs w:val="22"/>
                <w:lang w:val="en"/>
              </w:rPr>
              <w:t>response test to ensure that the response is not generated by a computer</w:t>
            </w:r>
          </w:p>
        </w:tc>
      </w:tr>
      <w:tr w:rsidR="00A70754" w:rsidRPr="00A70754" w14:paraId="38BB6F33" w14:textId="77777777" w:rsidTr="00A70754">
        <w:trPr>
          <w:trHeight w:val="113"/>
        </w:trPr>
        <w:tc>
          <w:tcPr>
            <w:tcW w:w="700" w:type="pct"/>
          </w:tcPr>
          <w:p w14:paraId="0D6C3940" w14:textId="77777777" w:rsidR="00A70754" w:rsidRPr="00A70754" w:rsidRDefault="00A70754" w:rsidP="00A70754">
            <w:pPr>
              <w:pStyle w:val="Normal-TableText"/>
            </w:pPr>
            <w:r w:rsidRPr="00A70754">
              <w:rPr>
                <w:szCs w:val="22"/>
              </w:rPr>
              <w:t>CMP</w:t>
            </w:r>
          </w:p>
        </w:tc>
        <w:tc>
          <w:tcPr>
            <w:tcW w:w="4300" w:type="pct"/>
          </w:tcPr>
          <w:p w14:paraId="0BDD02A7" w14:textId="77777777" w:rsidR="00A70754" w:rsidRPr="00A70754" w:rsidRDefault="00A70754" w:rsidP="00A70754">
            <w:pPr>
              <w:pStyle w:val="Normal-TableText"/>
            </w:pPr>
            <w:r w:rsidRPr="00A70754">
              <w:rPr>
                <w:szCs w:val="22"/>
              </w:rPr>
              <w:t>Public Key Infrastructure Management Protocol</w:t>
            </w:r>
          </w:p>
        </w:tc>
      </w:tr>
      <w:tr w:rsidR="00A70754" w:rsidRPr="00A70754" w14:paraId="0165BAF2" w14:textId="77777777" w:rsidTr="00A70754">
        <w:trPr>
          <w:trHeight w:val="113"/>
        </w:trPr>
        <w:tc>
          <w:tcPr>
            <w:tcW w:w="700" w:type="pct"/>
          </w:tcPr>
          <w:p w14:paraId="09A5C9A7" w14:textId="77777777" w:rsidR="00A70754" w:rsidRPr="00A70754" w:rsidRDefault="00A70754" w:rsidP="00A70754">
            <w:pPr>
              <w:pStyle w:val="Normal-TableText"/>
            </w:pPr>
            <w:r w:rsidRPr="00A70754">
              <w:rPr>
                <w:szCs w:val="22"/>
              </w:rPr>
              <w:t>C-R</w:t>
            </w:r>
          </w:p>
        </w:tc>
        <w:tc>
          <w:tcPr>
            <w:tcW w:w="4300" w:type="pct"/>
          </w:tcPr>
          <w:p w14:paraId="3835C224" w14:textId="77777777" w:rsidR="00A70754" w:rsidRPr="00A70754" w:rsidRDefault="00A70754" w:rsidP="00A70754">
            <w:pPr>
              <w:pStyle w:val="Normal-TableText"/>
            </w:pPr>
            <w:r w:rsidRPr="00A70754">
              <w:rPr>
                <w:szCs w:val="22"/>
              </w:rPr>
              <w:t>Challeng</w:t>
            </w:r>
            <w:r w:rsidR="00BE178F">
              <w:rPr>
                <w:szCs w:val="22"/>
              </w:rPr>
              <w:t>e</w:t>
            </w:r>
            <w:r w:rsidR="00BE178F">
              <w:rPr>
                <w:szCs w:val="22"/>
              </w:rPr>
              <w:noBreakHyphen/>
            </w:r>
            <w:r w:rsidRPr="00A70754">
              <w:rPr>
                <w:szCs w:val="22"/>
              </w:rPr>
              <w:t>response</w:t>
            </w:r>
          </w:p>
        </w:tc>
      </w:tr>
      <w:tr w:rsidR="00A70754" w:rsidRPr="00A70754" w14:paraId="1C5EF122" w14:textId="77777777" w:rsidTr="00A70754">
        <w:trPr>
          <w:trHeight w:val="113"/>
        </w:trPr>
        <w:tc>
          <w:tcPr>
            <w:tcW w:w="700" w:type="pct"/>
          </w:tcPr>
          <w:p w14:paraId="36C17D8D" w14:textId="77777777" w:rsidR="00A70754" w:rsidRPr="00A70754" w:rsidRDefault="00A70754" w:rsidP="00A70754">
            <w:pPr>
              <w:pStyle w:val="Normal-TableText"/>
            </w:pPr>
            <w:r w:rsidRPr="00A70754">
              <w:rPr>
                <w:szCs w:val="22"/>
              </w:rPr>
              <w:t>CRL</w:t>
            </w:r>
          </w:p>
        </w:tc>
        <w:tc>
          <w:tcPr>
            <w:tcW w:w="4300" w:type="pct"/>
          </w:tcPr>
          <w:p w14:paraId="37FA676F" w14:textId="77777777" w:rsidR="00A70754" w:rsidRPr="00A70754" w:rsidRDefault="00A70754" w:rsidP="00A70754">
            <w:pPr>
              <w:pStyle w:val="Normal-TableText"/>
            </w:pPr>
            <w:r w:rsidRPr="00A70754">
              <w:rPr>
                <w:szCs w:val="22"/>
              </w:rPr>
              <w:t>Certificate revocation List</w:t>
            </w:r>
          </w:p>
        </w:tc>
      </w:tr>
      <w:tr w:rsidR="00A70754" w:rsidRPr="00A70754" w14:paraId="3EE43A64" w14:textId="77777777" w:rsidTr="00A70754">
        <w:trPr>
          <w:trHeight w:val="113"/>
        </w:trPr>
        <w:tc>
          <w:tcPr>
            <w:tcW w:w="700" w:type="pct"/>
          </w:tcPr>
          <w:p w14:paraId="015556BC" w14:textId="77777777" w:rsidR="00A70754" w:rsidRPr="00A70754" w:rsidRDefault="00A70754" w:rsidP="00A70754">
            <w:pPr>
              <w:pStyle w:val="Normal-TableText"/>
            </w:pPr>
            <w:r w:rsidRPr="00A70754">
              <w:rPr>
                <w:szCs w:val="22"/>
              </w:rPr>
              <w:t>DSD</w:t>
            </w:r>
          </w:p>
        </w:tc>
        <w:tc>
          <w:tcPr>
            <w:tcW w:w="4300" w:type="pct"/>
          </w:tcPr>
          <w:p w14:paraId="41ED124F" w14:textId="77777777" w:rsidR="00A70754" w:rsidRPr="00A70754" w:rsidRDefault="00A70754" w:rsidP="00A70754">
            <w:pPr>
              <w:pStyle w:val="Normal-TableText"/>
            </w:pPr>
            <w:r w:rsidRPr="00A70754">
              <w:rPr>
                <w:szCs w:val="22"/>
              </w:rPr>
              <w:t>Defence Signals Directorate</w:t>
            </w:r>
          </w:p>
        </w:tc>
      </w:tr>
      <w:tr w:rsidR="00A70754" w:rsidRPr="00A70754" w14:paraId="7798D929" w14:textId="77777777" w:rsidTr="00A70754">
        <w:trPr>
          <w:trHeight w:val="113"/>
        </w:trPr>
        <w:tc>
          <w:tcPr>
            <w:tcW w:w="700" w:type="pct"/>
          </w:tcPr>
          <w:p w14:paraId="54A0DD87" w14:textId="77777777" w:rsidR="00A70754" w:rsidRPr="00A70754" w:rsidRDefault="00A70754" w:rsidP="00A70754">
            <w:pPr>
              <w:pStyle w:val="Normal-TableText"/>
            </w:pPr>
            <w:r w:rsidRPr="00A70754">
              <w:rPr>
                <w:szCs w:val="22"/>
              </w:rPr>
              <w:t>DVS</w:t>
            </w:r>
          </w:p>
        </w:tc>
        <w:tc>
          <w:tcPr>
            <w:tcW w:w="4300" w:type="pct"/>
          </w:tcPr>
          <w:p w14:paraId="3A5F5DA8" w14:textId="77777777" w:rsidR="00A70754" w:rsidRPr="00A70754" w:rsidRDefault="00A70754" w:rsidP="00A70754">
            <w:pPr>
              <w:pStyle w:val="Normal-TableText"/>
            </w:pPr>
            <w:r w:rsidRPr="00A70754">
              <w:rPr>
                <w:szCs w:val="22"/>
              </w:rPr>
              <w:t>Document Verification Service</w:t>
            </w:r>
          </w:p>
        </w:tc>
      </w:tr>
      <w:tr w:rsidR="00A70754" w:rsidRPr="00A70754" w14:paraId="70591BD6" w14:textId="77777777" w:rsidTr="00A70754">
        <w:trPr>
          <w:trHeight w:val="113"/>
        </w:trPr>
        <w:tc>
          <w:tcPr>
            <w:tcW w:w="700" w:type="pct"/>
          </w:tcPr>
          <w:p w14:paraId="3DCFDFA6" w14:textId="77777777" w:rsidR="00A70754" w:rsidRPr="00A70754" w:rsidRDefault="00A70754" w:rsidP="00A70754">
            <w:pPr>
              <w:pStyle w:val="Normal-TableText"/>
            </w:pPr>
            <w:r w:rsidRPr="00A70754">
              <w:rPr>
                <w:szCs w:val="22"/>
              </w:rPr>
              <w:t>EOI</w:t>
            </w:r>
          </w:p>
        </w:tc>
        <w:tc>
          <w:tcPr>
            <w:tcW w:w="4300" w:type="pct"/>
          </w:tcPr>
          <w:p w14:paraId="6AC3B08E" w14:textId="77777777" w:rsidR="00A70754" w:rsidRPr="00A70754" w:rsidRDefault="00A70754" w:rsidP="00A70754">
            <w:pPr>
              <w:pStyle w:val="Normal-TableText"/>
            </w:pPr>
            <w:r w:rsidRPr="00A70754">
              <w:rPr>
                <w:szCs w:val="22"/>
              </w:rPr>
              <w:t>Evidence of identity</w:t>
            </w:r>
          </w:p>
        </w:tc>
      </w:tr>
      <w:tr w:rsidR="00A70754" w:rsidRPr="00A70754" w14:paraId="60D126C8" w14:textId="77777777" w:rsidTr="00A70754">
        <w:trPr>
          <w:trHeight w:val="113"/>
        </w:trPr>
        <w:tc>
          <w:tcPr>
            <w:tcW w:w="700" w:type="pct"/>
          </w:tcPr>
          <w:p w14:paraId="258DE24C" w14:textId="77777777" w:rsidR="00A70754" w:rsidRPr="00A70754" w:rsidRDefault="00A70754" w:rsidP="00A70754">
            <w:pPr>
              <w:pStyle w:val="Normal-TableText"/>
            </w:pPr>
            <w:r w:rsidRPr="00A70754">
              <w:rPr>
                <w:szCs w:val="22"/>
              </w:rPr>
              <w:t>EOR</w:t>
            </w:r>
          </w:p>
        </w:tc>
        <w:tc>
          <w:tcPr>
            <w:tcW w:w="4300" w:type="pct"/>
          </w:tcPr>
          <w:p w14:paraId="4F2F3355" w14:textId="77777777" w:rsidR="00A70754" w:rsidRPr="00A70754" w:rsidRDefault="00A70754" w:rsidP="00A70754">
            <w:pPr>
              <w:pStyle w:val="Normal-TableText"/>
            </w:pPr>
            <w:r w:rsidRPr="00A70754">
              <w:rPr>
                <w:szCs w:val="22"/>
              </w:rPr>
              <w:t>Evidence of relationship</w:t>
            </w:r>
          </w:p>
        </w:tc>
      </w:tr>
      <w:tr w:rsidR="00A70754" w:rsidRPr="00A70754" w14:paraId="473478BA" w14:textId="77777777" w:rsidTr="00A70754">
        <w:trPr>
          <w:trHeight w:val="113"/>
        </w:trPr>
        <w:tc>
          <w:tcPr>
            <w:tcW w:w="700" w:type="pct"/>
          </w:tcPr>
          <w:p w14:paraId="52C9BDDE" w14:textId="77777777" w:rsidR="00A70754" w:rsidRPr="00A70754" w:rsidRDefault="00A70754" w:rsidP="00A70754">
            <w:pPr>
              <w:pStyle w:val="Normal-TableText"/>
            </w:pPr>
            <w:r w:rsidRPr="00A70754">
              <w:rPr>
                <w:szCs w:val="22"/>
              </w:rPr>
              <w:t>GSEF</w:t>
            </w:r>
          </w:p>
        </w:tc>
        <w:tc>
          <w:tcPr>
            <w:tcW w:w="4300" w:type="pct"/>
          </w:tcPr>
          <w:p w14:paraId="2085C71D" w14:textId="77777777" w:rsidR="00A70754" w:rsidRPr="00A70754" w:rsidRDefault="00A70754" w:rsidP="00A70754">
            <w:pPr>
              <w:pStyle w:val="Normal-TableText"/>
            </w:pPr>
            <w:r w:rsidRPr="00A70754">
              <w:rPr>
                <w:szCs w:val="22"/>
              </w:rPr>
              <w:t>Gold Standard Enrolment Framework</w:t>
            </w:r>
          </w:p>
        </w:tc>
      </w:tr>
      <w:tr w:rsidR="00A70754" w:rsidRPr="00A70754" w14:paraId="45CB41E7" w14:textId="77777777" w:rsidTr="00A70754">
        <w:trPr>
          <w:trHeight w:val="113"/>
        </w:trPr>
        <w:tc>
          <w:tcPr>
            <w:tcW w:w="700" w:type="pct"/>
          </w:tcPr>
          <w:p w14:paraId="43086591" w14:textId="77777777" w:rsidR="00A70754" w:rsidRPr="00A70754" w:rsidRDefault="00A70754" w:rsidP="00A70754">
            <w:pPr>
              <w:pStyle w:val="Normal-TableText"/>
            </w:pPr>
            <w:r w:rsidRPr="00A70754">
              <w:rPr>
                <w:szCs w:val="22"/>
              </w:rPr>
              <w:t>HSM</w:t>
            </w:r>
          </w:p>
        </w:tc>
        <w:tc>
          <w:tcPr>
            <w:tcW w:w="4300" w:type="pct"/>
          </w:tcPr>
          <w:p w14:paraId="342D3807" w14:textId="77777777" w:rsidR="00A70754" w:rsidRPr="00A70754" w:rsidRDefault="00A70754" w:rsidP="00A70754">
            <w:pPr>
              <w:pStyle w:val="Normal-TableText"/>
            </w:pPr>
            <w:r w:rsidRPr="00A70754">
              <w:rPr>
                <w:szCs w:val="22"/>
              </w:rPr>
              <w:t>Hardware security module</w:t>
            </w:r>
          </w:p>
        </w:tc>
      </w:tr>
      <w:tr w:rsidR="00A70754" w:rsidRPr="00A70754" w14:paraId="19AABD0C" w14:textId="77777777" w:rsidTr="00A70754">
        <w:trPr>
          <w:trHeight w:val="113"/>
        </w:trPr>
        <w:tc>
          <w:tcPr>
            <w:tcW w:w="700" w:type="pct"/>
          </w:tcPr>
          <w:p w14:paraId="21AC2132" w14:textId="77777777" w:rsidR="00A70754" w:rsidRPr="00A70754" w:rsidRDefault="00A70754" w:rsidP="00A70754">
            <w:pPr>
              <w:pStyle w:val="Normal-TableText"/>
            </w:pPr>
            <w:r w:rsidRPr="00A70754">
              <w:rPr>
                <w:szCs w:val="22"/>
              </w:rPr>
              <w:t>ICT</w:t>
            </w:r>
          </w:p>
        </w:tc>
        <w:tc>
          <w:tcPr>
            <w:tcW w:w="4300" w:type="pct"/>
          </w:tcPr>
          <w:p w14:paraId="638252AE" w14:textId="77777777" w:rsidR="00A70754" w:rsidRPr="00A70754" w:rsidRDefault="00A70754" w:rsidP="00A70754">
            <w:pPr>
              <w:pStyle w:val="Normal-TableText"/>
            </w:pPr>
            <w:r w:rsidRPr="00A70754">
              <w:rPr>
                <w:szCs w:val="22"/>
              </w:rPr>
              <w:t>Information and communication technology</w:t>
            </w:r>
          </w:p>
        </w:tc>
      </w:tr>
      <w:tr w:rsidR="00A70754" w:rsidRPr="00A70754" w14:paraId="39150713" w14:textId="77777777" w:rsidTr="00A70754">
        <w:trPr>
          <w:trHeight w:val="113"/>
        </w:trPr>
        <w:tc>
          <w:tcPr>
            <w:tcW w:w="700" w:type="pct"/>
          </w:tcPr>
          <w:p w14:paraId="4623350C" w14:textId="77777777" w:rsidR="00A70754" w:rsidRPr="00A70754" w:rsidRDefault="00A70754" w:rsidP="00A70754">
            <w:pPr>
              <w:pStyle w:val="Normal-TableText"/>
            </w:pPr>
            <w:r w:rsidRPr="00A70754">
              <w:rPr>
                <w:szCs w:val="22"/>
              </w:rPr>
              <w:t>IP</w:t>
            </w:r>
          </w:p>
        </w:tc>
        <w:tc>
          <w:tcPr>
            <w:tcW w:w="4300" w:type="pct"/>
          </w:tcPr>
          <w:p w14:paraId="4FB6F655" w14:textId="77777777" w:rsidR="00A70754" w:rsidRPr="00A70754" w:rsidRDefault="00A70754" w:rsidP="00A70754">
            <w:pPr>
              <w:pStyle w:val="Normal-TableText"/>
            </w:pPr>
            <w:r w:rsidRPr="00A70754">
              <w:rPr>
                <w:szCs w:val="22"/>
              </w:rPr>
              <w:t>Internet Protocol</w:t>
            </w:r>
          </w:p>
        </w:tc>
      </w:tr>
      <w:tr w:rsidR="00A70754" w:rsidRPr="00A70754" w14:paraId="4E768505" w14:textId="77777777" w:rsidTr="00A70754">
        <w:trPr>
          <w:trHeight w:val="113"/>
        </w:trPr>
        <w:tc>
          <w:tcPr>
            <w:tcW w:w="700" w:type="pct"/>
          </w:tcPr>
          <w:p w14:paraId="76BD48D4" w14:textId="77777777" w:rsidR="00A70754" w:rsidRPr="00A70754" w:rsidRDefault="00A70754" w:rsidP="00A70754">
            <w:pPr>
              <w:pStyle w:val="Normal-TableText"/>
            </w:pPr>
            <w:r w:rsidRPr="00A70754">
              <w:rPr>
                <w:szCs w:val="22"/>
              </w:rPr>
              <w:t>ISM</w:t>
            </w:r>
          </w:p>
        </w:tc>
        <w:tc>
          <w:tcPr>
            <w:tcW w:w="4300" w:type="pct"/>
          </w:tcPr>
          <w:p w14:paraId="569FE08E" w14:textId="123D682A" w:rsidR="00A70754" w:rsidRPr="00A70754" w:rsidRDefault="00A70754" w:rsidP="005B59AA">
            <w:pPr>
              <w:pStyle w:val="Normal-TableText"/>
            </w:pPr>
            <w:r w:rsidRPr="00A70754">
              <w:rPr>
                <w:szCs w:val="22"/>
              </w:rPr>
              <w:t xml:space="preserve">Australian Government </w:t>
            </w:r>
            <w:r w:rsidR="005B59AA" w:rsidRPr="00A70754">
              <w:rPr>
                <w:szCs w:val="22"/>
              </w:rPr>
              <w:t>I</w:t>
            </w:r>
            <w:r w:rsidR="005B59AA">
              <w:rPr>
                <w:szCs w:val="22"/>
              </w:rPr>
              <w:t>nformation</w:t>
            </w:r>
            <w:r w:rsidR="005B59AA" w:rsidRPr="00A70754">
              <w:rPr>
                <w:szCs w:val="22"/>
              </w:rPr>
              <w:t xml:space="preserve"> </w:t>
            </w:r>
            <w:r w:rsidRPr="00A70754">
              <w:rPr>
                <w:szCs w:val="22"/>
              </w:rPr>
              <w:t>Security Manual</w:t>
            </w:r>
          </w:p>
        </w:tc>
      </w:tr>
      <w:tr w:rsidR="00A70754" w:rsidRPr="00A70754" w14:paraId="5AC0F476" w14:textId="77777777" w:rsidTr="00A70754">
        <w:trPr>
          <w:trHeight w:val="113"/>
        </w:trPr>
        <w:tc>
          <w:tcPr>
            <w:tcW w:w="700" w:type="pct"/>
          </w:tcPr>
          <w:p w14:paraId="33D9FE10" w14:textId="77777777" w:rsidR="00A70754" w:rsidRPr="00A70754" w:rsidRDefault="00A70754" w:rsidP="00A70754">
            <w:pPr>
              <w:pStyle w:val="Normal-TableText"/>
            </w:pPr>
            <w:r w:rsidRPr="00A70754">
              <w:rPr>
                <w:szCs w:val="22"/>
              </w:rPr>
              <w:t>IT</w:t>
            </w:r>
          </w:p>
        </w:tc>
        <w:tc>
          <w:tcPr>
            <w:tcW w:w="4300" w:type="pct"/>
          </w:tcPr>
          <w:p w14:paraId="4CF47F35" w14:textId="77777777" w:rsidR="00A70754" w:rsidRPr="00A70754" w:rsidRDefault="00A70754" w:rsidP="00A70754">
            <w:pPr>
              <w:pStyle w:val="Normal-TableText"/>
            </w:pPr>
            <w:r w:rsidRPr="00A70754">
              <w:rPr>
                <w:szCs w:val="22"/>
              </w:rPr>
              <w:t>Information technology</w:t>
            </w:r>
          </w:p>
        </w:tc>
      </w:tr>
      <w:tr w:rsidR="00A70754" w:rsidRPr="00A70754" w14:paraId="4C13434E" w14:textId="77777777" w:rsidTr="00A70754">
        <w:trPr>
          <w:trHeight w:val="113"/>
        </w:trPr>
        <w:tc>
          <w:tcPr>
            <w:tcW w:w="700" w:type="pct"/>
          </w:tcPr>
          <w:p w14:paraId="376F3566" w14:textId="77777777" w:rsidR="00A70754" w:rsidRPr="00A70754" w:rsidRDefault="00A70754" w:rsidP="00A70754">
            <w:pPr>
              <w:pStyle w:val="Normal-TableText"/>
            </w:pPr>
            <w:r w:rsidRPr="00A70754">
              <w:rPr>
                <w:szCs w:val="22"/>
              </w:rPr>
              <w:t>IVR</w:t>
            </w:r>
          </w:p>
        </w:tc>
        <w:tc>
          <w:tcPr>
            <w:tcW w:w="4300" w:type="pct"/>
          </w:tcPr>
          <w:p w14:paraId="40605E6D" w14:textId="77777777" w:rsidR="00A70754" w:rsidRPr="00A70754" w:rsidRDefault="00A70754" w:rsidP="00A70754">
            <w:pPr>
              <w:pStyle w:val="Normal-TableText"/>
            </w:pPr>
            <w:r w:rsidRPr="00A70754">
              <w:rPr>
                <w:szCs w:val="22"/>
              </w:rPr>
              <w:t>Interactive Voice Response</w:t>
            </w:r>
          </w:p>
        </w:tc>
      </w:tr>
      <w:tr w:rsidR="00A70754" w:rsidRPr="00A70754" w14:paraId="7A7995B7" w14:textId="77777777" w:rsidTr="00A70754">
        <w:trPr>
          <w:trHeight w:val="113"/>
        </w:trPr>
        <w:tc>
          <w:tcPr>
            <w:tcW w:w="700" w:type="pct"/>
          </w:tcPr>
          <w:p w14:paraId="1A09DAA9" w14:textId="77777777" w:rsidR="00A70754" w:rsidRPr="00A70754" w:rsidRDefault="00A70754" w:rsidP="00A70754">
            <w:pPr>
              <w:pStyle w:val="Normal-TableText"/>
            </w:pPr>
            <w:r w:rsidRPr="00A70754">
              <w:rPr>
                <w:szCs w:val="22"/>
              </w:rPr>
              <w:lastRenderedPageBreak/>
              <w:t>LDAP</w:t>
            </w:r>
          </w:p>
        </w:tc>
        <w:tc>
          <w:tcPr>
            <w:tcW w:w="4300" w:type="pct"/>
          </w:tcPr>
          <w:p w14:paraId="07163846" w14:textId="77777777" w:rsidR="00A70754" w:rsidRPr="00A70754" w:rsidRDefault="00A70754" w:rsidP="00A70754">
            <w:pPr>
              <w:pStyle w:val="Normal-TableText"/>
            </w:pPr>
            <w:r w:rsidRPr="00A70754">
              <w:rPr>
                <w:szCs w:val="22"/>
              </w:rPr>
              <w:t>Lightweight Directory Access Protocol</w:t>
            </w:r>
          </w:p>
        </w:tc>
      </w:tr>
      <w:tr w:rsidR="00A70754" w:rsidRPr="00A70754" w14:paraId="18B69AAE" w14:textId="77777777" w:rsidTr="00A70754">
        <w:trPr>
          <w:trHeight w:val="113"/>
        </w:trPr>
        <w:tc>
          <w:tcPr>
            <w:tcW w:w="700" w:type="pct"/>
          </w:tcPr>
          <w:p w14:paraId="257187D7" w14:textId="77777777" w:rsidR="00A70754" w:rsidRPr="00A70754" w:rsidRDefault="00A70754" w:rsidP="00A70754">
            <w:pPr>
              <w:pStyle w:val="Normal-TableText"/>
            </w:pPr>
            <w:proofErr w:type="spellStart"/>
            <w:r w:rsidRPr="00A70754">
              <w:rPr>
                <w:szCs w:val="22"/>
              </w:rPr>
              <w:t>NeAF</w:t>
            </w:r>
            <w:proofErr w:type="spellEnd"/>
          </w:p>
        </w:tc>
        <w:tc>
          <w:tcPr>
            <w:tcW w:w="4300" w:type="pct"/>
          </w:tcPr>
          <w:p w14:paraId="0F750E69" w14:textId="77777777" w:rsidR="00A70754" w:rsidRPr="00A70754" w:rsidRDefault="00A70754" w:rsidP="00A70754">
            <w:pPr>
              <w:pStyle w:val="Normal-TableText"/>
            </w:pPr>
            <w:r w:rsidRPr="00A70754">
              <w:rPr>
                <w:szCs w:val="22"/>
              </w:rPr>
              <w:t xml:space="preserve">National </w:t>
            </w:r>
            <w:r w:rsidR="00BE178F">
              <w:rPr>
                <w:szCs w:val="22"/>
              </w:rPr>
              <w:t>e</w:t>
            </w:r>
            <w:r w:rsidR="00BE178F">
              <w:rPr>
                <w:szCs w:val="22"/>
              </w:rPr>
              <w:noBreakHyphen/>
            </w:r>
            <w:r w:rsidRPr="00A70754">
              <w:rPr>
                <w:szCs w:val="22"/>
              </w:rPr>
              <w:t>Authentication Framework</w:t>
            </w:r>
          </w:p>
        </w:tc>
      </w:tr>
      <w:tr w:rsidR="00A70754" w:rsidRPr="00A70754" w14:paraId="1EF318AF" w14:textId="77777777" w:rsidTr="00A70754">
        <w:trPr>
          <w:trHeight w:val="113"/>
        </w:trPr>
        <w:tc>
          <w:tcPr>
            <w:tcW w:w="700" w:type="pct"/>
          </w:tcPr>
          <w:p w14:paraId="3058B218" w14:textId="77777777" w:rsidR="00A70754" w:rsidRPr="00A70754" w:rsidRDefault="00A70754" w:rsidP="00A70754">
            <w:pPr>
              <w:pStyle w:val="Normal-TableText"/>
            </w:pPr>
            <w:r w:rsidRPr="00A70754">
              <w:rPr>
                <w:szCs w:val="22"/>
              </w:rPr>
              <w:t>NISS</w:t>
            </w:r>
          </w:p>
        </w:tc>
        <w:tc>
          <w:tcPr>
            <w:tcW w:w="4300" w:type="pct"/>
          </w:tcPr>
          <w:p w14:paraId="55B514FD" w14:textId="77777777" w:rsidR="00A70754" w:rsidRPr="00A70754" w:rsidRDefault="00A70754" w:rsidP="00A70754">
            <w:pPr>
              <w:pStyle w:val="Normal-TableText"/>
            </w:pPr>
            <w:r w:rsidRPr="00A70754">
              <w:rPr>
                <w:szCs w:val="22"/>
              </w:rPr>
              <w:t>National Identity Security Strategy</w:t>
            </w:r>
          </w:p>
        </w:tc>
      </w:tr>
      <w:tr w:rsidR="00A70754" w:rsidRPr="00A70754" w14:paraId="1B993041" w14:textId="77777777" w:rsidTr="00A70754">
        <w:trPr>
          <w:trHeight w:val="113"/>
        </w:trPr>
        <w:tc>
          <w:tcPr>
            <w:tcW w:w="700" w:type="pct"/>
          </w:tcPr>
          <w:p w14:paraId="6F06C531" w14:textId="77777777" w:rsidR="00A70754" w:rsidRPr="00A70754" w:rsidRDefault="00A70754" w:rsidP="00A70754">
            <w:pPr>
              <w:pStyle w:val="Normal-TableText"/>
            </w:pPr>
            <w:r w:rsidRPr="00A70754">
              <w:rPr>
                <w:szCs w:val="22"/>
              </w:rPr>
              <w:t>OASIS</w:t>
            </w:r>
          </w:p>
        </w:tc>
        <w:tc>
          <w:tcPr>
            <w:tcW w:w="4300" w:type="pct"/>
          </w:tcPr>
          <w:p w14:paraId="71C7DDE9" w14:textId="77777777" w:rsidR="00A70754" w:rsidRPr="00A70754" w:rsidRDefault="00A70754" w:rsidP="00A70754">
            <w:pPr>
              <w:pStyle w:val="Normal-TableText"/>
            </w:pPr>
            <w:r w:rsidRPr="00A70754">
              <w:rPr>
                <w:szCs w:val="22"/>
              </w:rPr>
              <w:t>Organisation for the Advancement of Structure Information Standards</w:t>
            </w:r>
          </w:p>
        </w:tc>
      </w:tr>
      <w:tr w:rsidR="00A70754" w:rsidRPr="00A70754" w14:paraId="487F26FF" w14:textId="77777777" w:rsidTr="00A70754">
        <w:trPr>
          <w:trHeight w:val="113"/>
        </w:trPr>
        <w:tc>
          <w:tcPr>
            <w:tcW w:w="700" w:type="pct"/>
          </w:tcPr>
          <w:p w14:paraId="5EDCE3C9" w14:textId="77777777" w:rsidR="00A70754" w:rsidRPr="00A70754" w:rsidRDefault="00A70754" w:rsidP="00A70754">
            <w:pPr>
              <w:pStyle w:val="Normal-TableText"/>
            </w:pPr>
            <w:r w:rsidRPr="00A70754">
              <w:rPr>
                <w:szCs w:val="22"/>
              </w:rPr>
              <w:t>OCC</w:t>
            </w:r>
          </w:p>
        </w:tc>
        <w:tc>
          <w:tcPr>
            <w:tcW w:w="4300" w:type="pct"/>
          </w:tcPr>
          <w:p w14:paraId="5B1B7C5F" w14:textId="77777777" w:rsidR="00A70754" w:rsidRPr="00A70754" w:rsidRDefault="00A70754" w:rsidP="00A70754">
            <w:pPr>
              <w:pStyle w:val="Normal-TableText"/>
            </w:pPr>
            <w:r w:rsidRPr="00A70754">
              <w:rPr>
                <w:szCs w:val="22"/>
              </w:rPr>
              <w:t>Online and Communications Council</w:t>
            </w:r>
          </w:p>
        </w:tc>
      </w:tr>
      <w:tr w:rsidR="00A70754" w:rsidRPr="00A70754" w14:paraId="6828A3ED" w14:textId="77777777" w:rsidTr="00A70754">
        <w:trPr>
          <w:trHeight w:val="113"/>
        </w:trPr>
        <w:tc>
          <w:tcPr>
            <w:tcW w:w="700" w:type="pct"/>
          </w:tcPr>
          <w:p w14:paraId="5107E059" w14:textId="77777777" w:rsidR="00A70754" w:rsidRPr="00A70754" w:rsidRDefault="00A70754" w:rsidP="00A70754">
            <w:pPr>
              <w:pStyle w:val="Normal-TableText"/>
            </w:pPr>
            <w:r w:rsidRPr="00A70754">
              <w:rPr>
                <w:szCs w:val="22"/>
              </w:rPr>
              <w:t>OTP</w:t>
            </w:r>
          </w:p>
        </w:tc>
        <w:tc>
          <w:tcPr>
            <w:tcW w:w="4300" w:type="pct"/>
          </w:tcPr>
          <w:p w14:paraId="36369CC3" w14:textId="77777777" w:rsidR="00A70754" w:rsidRPr="00A70754" w:rsidRDefault="00A70754" w:rsidP="00A70754">
            <w:pPr>
              <w:pStyle w:val="Normal-TableText"/>
            </w:pPr>
            <w:r w:rsidRPr="00A70754">
              <w:rPr>
                <w:szCs w:val="22"/>
              </w:rPr>
              <w:t>On</w:t>
            </w:r>
            <w:r w:rsidR="00BE178F">
              <w:rPr>
                <w:szCs w:val="22"/>
              </w:rPr>
              <w:t>e</w:t>
            </w:r>
            <w:r w:rsidR="00BE178F">
              <w:rPr>
                <w:szCs w:val="22"/>
              </w:rPr>
              <w:noBreakHyphen/>
            </w:r>
            <w:r w:rsidRPr="00A70754">
              <w:rPr>
                <w:szCs w:val="22"/>
              </w:rPr>
              <w:t>time password</w:t>
            </w:r>
          </w:p>
        </w:tc>
      </w:tr>
      <w:tr w:rsidR="00A70754" w:rsidRPr="00A70754" w14:paraId="6BEF0C9C" w14:textId="77777777" w:rsidTr="00A70754">
        <w:trPr>
          <w:trHeight w:val="113"/>
        </w:trPr>
        <w:tc>
          <w:tcPr>
            <w:tcW w:w="700" w:type="pct"/>
          </w:tcPr>
          <w:p w14:paraId="7A25B90D" w14:textId="77777777" w:rsidR="00A70754" w:rsidRPr="00A70754" w:rsidRDefault="00A70754" w:rsidP="00A70754">
            <w:pPr>
              <w:pStyle w:val="Normal-TableText"/>
            </w:pPr>
            <w:r w:rsidRPr="00A70754">
              <w:rPr>
                <w:szCs w:val="22"/>
              </w:rPr>
              <w:t>PAD</w:t>
            </w:r>
          </w:p>
        </w:tc>
        <w:tc>
          <w:tcPr>
            <w:tcW w:w="4300" w:type="pct"/>
          </w:tcPr>
          <w:p w14:paraId="14390E87" w14:textId="77777777" w:rsidR="00A70754" w:rsidRPr="00A70754" w:rsidRDefault="00A70754" w:rsidP="00A70754">
            <w:pPr>
              <w:pStyle w:val="Normal-TableText"/>
            </w:pPr>
            <w:r w:rsidRPr="00A70754">
              <w:rPr>
                <w:szCs w:val="22"/>
              </w:rPr>
              <w:t>Personal Authentication Device</w:t>
            </w:r>
          </w:p>
        </w:tc>
      </w:tr>
      <w:tr w:rsidR="00A70754" w:rsidRPr="00A70754" w14:paraId="0736CFD7" w14:textId="77777777" w:rsidTr="00A70754">
        <w:trPr>
          <w:trHeight w:val="113"/>
        </w:trPr>
        <w:tc>
          <w:tcPr>
            <w:tcW w:w="700" w:type="pct"/>
          </w:tcPr>
          <w:p w14:paraId="4CC3A605" w14:textId="77777777" w:rsidR="00A70754" w:rsidRPr="00A70754" w:rsidRDefault="00A70754" w:rsidP="00A70754">
            <w:pPr>
              <w:pStyle w:val="Normal-TableText"/>
            </w:pPr>
            <w:r w:rsidRPr="00A70754">
              <w:rPr>
                <w:szCs w:val="22"/>
              </w:rPr>
              <w:t>PIN</w:t>
            </w:r>
          </w:p>
        </w:tc>
        <w:tc>
          <w:tcPr>
            <w:tcW w:w="4300" w:type="pct"/>
          </w:tcPr>
          <w:p w14:paraId="08C4F6A5" w14:textId="77777777" w:rsidR="00A70754" w:rsidRPr="00A70754" w:rsidRDefault="00A70754" w:rsidP="00A70754">
            <w:pPr>
              <w:pStyle w:val="Normal-TableText"/>
            </w:pPr>
            <w:r w:rsidRPr="00A70754">
              <w:rPr>
                <w:szCs w:val="22"/>
              </w:rPr>
              <w:t>Personal identification number</w:t>
            </w:r>
          </w:p>
        </w:tc>
      </w:tr>
      <w:tr w:rsidR="00A70754" w:rsidRPr="00A70754" w14:paraId="38F248A7" w14:textId="77777777" w:rsidTr="00A70754">
        <w:trPr>
          <w:trHeight w:val="113"/>
        </w:trPr>
        <w:tc>
          <w:tcPr>
            <w:tcW w:w="700" w:type="pct"/>
          </w:tcPr>
          <w:p w14:paraId="5CD031E9" w14:textId="77777777" w:rsidR="00A70754" w:rsidRPr="00A70754" w:rsidRDefault="00A70754" w:rsidP="00A70754">
            <w:pPr>
              <w:pStyle w:val="Normal-TableText"/>
            </w:pPr>
            <w:r w:rsidRPr="00A70754">
              <w:rPr>
                <w:szCs w:val="22"/>
              </w:rPr>
              <w:t>PKAF</w:t>
            </w:r>
          </w:p>
        </w:tc>
        <w:tc>
          <w:tcPr>
            <w:tcW w:w="4300" w:type="pct"/>
          </w:tcPr>
          <w:p w14:paraId="3A17AA6F" w14:textId="77777777" w:rsidR="00A70754" w:rsidRPr="00A70754" w:rsidRDefault="00A70754" w:rsidP="00A70754">
            <w:pPr>
              <w:pStyle w:val="Normal-TableText"/>
            </w:pPr>
            <w:r w:rsidRPr="00A70754">
              <w:rPr>
                <w:szCs w:val="22"/>
              </w:rPr>
              <w:t>Public key Authentication Framework</w:t>
            </w:r>
          </w:p>
        </w:tc>
      </w:tr>
      <w:tr w:rsidR="00A70754" w:rsidRPr="00A70754" w14:paraId="35D31ECF" w14:textId="77777777" w:rsidTr="00A70754">
        <w:trPr>
          <w:trHeight w:val="113"/>
        </w:trPr>
        <w:tc>
          <w:tcPr>
            <w:tcW w:w="700" w:type="pct"/>
          </w:tcPr>
          <w:p w14:paraId="41DA10D3" w14:textId="77777777" w:rsidR="00A70754" w:rsidRPr="00A70754" w:rsidRDefault="00A70754" w:rsidP="00A70754">
            <w:pPr>
              <w:pStyle w:val="Normal-TableText"/>
            </w:pPr>
            <w:r w:rsidRPr="00A70754">
              <w:rPr>
                <w:szCs w:val="22"/>
              </w:rPr>
              <w:t>PKI</w:t>
            </w:r>
          </w:p>
        </w:tc>
        <w:tc>
          <w:tcPr>
            <w:tcW w:w="4300" w:type="pct"/>
          </w:tcPr>
          <w:p w14:paraId="65C4468B" w14:textId="77777777" w:rsidR="00A70754" w:rsidRPr="00A70754" w:rsidRDefault="00A70754" w:rsidP="00A70754">
            <w:pPr>
              <w:pStyle w:val="Normal-TableText"/>
            </w:pPr>
            <w:r w:rsidRPr="00A70754">
              <w:rPr>
                <w:szCs w:val="22"/>
              </w:rPr>
              <w:t>Public key infrastructure</w:t>
            </w:r>
          </w:p>
        </w:tc>
      </w:tr>
      <w:tr w:rsidR="00A70754" w:rsidRPr="00A70754" w14:paraId="21285020" w14:textId="77777777" w:rsidTr="00A70754">
        <w:trPr>
          <w:trHeight w:val="113"/>
        </w:trPr>
        <w:tc>
          <w:tcPr>
            <w:tcW w:w="700" w:type="pct"/>
          </w:tcPr>
          <w:p w14:paraId="7F51BCA5" w14:textId="77777777" w:rsidR="00A70754" w:rsidRPr="00A70754" w:rsidRDefault="00A70754" w:rsidP="00A70754">
            <w:pPr>
              <w:pStyle w:val="Normal-TableText"/>
            </w:pPr>
            <w:proofErr w:type="spellStart"/>
            <w:r w:rsidRPr="00A70754">
              <w:rPr>
                <w:szCs w:val="22"/>
              </w:rPr>
              <w:t>PoI</w:t>
            </w:r>
            <w:proofErr w:type="spellEnd"/>
          </w:p>
        </w:tc>
        <w:tc>
          <w:tcPr>
            <w:tcW w:w="4300" w:type="pct"/>
          </w:tcPr>
          <w:p w14:paraId="7DBEF0C9" w14:textId="77777777" w:rsidR="00A70754" w:rsidRPr="00A70754" w:rsidRDefault="00A70754" w:rsidP="00A70754">
            <w:pPr>
              <w:pStyle w:val="Normal-TableText"/>
            </w:pPr>
            <w:r w:rsidRPr="00A70754">
              <w:rPr>
                <w:szCs w:val="22"/>
              </w:rPr>
              <w:t>Proof of identity</w:t>
            </w:r>
          </w:p>
        </w:tc>
      </w:tr>
      <w:tr w:rsidR="00A70754" w:rsidRPr="00A70754" w14:paraId="07B07C0B" w14:textId="77777777" w:rsidTr="00A70754">
        <w:trPr>
          <w:trHeight w:val="113"/>
        </w:trPr>
        <w:tc>
          <w:tcPr>
            <w:tcW w:w="700" w:type="pct"/>
          </w:tcPr>
          <w:p w14:paraId="22968DE7" w14:textId="58D1C2FC" w:rsidR="00A70754" w:rsidRPr="00A70754" w:rsidRDefault="00A70754" w:rsidP="005B59AA">
            <w:pPr>
              <w:pStyle w:val="Normal-TableText"/>
            </w:pPr>
            <w:r w:rsidRPr="00A70754">
              <w:rPr>
                <w:szCs w:val="22"/>
              </w:rPr>
              <w:t>PS</w:t>
            </w:r>
            <w:r w:rsidR="005B59AA">
              <w:rPr>
                <w:szCs w:val="22"/>
              </w:rPr>
              <w:t>PF</w:t>
            </w:r>
          </w:p>
        </w:tc>
        <w:tc>
          <w:tcPr>
            <w:tcW w:w="4300" w:type="pct"/>
          </w:tcPr>
          <w:p w14:paraId="04CEAC31" w14:textId="02323270" w:rsidR="00A70754" w:rsidRPr="00A70754" w:rsidRDefault="00A70754" w:rsidP="005B59AA">
            <w:pPr>
              <w:pStyle w:val="Normal-TableText"/>
            </w:pPr>
            <w:r w:rsidRPr="00A70754">
              <w:rPr>
                <w:szCs w:val="22"/>
              </w:rPr>
              <w:t>Protective Security</w:t>
            </w:r>
            <w:r w:rsidR="005B59AA">
              <w:rPr>
                <w:szCs w:val="22"/>
              </w:rPr>
              <w:t xml:space="preserve"> Policy Framework</w:t>
            </w:r>
            <w:r w:rsidRPr="00A70754">
              <w:rPr>
                <w:szCs w:val="22"/>
              </w:rPr>
              <w:t xml:space="preserve"> </w:t>
            </w:r>
          </w:p>
        </w:tc>
      </w:tr>
      <w:tr w:rsidR="00A70754" w:rsidRPr="00A70754" w14:paraId="4B1D5992" w14:textId="77777777" w:rsidTr="00A70754">
        <w:trPr>
          <w:trHeight w:val="113"/>
        </w:trPr>
        <w:tc>
          <w:tcPr>
            <w:tcW w:w="700" w:type="pct"/>
          </w:tcPr>
          <w:p w14:paraId="189353DE" w14:textId="77777777" w:rsidR="00A70754" w:rsidRPr="00A70754" w:rsidRDefault="00A70754" w:rsidP="00A70754">
            <w:pPr>
              <w:pStyle w:val="Normal-TableText"/>
            </w:pPr>
            <w:r w:rsidRPr="00A70754">
              <w:rPr>
                <w:szCs w:val="22"/>
              </w:rPr>
              <w:t>SAML</w:t>
            </w:r>
          </w:p>
        </w:tc>
        <w:tc>
          <w:tcPr>
            <w:tcW w:w="4300" w:type="pct"/>
          </w:tcPr>
          <w:p w14:paraId="67052305" w14:textId="77777777" w:rsidR="00A70754" w:rsidRPr="00A70754" w:rsidRDefault="00A70754" w:rsidP="00A70754">
            <w:pPr>
              <w:pStyle w:val="Normal-TableText"/>
            </w:pPr>
            <w:r w:rsidRPr="00A70754">
              <w:rPr>
                <w:szCs w:val="22"/>
              </w:rPr>
              <w:t>Security Assertion Mark-up Language</w:t>
            </w:r>
          </w:p>
        </w:tc>
      </w:tr>
      <w:tr w:rsidR="00A70754" w:rsidRPr="00A70754" w14:paraId="17B45703" w14:textId="77777777" w:rsidTr="00A70754">
        <w:trPr>
          <w:trHeight w:val="113"/>
        </w:trPr>
        <w:tc>
          <w:tcPr>
            <w:tcW w:w="700" w:type="pct"/>
          </w:tcPr>
          <w:p w14:paraId="40021F50" w14:textId="77777777" w:rsidR="00A70754" w:rsidRPr="00A70754" w:rsidRDefault="00A70754" w:rsidP="00A70754">
            <w:pPr>
              <w:pStyle w:val="Normal-TableText"/>
            </w:pPr>
            <w:r w:rsidRPr="00A70754">
              <w:rPr>
                <w:szCs w:val="22"/>
              </w:rPr>
              <w:t>SBR</w:t>
            </w:r>
          </w:p>
        </w:tc>
        <w:tc>
          <w:tcPr>
            <w:tcW w:w="4300" w:type="pct"/>
          </w:tcPr>
          <w:p w14:paraId="2C7821C5" w14:textId="77777777" w:rsidR="00A70754" w:rsidRPr="00A70754" w:rsidRDefault="00A70754" w:rsidP="00A70754">
            <w:pPr>
              <w:pStyle w:val="Normal-TableText"/>
            </w:pPr>
            <w:r w:rsidRPr="00A70754">
              <w:rPr>
                <w:szCs w:val="22"/>
              </w:rPr>
              <w:t>Standard Business Reporting</w:t>
            </w:r>
          </w:p>
        </w:tc>
      </w:tr>
      <w:tr w:rsidR="00A70754" w:rsidRPr="00A70754" w14:paraId="5125BB1B" w14:textId="77777777" w:rsidTr="00A70754">
        <w:trPr>
          <w:trHeight w:val="113"/>
        </w:trPr>
        <w:tc>
          <w:tcPr>
            <w:tcW w:w="700" w:type="pct"/>
          </w:tcPr>
          <w:p w14:paraId="7C7ADCC3" w14:textId="77777777" w:rsidR="00A70754" w:rsidRPr="00A70754" w:rsidRDefault="00A70754" w:rsidP="00A70754">
            <w:pPr>
              <w:pStyle w:val="Normal-TableText"/>
              <w:rPr>
                <w:rFonts w:cs="Arial"/>
              </w:rPr>
            </w:pPr>
            <w:r w:rsidRPr="00A70754">
              <w:rPr>
                <w:rFonts w:cs="Arial"/>
                <w:szCs w:val="22"/>
              </w:rPr>
              <w:t>SDLC</w:t>
            </w:r>
          </w:p>
        </w:tc>
        <w:tc>
          <w:tcPr>
            <w:tcW w:w="4300" w:type="pct"/>
          </w:tcPr>
          <w:p w14:paraId="10741A68" w14:textId="77777777" w:rsidR="00A70754" w:rsidRPr="00A70754" w:rsidRDefault="00A70754" w:rsidP="00A70754">
            <w:pPr>
              <w:pStyle w:val="Normal-TableText"/>
            </w:pPr>
            <w:r w:rsidRPr="00A70754">
              <w:rPr>
                <w:rFonts w:cs="Arial"/>
                <w:szCs w:val="22"/>
              </w:rPr>
              <w:t>Systems Development Life Cycle</w:t>
            </w:r>
          </w:p>
        </w:tc>
      </w:tr>
      <w:tr w:rsidR="00A70754" w:rsidRPr="00A70754" w14:paraId="4F02D37C" w14:textId="77777777" w:rsidTr="00A70754">
        <w:trPr>
          <w:trHeight w:val="113"/>
        </w:trPr>
        <w:tc>
          <w:tcPr>
            <w:tcW w:w="700" w:type="pct"/>
          </w:tcPr>
          <w:p w14:paraId="2F87E4E9" w14:textId="77777777" w:rsidR="00A70754" w:rsidRPr="00A70754" w:rsidRDefault="00A70754" w:rsidP="00A70754">
            <w:pPr>
              <w:pStyle w:val="Normal-TableText"/>
            </w:pPr>
            <w:r w:rsidRPr="00A70754">
              <w:rPr>
                <w:szCs w:val="22"/>
              </w:rPr>
              <w:t>SMS</w:t>
            </w:r>
          </w:p>
        </w:tc>
        <w:tc>
          <w:tcPr>
            <w:tcW w:w="4300" w:type="pct"/>
          </w:tcPr>
          <w:p w14:paraId="0B6579EB" w14:textId="77777777" w:rsidR="00A70754" w:rsidRPr="00A70754" w:rsidRDefault="00A70754" w:rsidP="00A70754">
            <w:pPr>
              <w:pStyle w:val="Normal-TableText"/>
            </w:pPr>
            <w:r w:rsidRPr="00A70754">
              <w:rPr>
                <w:szCs w:val="22"/>
              </w:rPr>
              <w:t>Short Message Service</w:t>
            </w:r>
          </w:p>
        </w:tc>
      </w:tr>
      <w:tr w:rsidR="00A70754" w:rsidRPr="00A70754" w14:paraId="2BC87162" w14:textId="77777777" w:rsidTr="00A70754">
        <w:trPr>
          <w:trHeight w:val="113"/>
        </w:trPr>
        <w:tc>
          <w:tcPr>
            <w:tcW w:w="700" w:type="pct"/>
          </w:tcPr>
          <w:p w14:paraId="3A780ED8" w14:textId="77777777" w:rsidR="00A70754" w:rsidRPr="00A70754" w:rsidRDefault="00A70754" w:rsidP="00A70754">
            <w:pPr>
              <w:pStyle w:val="Normal-TableText"/>
            </w:pPr>
            <w:r w:rsidRPr="00A70754">
              <w:rPr>
                <w:szCs w:val="22"/>
              </w:rPr>
              <w:t>SOA</w:t>
            </w:r>
          </w:p>
        </w:tc>
        <w:tc>
          <w:tcPr>
            <w:tcW w:w="4300" w:type="pct"/>
          </w:tcPr>
          <w:p w14:paraId="2ADE434C" w14:textId="77777777" w:rsidR="00A70754" w:rsidRPr="00A70754" w:rsidRDefault="00A70754" w:rsidP="00A70754">
            <w:pPr>
              <w:pStyle w:val="Normal-TableText"/>
            </w:pPr>
            <w:r w:rsidRPr="00A70754">
              <w:rPr>
                <w:szCs w:val="22"/>
              </w:rPr>
              <w:t>Servic</w:t>
            </w:r>
            <w:r w:rsidR="00BE178F">
              <w:rPr>
                <w:szCs w:val="22"/>
              </w:rPr>
              <w:t>e</w:t>
            </w:r>
            <w:r w:rsidR="00BE178F">
              <w:rPr>
                <w:szCs w:val="22"/>
              </w:rPr>
              <w:noBreakHyphen/>
            </w:r>
            <w:r w:rsidRPr="00A70754">
              <w:rPr>
                <w:szCs w:val="22"/>
              </w:rPr>
              <w:t>oriented architecture</w:t>
            </w:r>
          </w:p>
        </w:tc>
      </w:tr>
      <w:tr w:rsidR="00A70754" w:rsidRPr="00A70754" w14:paraId="1C585AF4" w14:textId="77777777" w:rsidTr="00A70754">
        <w:trPr>
          <w:trHeight w:val="113"/>
        </w:trPr>
        <w:tc>
          <w:tcPr>
            <w:tcW w:w="700" w:type="pct"/>
          </w:tcPr>
          <w:p w14:paraId="43B28DF9" w14:textId="77777777" w:rsidR="00A70754" w:rsidRPr="00A70754" w:rsidRDefault="00A70754" w:rsidP="00A70754">
            <w:pPr>
              <w:pStyle w:val="Normal-TableText"/>
            </w:pPr>
            <w:r w:rsidRPr="00A70754">
              <w:rPr>
                <w:szCs w:val="22"/>
              </w:rPr>
              <w:t>SSL/TLS</w:t>
            </w:r>
          </w:p>
        </w:tc>
        <w:tc>
          <w:tcPr>
            <w:tcW w:w="4300" w:type="pct"/>
          </w:tcPr>
          <w:p w14:paraId="33FD6D56" w14:textId="77777777" w:rsidR="00A70754" w:rsidRPr="00A70754" w:rsidRDefault="00A70754" w:rsidP="00A70754">
            <w:pPr>
              <w:pStyle w:val="Normal-TableText"/>
            </w:pPr>
            <w:r w:rsidRPr="00A70754">
              <w:rPr>
                <w:szCs w:val="22"/>
              </w:rPr>
              <w:t>Secure Sockets Layer / Transport Layer Security</w:t>
            </w:r>
          </w:p>
        </w:tc>
      </w:tr>
      <w:tr w:rsidR="00A70754" w:rsidRPr="00A70754" w14:paraId="2CD6AF31" w14:textId="77777777" w:rsidTr="00A70754">
        <w:trPr>
          <w:trHeight w:val="113"/>
        </w:trPr>
        <w:tc>
          <w:tcPr>
            <w:tcW w:w="700" w:type="pct"/>
          </w:tcPr>
          <w:p w14:paraId="04A60CE6" w14:textId="77777777" w:rsidR="00A70754" w:rsidRPr="00A70754" w:rsidRDefault="00A70754" w:rsidP="00A70754">
            <w:pPr>
              <w:pStyle w:val="Normal-TableText"/>
            </w:pPr>
            <w:r w:rsidRPr="00A70754">
              <w:rPr>
                <w:szCs w:val="22"/>
              </w:rPr>
              <w:t>XBRL</w:t>
            </w:r>
          </w:p>
        </w:tc>
        <w:tc>
          <w:tcPr>
            <w:tcW w:w="4300" w:type="pct"/>
          </w:tcPr>
          <w:p w14:paraId="71498741" w14:textId="77777777" w:rsidR="00A70754" w:rsidRPr="00A70754" w:rsidRDefault="00A70754" w:rsidP="00A70754">
            <w:pPr>
              <w:pStyle w:val="Normal-TableText"/>
            </w:pPr>
            <w:r w:rsidRPr="00A70754">
              <w:rPr>
                <w:szCs w:val="22"/>
              </w:rPr>
              <w:t>An XML-based open standard language</w:t>
            </w:r>
          </w:p>
        </w:tc>
      </w:tr>
      <w:tr w:rsidR="00A70754" w:rsidRPr="00A70754" w14:paraId="59D8B43A" w14:textId="77777777" w:rsidTr="00A70754">
        <w:trPr>
          <w:trHeight w:val="113"/>
        </w:trPr>
        <w:tc>
          <w:tcPr>
            <w:tcW w:w="700" w:type="pct"/>
          </w:tcPr>
          <w:p w14:paraId="430BB7E7" w14:textId="77777777" w:rsidR="00A70754" w:rsidRPr="00A70754" w:rsidRDefault="00A70754" w:rsidP="00A70754">
            <w:pPr>
              <w:pStyle w:val="Normal-TableText"/>
            </w:pPr>
            <w:r w:rsidRPr="00A70754">
              <w:rPr>
                <w:szCs w:val="22"/>
              </w:rPr>
              <w:t>XML</w:t>
            </w:r>
          </w:p>
        </w:tc>
        <w:tc>
          <w:tcPr>
            <w:tcW w:w="4300" w:type="pct"/>
          </w:tcPr>
          <w:p w14:paraId="339AEF3D" w14:textId="77777777" w:rsidR="00A70754" w:rsidRPr="00A70754" w:rsidRDefault="00A70754" w:rsidP="00A70754">
            <w:pPr>
              <w:pStyle w:val="Normal-TableText"/>
            </w:pPr>
            <w:proofErr w:type="spellStart"/>
            <w:r w:rsidRPr="00A70754">
              <w:rPr>
                <w:szCs w:val="22"/>
              </w:rPr>
              <w:t>EXtensible</w:t>
            </w:r>
            <w:proofErr w:type="spellEnd"/>
            <w:r w:rsidRPr="00A70754">
              <w:rPr>
                <w:szCs w:val="22"/>
              </w:rPr>
              <w:t xml:space="preserve"> </w:t>
            </w:r>
            <w:proofErr w:type="spellStart"/>
            <w:r w:rsidRPr="00A70754">
              <w:rPr>
                <w:szCs w:val="22"/>
              </w:rPr>
              <w:t>Markup</w:t>
            </w:r>
            <w:proofErr w:type="spellEnd"/>
            <w:r w:rsidRPr="00A70754">
              <w:rPr>
                <w:szCs w:val="22"/>
              </w:rPr>
              <w:t xml:space="preserve"> Language</w:t>
            </w:r>
          </w:p>
        </w:tc>
      </w:tr>
    </w:tbl>
    <w:p w14:paraId="78BECFDB" w14:textId="77777777" w:rsidR="00A70754" w:rsidRDefault="00A70754" w:rsidP="00FF21DD"/>
    <w:p w14:paraId="4B3902BD" w14:textId="77777777" w:rsidR="00A70754" w:rsidRPr="006B3EA5" w:rsidRDefault="00A70754" w:rsidP="00FF21DD">
      <w:pPr>
        <w:pStyle w:val="Heading1"/>
      </w:pPr>
      <w:bookmarkStart w:id="3" w:name="_Toc430770896"/>
      <w:r w:rsidRPr="006B3EA5">
        <w:lastRenderedPageBreak/>
        <w:t>Executive summary</w:t>
      </w:r>
      <w:bookmarkEnd w:id="3"/>
    </w:p>
    <w:p w14:paraId="652AE200" w14:textId="77777777" w:rsidR="00A70754" w:rsidRPr="00BC1226" w:rsidRDefault="00A70754" w:rsidP="00FF21DD">
      <w:r w:rsidRPr="00BC1226">
        <w:t xml:space="preserve">The National </w:t>
      </w:r>
      <w:r w:rsidR="00BE178F">
        <w:t>e</w:t>
      </w:r>
      <w:r w:rsidR="00BE178F">
        <w:noBreakHyphen/>
      </w:r>
      <w:r w:rsidRPr="00BC1226">
        <w:t>Authentication Framework (</w:t>
      </w:r>
      <w:proofErr w:type="spellStart"/>
      <w:r w:rsidRPr="00BC1226">
        <w:t>NeAF</w:t>
      </w:r>
      <w:proofErr w:type="spellEnd"/>
      <w:r w:rsidRPr="00BC1226">
        <w:t>) replaces the Australian Government Authentication Framework for Business and Australian Government Authentication Framework for Individuals (AGAF</w:t>
      </w:r>
      <w:r w:rsidR="00E73112">
        <w:noBreakHyphen/>
      </w:r>
      <w:r w:rsidRPr="00BC1226">
        <w:t>B and AGAF-I).</w:t>
      </w:r>
      <w:r>
        <w:t xml:space="preserve"> </w:t>
      </w:r>
      <w:r w:rsidRPr="00BC1226">
        <w:t>It has been developed as a national framework, addressing the needs of Commonwealth, state, territory and local government agencies.</w:t>
      </w:r>
    </w:p>
    <w:p w14:paraId="392D15EF" w14:textId="77777777" w:rsidR="00A70754" w:rsidRPr="00BC1226" w:rsidRDefault="00A70754" w:rsidP="00FF21DD">
      <w:r w:rsidRPr="00BC1226">
        <w:t xml:space="preserve">The </w:t>
      </w:r>
      <w:proofErr w:type="spellStart"/>
      <w:r w:rsidRPr="00BC1226">
        <w:t>NeAF</w:t>
      </w:r>
      <w:proofErr w:type="spellEnd"/>
      <w:r w:rsidRPr="00BC1226">
        <w:t xml:space="preserve"> is a better practice framework intended to be adopted in a consistent manner by agencies, jurisdictions and sectors.</w:t>
      </w:r>
      <w:r>
        <w:t xml:space="preserve"> </w:t>
      </w:r>
      <w:r w:rsidRPr="00BC1226">
        <w:t xml:space="preserve">Consistent application of the principles and elements of the </w:t>
      </w:r>
      <w:proofErr w:type="spellStart"/>
      <w:r w:rsidRPr="00BC1226">
        <w:t>NeAF</w:t>
      </w:r>
      <w:proofErr w:type="spellEnd"/>
      <w:r w:rsidRPr="00BC1226">
        <w:t xml:space="preserve"> will facilitate the provision of fit-for-purpose authentication solutions thereby maximising the benefits both to agencies and the broader community.</w:t>
      </w:r>
    </w:p>
    <w:p w14:paraId="11AF35F0" w14:textId="77777777" w:rsidR="00A70754" w:rsidRPr="00BC1226" w:rsidRDefault="00A70754" w:rsidP="00FF21DD">
      <w:r w:rsidRPr="00BC1226">
        <w:t xml:space="preserve">In providing guidance on current and emerging models for the implementation of </w:t>
      </w:r>
      <w:r w:rsidR="00BE178F">
        <w:t>e</w:t>
      </w:r>
      <w:r w:rsidR="00BE178F">
        <w:noBreakHyphen/>
      </w:r>
      <w:r>
        <w:t>Authentication</w:t>
      </w:r>
      <w:r w:rsidRPr="00BC1226">
        <w:t xml:space="preserve"> across agencies, jurisdictions and sectors the </w:t>
      </w:r>
      <w:proofErr w:type="spellStart"/>
      <w:r w:rsidRPr="00BC1226">
        <w:t>NeAF</w:t>
      </w:r>
      <w:proofErr w:type="spellEnd"/>
      <w:r w:rsidRPr="00BC1226">
        <w:t xml:space="preserve"> supports the range of current initiatives to support connected government.</w:t>
      </w:r>
    </w:p>
    <w:p w14:paraId="09B4EFF0" w14:textId="77777777" w:rsidR="00A70754" w:rsidRPr="00BC1226" w:rsidRDefault="00A70754" w:rsidP="00FF21DD">
      <w:r w:rsidRPr="00BC1226">
        <w:t xml:space="preserve">The scope of </w:t>
      </w:r>
      <w:proofErr w:type="spellStart"/>
      <w:r w:rsidRPr="00BC1226">
        <w:t>NeAF</w:t>
      </w:r>
      <w:proofErr w:type="spellEnd"/>
      <w:r w:rsidRPr="00BC1226">
        <w:t xml:space="preserve"> covers two aspects of authentication:</w:t>
      </w:r>
    </w:p>
    <w:p w14:paraId="7D65830E" w14:textId="77777777" w:rsidR="00A70754" w:rsidRPr="00BC1226" w:rsidRDefault="00A70754" w:rsidP="00FF21DD">
      <w:pPr>
        <w:pStyle w:val="Bullet1"/>
      </w:pPr>
      <w:r w:rsidRPr="00BC1226">
        <w:t>electronic authentication of the identity of individuals and businesses</w:t>
      </w:r>
    </w:p>
    <w:p w14:paraId="3A61AB1E" w14:textId="77777777" w:rsidR="00A70754" w:rsidRPr="00BC1226" w:rsidRDefault="00A70754" w:rsidP="00FF21DD">
      <w:pPr>
        <w:pStyle w:val="Bullet1"/>
      </w:pPr>
      <w:r w:rsidRPr="00BC1226">
        <w:t>authentication of government websites.</w:t>
      </w:r>
    </w:p>
    <w:p w14:paraId="4FEE81A1" w14:textId="77777777" w:rsidR="00A70754" w:rsidRPr="00BC1226" w:rsidRDefault="00A70754" w:rsidP="00FF21DD">
      <w:r w:rsidRPr="00BC1226">
        <w:t xml:space="preserve">Central to the </w:t>
      </w:r>
      <w:proofErr w:type="spellStart"/>
      <w:r w:rsidRPr="00BC1226">
        <w:t>NeAF</w:t>
      </w:r>
      <w:proofErr w:type="spellEnd"/>
      <w:r w:rsidRPr="00BC1226">
        <w:t xml:space="preserve"> is the concept of assurance levels. An assurance level is determined through a comprehensive risk assessment process that determines the severity of the impact of getting </w:t>
      </w:r>
      <w:r w:rsidR="00BE178F">
        <w:t>e</w:t>
      </w:r>
      <w:r w:rsidR="00BE178F">
        <w:noBreakHyphen/>
      </w:r>
      <w:r>
        <w:t>Authentication</w:t>
      </w:r>
      <w:r w:rsidRPr="00BC1226">
        <w:t xml:space="preserve"> wrong.</w:t>
      </w:r>
      <w:r>
        <w:t xml:space="preserve"> </w:t>
      </w:r>
      <w:r w:rsidRPr="00BC1226">
        <w:t xml:space="preserve">While the </w:t>
      </w:r>
      <w:proofErr w:type="spellStart"/>
      <w:r w:rsidRPr="00BC1226">
        <w:t>NeAF</w:t>
      </w:r>
      <w:proofErr w:type="spellEnd"/>
      <w:r w:rsidRPr="00BC1226">
        <w:t xml:space="preserve"> notes that </w:t>
      </w:r>
      <w:r w:rsidR="00BE178F">
        <w:t>e</w:t>
      </w:r>
      <w:r w:rsidR="00BE178F">
        <w:noBreakHyphen/>
      </w:r>
      <w:r>
        <w:t>Authentication</w:t>
      </w:r>
      <w:r w:rsidRPr="00BC1226">
        <w:t xml:space="preserve"> is one of the possible risk mitigation solutions that can be adopted to address identity-related risks its focus is on answering the questions</w:t>
      </w:r>
      <w:r>
        <w:t xml:space="preserve"> </w:t>
      </w:r>
      <w:r w:rsidRPr="00BC1226">
        <w:t>“Do we have the correct party at the other end of the line?” and “Are they who they purport to be?”</w:t>
      </w:r>
    </w:p>
    <w:p w14:paraId="0BEFCE44" w14:textId="77777777" w:rsidR="00A70754" w:rsidRPr="00BC1226" w:rsidRDefault="00A70754" w:rsidP="00FF21DD">
      <w:bookmarkStart w:id="4" w:name="OLE_LINK1"/>
      <w:bookmarkStart w:id="5" w:name="OLE_LINK2"/>
      <w:r w:rsidRPr="00BC1226">
        <w:t xml:space="preserve">Implementation of </w:t>
      </w:r>
      <w:r w:rsidR="00BE178F">
        <w:t>e</w:t>
      </w:r>
      <w:r w:rsidR="00BE178F">
        <w:noBreakHyphen/>
      </w:r>
      <w:r>
        <w:t>Authentication</w:t>
      </w:r>
      <w:r w:rsidRPr="00BC1226">
        <w:t xml:space="preserve"> solutions does not occur in isolation from other strategies and policy frameworks (both agency specific and “whole of government”) including agency identity and access management strategies, information and knowledge management strategies, information security policies, privacy management policies and systems development lifecycles.</w:t>
      </w:r>
    </w:p>
    <w:p w14:paraId="09C8B2D7" w14:textId="77777777" w:rsidR="00A70754" w:rsidRPr="00BC1226" w:rsidRDefault="00A70754" w:rsidP="00FF21DD">
      <w:r w:rsidRPr="00BC1226">
        <w:t xml:space="preserve">To determine an agency’s assurance level and authentication requirements, the </w:t>
      </w:r>
      <w:proofErr w:type="spellStart"/>
      <w:r w:rsidRPr="00BC1226">
        <w:t>NeAF</w:t>
      </w:r>
      <w:proofErr w:type="spellEnd"/>
      <w:r w:rsidRPr="00BC1226">
        <w:t xml:space="preserve"> provides:</w:t>
      </w:r>
    </w:p>
    <w:p w14:paraId="7381950E" w14:textId="77777777" w:rsidR="00A70754" w:rsidRDefault="00A70754" w:rsidP="00FF21DD">
      <w:pPr>
        <w:pStyle w:val="Bullet1"/>
      </w:pPr>
      <w:r w:rsidRPr="00BC1226">
        <w:t>principles to be applied by agencies in determining and implementing</w:t>
      </w:r>
      <w:r>
        <w:t xml:space="preserve"> </w:t>
      </w:r>
      <w:r w:rsidR="00BE178F">
        <w:t>e</w:t>
      </w:r>
      <w:r w:rsidR="00BE178F">
        <w:noBreakHyphen/>
      </w:r>
      <w:r>
        <w:t>Authentication</w:t>
      </w:r>
      <w:r w:rsidRPr="00BC1226">
        <w:t xml:space="preserve"> approaches</w:t>
      </w:r>
    </w:p>
    <w:p w14:paraId="4D4027B5" w14:textId="77777777" w:rsidR="00A70754" w:rsidRPr="00BC1226" w:rsidRDefault="00A70754" w:rsidP="00FF21DD">
      <w:pPr>
        <w:pStyle w:val="Bullet1"/>
      </w:pPr>
      <w:r w:rsidRPr="00BC1226">
        <w:t xml:space="preserve">a standardised set of (five) </w:t>
      </w:r>
      <w:r w:rsidR="00BE178F">
        <w:t>e</w:t>
      </w:r>
      <w:r w:rsidR="00BE178F">
        <w:noBreakHyphen/>
      </w:r>
      <w:r>
        <w:t>Authentication</w:t>
      </w:r>
      <w:r w:rsidRPr="00BC1226">
        <w:t xml:space="preserve"> assurance levels and a recommended set of criteria for determining the level of assurance required for a particular </w:t>
      </w:r>
      <w:r w:rsidR="00BE178F">
        <w:t>e</w:t>
      </w:r>
      <w:r w:rsidR="00BE178F">
        <w:noBreakHyphen/>
      </w:r>
      <w:r w:rsidRPr="00BC1226">
        <w:t>transaction</w:t>
      </w:r>
    </w:p>
    <w:p w14:paraId="31401AB4" w14:textId="77777777" w:rsidR="00A70754" w:rsidRPr="00BC1226" w:rsidRDefault="00A70754" w:rsidP="00FF21DD">
      <w:pPr>
        <w:pStyle w:val="Bullet1"/>
      </w:pPr>
      <w:r w:rsidRPr="00BC1226">
        <w:t xml:space="preserve">a standardised approach to determining the </w:t>
      </w:r>
      <w:r w:rsidR="00BE178F">
        <w:t>e</w:t>
      </w:r>
      <w:r w:rsidR="00BE178F">
        <w:noBreakHyphen/>
      </w:r>
      <w:r>
        <w:t>Authentication</w:t>
      </w:r>
      <w:r w:rsidRPr="00BC1226">
        <w:t xml:space="preserve"> solution required to satisfy the </w:t>
      </w:r>
      <w:r w:rsidR="00BE178F">
        <w:t>e</w:t>
      </w:r>
      <w:r w:rsidR="00BE178F">
        <w:noBreakHyphen/>
      </w:r>
      <w:r>
        <w:t>Authentication</w:t>
      </w:r>
      <w:r w:rsidRPr="00BC1226">
        <w:t xml:space="preserve"> assurance level</w:t>
      </w:r>
    </w:p>
    <w:p w14:paraId="034D3DF7" w14:textId="77777777" w:rsidR="00A70754" w:rsidRPr="00BC1226" w:rsidRDefault="00A70754" w:rsidP="00053312">
      <w:pPr>
        <w:pStyle w:val="Bullet1"/>
      </w:pPr>
      <w:r w:rsidRPr="00BC1226">
        <w:t xml:space="preserve">a standardised approach to validating the </w:t>
      </w:r>
      <w:r w:rsidR="00BE178F">
        <w:t>e</w:t>
      </w:r>
      <w:r w:rsidR="00BE178F">
        <w:noBreakHyphen/>
      </w:r>
      <w:r>
        <w:t>Authentication</w:t>
      </w:r>
      <w:r w:rsidRPr="00BC1226">
        <w:t xml:space="preserve"> approach </w:t>
      </w:r>
      <w:bookmarkEnd w:id="4"/>
      <w:bookmarkEnd w:id="5"/>
      <w:r w:rsidRPr="00BC1226">
        <w:t>selected.</w:t>
      </w:r>
    </w:p>
    <w:p w14:paraId="454EE6A6" w14:textId="77777777" w:rsidR="00FF21DD" w:rsidRDefault="00FF21DD" w:rsidP="00FF21DD"/>
    <w:p w14:paraId="7EF357CD" w14:textId="77777777" w:rsidR="00A70754" w:rsidRPr="00FF21DD" w:rsidRDefault="00A70754" w:rsidP="00FF21DD">
      <w:pPr>
        <w:pStyle w:val="Heading1Numbered"/>
      </w:pPr>
      <w:bookmarkStart w:id="6" w:name="_Toc430770897"/>
      <w:r w:rsidRPr="00FF21DD">
        <w:lastRenderedPageBreak/>
        <w:t>Introduction</w:t>
      </w:r>
      <w:bookmarkEnd w:id="6"/>
    </w:p>
    <w:p w14:paraId="587C6116" w14:textId="77777777" w:rsidR="00A70754" w:rsidRPr="00FF21DD" w:rsidRDefault="00A70754" w:rsidP="00053312">
      <w:pPr>
        <w:pStyle w:val="Heading2"/>
      </w:pPr>
      <w:r w:rsidRPr="00FF21DD">
        <w:t>Vision</w:t>
      </w:r>
    </w:p>
    <w:p w14:paraId="36A56E85" w14:textId="77777777" w:rsidR="00A70754" w:rsidRPr="00160E61" w:rsidRDefault="00A70754" w:rsidP="00FF21DD">
      <w:pPr>
        <w:rPr>
          <w:spacing w:val="-4"/>
        </w:rPr>
      </w:pPr>
      <w:r w:rsidRPr="00160E61">
        <w:rPr>
          <w:spacing w:val="-4"/>
        </w:rPr>
        <w:t>A trusted electronic environment where the community can transact easily and securely with government.</w:t>
      </w:r>
    </w:p>
    <w:p w14:paraId="038DC2E1" w14:textId="77777777" w:rsidR="00A70754" w:rsidRDefault="00A70754" w:rsidP="00FF21DD">
      <w:pPr>
        <w:pStyle w:val="Heading2Numbered"/>
      </w:pPr>
      <w:bookmarkStart w:id="7" w:name="_Toc430770898"/>
      <w:r w:rsidRPr="006B3EA5">
        <w:t>Background</w:t>
      </w:r>
      <w:bookmarkEnd w:id="7"/>
    </w:p>
    <w:p w14:paraId="7079EE0E" w14:textId="77777777" w:rsidR="00A70754" w:rsidRDefault="00A70754" w:rsidP="00FF21DD">
      <w:r w:rsidRPr="00BC1226">
        <w:t>In</w:t>
      </w:r>
      <w:r>
        <w:t> 200</w:t>
      </w:r>
      <w:r w:rsidRPr="00BC1226">
        <w:t>3 the Australian Government developed and adopted the</w:t>
      </w:r>
      <w:r w:rsidRPr="001A34D1">
        <w:rPr>
          <w:rStyle w:val="Emphasis"/>
        </w:rPr>
        <w:t xml:space="preserve"> Australian Government </w:t>
      </w:r>
      <w:r w:rsidR="00BE178F">
        <w:rPr>
          <w:rStyle w:val="Emphasis"/>
        </w:rPr>
        <w:t>e</w:t>
      </w:r>
      <w:r w:rsidR="00BE178F">
        <w:rPr>
          <w:rStyle w:val="Emphasis"/>
        </w:rPr>
        <w:noBreakHyphen/>
      </w:r>
      <w:r w:rsidRPr="001A34D1">
        <w:rPr>
          <w:rStyle w:val="Emphasis"/>
        </w:rPr>
        <w:t>Authentication Framework</w:t>
      </w:r>
      <w:r w:rsidRPr="00BC1226">
        <w:t xml:space="preserve"> (AGAF).</w:t>
      </w:r>
      <w:r>
        <w:t xml:space="preserve"> </w:t>
      </w:r>
      <w:r w:rsidRPr="00BC1226">
        <w:t>The key drivers for the AGAF were the establishment of better practices to promote minimum standards of assurance for the growing range of online government transactions, and facilitating consistency in authentication approaches across agencies.</w:t>
      </w:r>
      <w:r>
        <w:t xml:space="preserve"> </w:t>
      </w:r>
      <w:r w:rsidRPr="00BC1226">
        <w:t xml:space="preserve">The latter was seen to offer the opportunity for greater levels of “sharing” of </w:t>
      </w:r>
      <w:r w:rsidR="00BE178F">
        <w:t>e</w:t>
      </w:r>
      <w:r w:rsidR="00BE178F">
        <w:noBreakHyphen/>
      </w:r>
      <w:r>
        <w:t>Authentication</w:t>
      </w:r>
      <w:r w:rsidRPr="00BC1226">
        <w:t xml:space="preserve"> elements (e.g. one or more of processes, infrastructure and / or credentials) across agencies and user bases.</w:t>
      </w:r>
    </w:p>
    <w:p w14:paraId="10AE7165" w14:textId="77777777" w:rsidR="00A70754" w:rsidRDefault="00A70754" w:rsidP="00FF21DD">
      <w:r w:rsidRPr="00BC1226">
        <w:t xml:space="preserve">The AGAF was initially applied within Australian Government agencies to their online dealings with </w:t>
      </w:r>
      <w:r w:rsidRPr="003326A8">
        <w:rPr>
          <w:rStyle w:val="Strong"/>
        </w:rPr>
        <w:t>business</w:t>
      </w:r>
      <w:r w:rsidRPr="00BC1226">
        <w:t>. It has also been adopted by most state and territory governments.</w:t>
      </w:r>
    </w:p>
    <w:p w14:paraId="0F40EF29" w14:textId="77777777" w:rsidR="00A70754" w:rsidRDefault="00A70754" w:rsidP="00FF21DD">
      <w:r w:rsidRPr="00BC1226">
        <w:t>During</w:t>
      </w:r>
      <w:r>
        <w:t> 200</w:t>
      </w:r>
      <w:r w:rsidRPr="00BC1226">
        <w:t xml:space="preserve">6 work was undertaken to make the AGAF suitable for use by governments in their electronic interactions with </w:t>
      </w:r>
      <w:r w:rsidRPr="003326A8">
        <w:rPr>
          <w:rStyle w:val="Strong"/>
        </w:rPr>
        <w:t>individuals</w:t>
      </w:r>
      <w:r w:rsidRPr="00BC1226">
        <w:t>.</w:t>
      </w:r>
      <w:r>
        <w:t xml:space="preserve"> </w:t>
      </w:r>
      <w:r w:rsidRPr="00BC1226">
        <w:t>This project also examined a range of additional matters, including website authentication and privacy-enhancing technologies.</w:t>
      </w:r>
    </w:p>
    <w:p w14:paraId="4923A59A" w14:textId="77777777" w:rsidR="00A70754" w:rsidRPr="00160E61" w:rsidRDefault="00A70754" w:rsidP="00FF21DD">
      <w:pPr>
        <w:rPr>
          <w:spacing w:val="-2"/>
        </w:rPr>
      </w:pPr>
      <w:r w:rsidRPr="00160E61">
        <w:rPr>
          <w:spacing w:val="-2"/>
        </w:rPr>
        <w:t xml:space="preserve">In June 2007, the Online and Communications Council (OCC) requested the development of the AGAF into a National </w:t>
      </w:r>
      <w:r w:rsidR="00BE178F" w:rsidRPr="00160E61">
        <w:rPr>
          <w:spacing w:val="-2"/>
        </w:rPr>
        <w:t>e</w:t>
      </w:r>
      <w:r w:rsidR="00BE178F" w:rsidRPr="00160E61">
        <w:rPr>
          <w:spacing w:val="-2"/>
        </w:rPr>
        <w:noBreakHyphen/>
      </w:r>
      <w:r w:rsidRPr="00160E61">
        <w:rPr>
          <w:spacing w:val="-2"/>
        </w:rPr>
        <w:t>Authentication Framework (</w:t>
      </w:r>
      <w:proofErr w:type="spellStart"/>
      <w:r w:rsidRPr="00160E61">
        <w:rPr>
          <w:spacing w:val="-2"/>
        </w:rPr>
        <w:t>NeAF</w:t>
      </w:r>
      <w:proofErr w:type="spellEnd"/>
      <w:r w:rsidRPr="00160E61">
        <w:rPr>
          <w:spacing w:val="-2"/>
        </w:rPr>
        <w:t xml:space="preserve">) to improve the consistency of approaches being taken by governments to electronic service delivery. </w:t>
      </w:r>
      <w:bookmarkStart w:id="8" w:name="OLE_LINK7"/>
      <w:bookmarkStart w:id="9" w:name="OLE_LINK8"/>
      <w:r w:rsidRPr="00160E61">
        <w:rPr>
          <w:spacing w:val="-2"/>
        </w:rPr>
        <w:t xml:space="preserve">While the </w:t>
      </w:r>
      <w:proofErr w:type="spellStart"/>
      <w:r w:rsidRPr="00160E61">
        <w:rPr>
          <w:spacing w:val="-2"/>
        </w:rPr>
        <w:t>NeAF</w:t>
      </w:r>
      <w:proofErr w:type="spellEnd"/>
      <w:r w:rsidRPr="00160E61">
        <w:rPr>
          <w:spacing w:val="-2"/>
        </w:rPr>
        <w:t xml:space="preserve"> is intended as a better practice framework, to be adopted – and where appropriate, customised – by agencies, jurisdictions and sectors, it is expected that all jurisdictions will comply with the principles that underpin its application.</w:t>
      </w:r>
    </w:p>
    <w:bookmarkEnd w:id="8"/>
    <w:bookmarkEnd w:id="9"/>
    <w:p w14:paraId="7794D723" w14:textId="77777777" w:rsidR="00A70754" w:rsidRPr="00BC1226" w:rsidRDefault="00A70754" w:rsidP="00FF21DD">
      <w:r w:rsidRPr="00BC1226">
        <w:t xml:space="preserve">The drivers for the development of the </w:t>
      </w:r>
      <w:proofErr w:type="spellStart"/>
      <w:r w:rsidRPr="00BC1226">
        <w:t>NeAF</w:t>
      </w:r>
      <w:proofErr w:type="spellEnd"/>
      <w:r w:rsidRPr="00BC1226">
        <w:t xml:space="preserve"> were to minimise duplication of effort and achieve consistency of </w:t>
      </w:r>
      <w:r w:rsidR="00BE178F">
        <w:t>e</w:t>
      </w:r>
      <w:r w:rsidR="00BE178F">
        <w:noBreakHyphen/>
      </w:r>
      <w:r>
        <w:t>Authentication</w:t>
      </w:r>
      <w:r w:rsidRPr="00BC1226">
        <w:t xml:space="preserve"> approaches across jurisdictional boundaries that in turn will maximise</w:t>
      </w:r>
      <w:r w:rsidR="00E73112">
        <w:t> </w:t>
      </w:r>
      <w:r w:rsidRPr="00BC1226">
        <w:t>the efficiency and effectiveness of electronic service delivery to the community across all</w:t>
      </w:r>
      <w:r w:rsidR="00E73112">
        <w:t> </w:t>
      </w:r>
      <w:r w:rsidRPr="00BC1226">
        <w:t>tiers of government.</w:t>
      </w:r>
    </w:p>
    <w:p w14:paraId="240E63E2" w14:textId="77777777" w:rsidR="00A70754" w:rsidRDefault="00A70754" w:rsidP="00FF21DD">
      <w:pPr>
        <w:pStyle w:val="Heading2Numbered"/>
      </w:pPr>
      <w:bookmarkStart w:id="10" w:name="_Toc430770899"/>
      <w:r w:rsidRPr="006B3EA5">
        <w:t>Objectives</w:t>
      </w:r>
      <w:bookmarkEnd w:id="10"/>
    </w:p>
    <w:p w14:paraId="571AACD7" w14:textId="77777777" w:rsidR="00A70754" w:rsidRDefault="00A70754" w:rsidP="00FF21DD">
      <w:r w:rsidRPr="00BC1226">
        <w:t xml:space="preserve">The objectives of the </w:t>
      </w:r>
      <w:proofErr w:type="spellStart"/>
      <w:r w:rsidRPr="00BC1226">
        <w:t>NeAF</w:t>
      </w:r>
      <w:proofErr w:type="spellEnd"/>
      <w:r w:rsidRPr="00BC1226">
        <w:t xml:space="preserve"> are to:</w:t>
      </w:r>
    </w:p>
    <w:p w14:paraId="3565A8D8" w14:textId="77777777" w:rsidR="00A70754" w:rsidRDefault="00A70754" w:rsidP="00FF21DD">
      <w:pPr>
        <w:pStyle w:val="Bullet1"/>
      </w:pPr>
      <w:r>
        <w:t>e</w:t>
      </w:r>
      <w:r w:rsidRPr="00BC1226">
        <w:t xml:space="preserve">nsure that </w:t>
      </w:r>
      <w:r w:rsidR="00BE178F">
        <w:t>e</w:t>
      </w:r>
      <w:r w:rsidR="00BE178F">
        <w:noBreakHyphen/>
      </w:r>
      <w:r>
        <w:t>Authentication</w:t>
      </w:r>
      <w:r w:rsidRPr="00BC1226">
        <w:t xml:space="preserve"> approaches are balanced between the underlying identity-related transaction risk and the need for ease of use and affordability</w:t>
      </w:r>
    </w:p>
    <w:p w14:paraId="180B4029" w14:textId="77777777" w:rsidR="00A70754" w:rsidRPr="00BC1226" w:rsidRDefault="00A70754" w:rsidP="00FF21DD">
      <w:pPr>
        <w:pStyle w:val="Bullet1"/>
      </w:pPr>
      <w:r>
        <w:t>e</w:t>
      </w:r>
      <w:r w:rsidRPr="00BC1226">
        <w:t>nhance community confidence in electronic dealings with government agencies</w:t>
      </w:r>
    </w:p>
    <w:p w14:paraId="02A928A2" w14:textId="77777777" w:rsidR="00A70754" w:rsidRPr="00BC1226" w:rsidRDefault="00A70754" w:rsidP="00FF21DD">
      <w:pPr>
        <w:pStyle w:val="Bullet1"/>
      </w:pPr>
      <w:r>
        <w:t>p</w:t>
      </w:r>
      <w:r w:rsidRPr="00BC1226">
        <w:t xml:space="preserve">rovide consistency in </w:t>
      </w:r>
      <w:r w:rsidR="00BE178F">
        <w:t>e</w:t>
      </w:r>
      <w:r w:rsidR="00BE178F">
        <w:noBreakHyphen/>
      </w:r>
      <w:r>
        <w:t>Authentication</w:t>
      </w:r>
      <w:r w:rsidRPr="00BC1226">
        <w:t xml:space="preserve"> approaches across agencies and jurisdictions to increase efficiency and enable</w:t>
      </w:r>
    </w:p>
    <w:p w14:paraId="2E888A1F" w14:textId="77777777" w:rsidR="00A70754" w:rsidRPr="00BC1226" w:rsidRDefault="00A70754" w:rsidP="00FF21DD">
      <w:pPr>
        <w:pStyle w:val="Bullet2"/>
      </w:pPr>
      <w:r w:rsidRPr="00BC1226">
        <w:t>r</w:t>
      </w:r>
      <w:r w:rsidR="00BE178F">
        <w:t>e</w:t>
      </w:r>
      <w:r w:rsidR="00BE178F">
        <w:noBreakHyphen/>
      </w:r>
      <w:r w:rsidRPr="00BC1226">
        <w:t>use of credentials by the community where appropriate</w:t>
      </w:r>
    </w:p>
    <w:p w14:paraId="472794BD" w14:textId="77777777" w:rsidR="00A70754" w:rsidRDefault="00A70754" w:rsidP="00FF21DD">
      <w:pPr>
        <w:pStyle w:val="Bullet2"/>
      </w:pPr>
      <w:r w:rsidRPr="00BC1226">
        <w:t>sharing of infrastructure and solutions by agencies</w:t>
      </w:r>
    </w:p>
    <w:p w14:paraId="54820075" w14:textId="77777777" w:rsidR="00A70754" w:rsidRPr="00BC1226" w:rsidRDefault="00A70754" w:rsidP="00FF21DD">
      <w:pPr>
        <w:pStyle w:val="Bullet2"/>
      </w:pPr>
      <w:r w:rsidRPr="00BC1226">
        <w:t>extensibility of authentication schemes</w:t>
      </w:r>
    </w:p>
    <w:p w14:paraId="1A5874A1" w14:textId="77777777" w:rsidR="00A70754" w:rsidRDefault="00A70754" w:rsidP="00FF21DD">
      <w:pPr>
        <w:pStyle w:val="Bullet2"/>
      </w:pPr>
      <w:r w:rsidRPr="00BC1226">
        <w:t>increased trust in authentication and registration mechanisms</w:t>
      </w:r>
    </w:p>
    <w:p w14:paraId="4E7EFC16" w14:textId="77777777" w:rsidR="00A70754" w:rsidRPr="00BC1226" w:rsidRDefault="00A70754" w:rsidP="00FF21DD">
      <w:pPr>
        <w:pStyle w:val="Bullet1"/>
      </w:pPr>
      <w:r>
        <w:t>p</w:t>
      </w:r>
      <w:r w:rsidRPr="00BC1226">
        <w:t xml:space="preserve">rovide agencies with the tools to determine when and what type of </w:t>
      </w:r>
      <w:r w:rsidR="00BE178F">
        <w:t>e</w:t>
      </w:r>
      <w:r w:rsidR="00BE178F">
        <w:noBreakHyphen/>
      </w:r>
      <w:r>
        <w:t>Authentication</w:t>
      </w:r>
      <w:r w:rsidRPr="00BC1226">
        <w:t xml:space="preserve"> is required</w:t>
      </w:r>
      <w:r>
        <w:t>;</w:t>
      </w:r>
      <w:r w:rsidR="00E73112">
        <w:t> </w:t>
      </w:r>
      <w:r>
        <w:t>and</w:t>
      </w:r>
    </w:p>
    <w:p w14:paraId="7899A949" w14:textId="77777777" w:rsidR="00A70754" w:rsidRPr="00BC1226" w:rsidRDefault="00A70754" w:rsidP="00FF21DD">
      <w:pPr>
        <w:pStyle w:val="Bullet1"/>
      </w:pPr>
      <w:r>
        <w:t>e</w:t>
      </w:r>
      <w:r w:rsidRPr="00BC1226">
        <w:t xml:space="preserve">nsure that due diligence is applied when determining </w:t>
      </w:r>
      <w:r w:rsidR="00BE178F">
        <w:t>e</w:t>
      </w:r>
      <w:r w:rsidR="00BE178F">
        <w:noBreakHyphen/>
      </w:r>
      <w:r>
        <w:t>Authentication</w:t>
      </w:r>
      <w:r w:rsidRPr="00BC1226">
        <w:t xml:space="preserve"> approaches.</w:t>
      </w:r>
    </w:p>
    <w:p w14:paraId="3A0058CB" w14:textId="77777777" w:rsidR="00A70754" w:rsidRDefault="00A70754" w:rsidP="00FF21DD">
      <w:pPr>
        <w:pStyle w:val="Heading2Numbered"/>
      </w:pPr>
      <w:bookmarkStart w:id="11" w:name="_Toc430770900"/>
      <w:r w:rsidRPr="006B3EA5">
        <w:lastRenderedPageBreak/>
        <w:t>Scope</w:t>
      </w:r>
      <w:bookmarkEnd w:id="11"/>
    </w:p>
    <w:p w14:paraId="3A5B4694" w14:textId="77777777" w:rsidR="00A70754" w:rsidRPr="006B3EA5" w:rsidRDefault="00A70754" w:rsidP="00FF21DD">
      <w:r w:rsidRPr="006B3EA5">
        <w:t xml:space="preserve">The </w:t>
      </w:r>
      <w:proofErr w:type="spellStart"/>
      <w:r w:rsidRPr="006B3EA5">
        <w:t>NeAF</w:t>
      </w:r>
      <w:proofErr w:type="spellEnd"/>
      <w:r w:rsidRPr="006B3EA5">
        <w:t xml:space="preserve"> focuses on:</w:t>
      </w:r>
    </w:p>
    <w:p w14:paraId="5AAF65A5" w14:textId="77777777" w:rsidR="00A70754" w:rsidRPr="006B3EA5" w:rsidRDefault="00A70754" w:rsidP="00FF21DD">
      <w:pPr>
        <w:pStyle w:val="Bullet1"/>
      </w:pPr>
      <w:r w:rsidRPr="006B3EA5">
        <w:t>electronic authentication of the identity of individuals and businesses including their agents or representatives; and</w:t>
      </w:r>
    </w:p>
    <w:p w14:paraId="15DB4888" w14:textId="77777777" w:rsidR="00A70754" w:rsidRPr="006B3EA5" w:rsidRDefault="00A70754" w:rsidP="00FF21DD">
      <w:pPr>
        <w:pStyle w:val="Bullet1"/>
      </w:pPr>
      <w:r w:rsidRPr="006B3EA5">
        <w:t>electronic authentication of government websites.</w:t>
      </w:r>
    </w:p>
    <w:p w14:paraId="187A37DD" w14:textId="77777777" w:rsidR="00A70754" w:rsidRPr="006B3EA5" w:rsidRDefault="00A70754" w:rsidP="00FF21DD">
      <w:r w:rsidRPr="006B3EA5">
        <w:t>Where appropriate it can be applied to:</w:t>
      </w:r>
    </w:p>
    <w:p w14:paraId="23BDE471" w14:textId="77777777" w:rsidR="00A70754" w:rsidRPr="006B3EA5" w:rsidRDefault="00A70754" w:rsidP="00FF21DD">
      <w:pPr>
        <w:pStyle w:val="Bullet1"/>
      </w:pPr>
      <w:r w:rsidRPr="006B3EA5">
        <w:t>electronic authentication of assertions other than identity</w:t>
      </w:r>
    </w:p>
    <w:p w14:paraId="46F17DA5" w14:textId="77777777" w:rsidR="00A70754" w:rsidRPr="006B3EA5" w:rsidRDefault="00A70754" w:rsidP="00FF21DD">
      <w:pPr>
        <w:pStyle w:val="Bullet1"/>
      </w:pPr>
      <w:r w:rsidRPr="006B3EA5">
        <w:t>electronic authentication of transactions, addressing integrity and non-repudiation requirements</w:t>
      </w:r>
    </w:p>
    <w:p w14:paraId="396DFE6E" w14:textId="77777777" w:rsidR="00A70754" w:rsidRDefault="00A70754" w:rsidP="00FF21DD">
      <w:pPr>
        <w:pStyle w:val="Bullet1"/>
      </w:pPr>
      <w:r w:rsidRPr="006B3EA5">
        <w:t>cross-organisational electronic authentication (e.g. between government agencies within or across jurisdictions, to include private and public sector initiatives)</w:t>
      </w:r>
    </w:p>
    <w:p w14:paraId="4BC6937C" w14:textId="77777777" w:rsidR="00A70754" w:rsidRPr="006B3EA5" w:rsidRDefault="00A70754" w:rsidP="00FF21DD">
      <w:pPr>
        <w:pStyle w:val="Bullet1"/>
      </w:pPr>
      <w:r w:rsidRPr="006B3EA5">
        <w:t>electronic authentication of non-human entities; and</w:t>
      </w:r>
    </w:p>
    <w:p w14:paraId="1C14C781" w14:textId="77777777" w:rsidR="00A70754" w:rsidRPr="006B3EA5" w:rsidRDefault="00A70754" w:rsidP="00FF21DD">
      <w:pPr>
        <w:pStyle w:val="Bullet1"/>
      </w:pPr>
      <w:r w:rsidRPr="006B3EA5">
        <w:t>electronic authentication of individuals to support physical access controls.</w:t>
      </w:r>
    </w:p>
    <w:p w14:paraId="64364FF7" w14:textId="77777777" w:rsidR="00A70754" w:rsidRPr="006B3EA5" w:rsidRDefault="00A70754" w:rsidP="00FF21DD">
      <w:pPr>
        <w:pStyle w:val="Heading2Numbered"/>
      </w:pPr>
      <w:bookmarkStart w:id="12" w:name="_Toc206064699"/>
      <w:bookmarkStart w:id="13" w:name="_Toc206065768"/>
      <w:bookmarkStart w:id="14" w:name="_Toc206065856"/>
      <w:bookmarkStart w:id="15" w:name="_Toc206065943"/>
      <w:bookmarkStart w:id="16" w:name="_Toc206064700"/>
      <w:bookmarkStart w:id="17" w:name="_Toc206065769"/>
      <w:bookmarkStart w:id="18" w:name="_Toc206065857"/>
      <w:bookmarkStart w:id="19" w:name="_Toc206065944"/>
      <w:bookmarkStart w:id="20" w:name="_Toc206064701"/>
      <w:bookmarkStart w:id="21" w:name="_Toc206065770"/>
      <w:bookmarkStart w:id="22" w:name="_Toc206065858"/>
      <w:bookmarkStart w:id="23" w:name="_Toc206065945"/>
      <w:bookmarkStart w:id="24" w:name="_Toc430770901"/>
      <w:bookmarkEnd w:id="12"/>
      <w:bookmarkEnd w:id="13"/>
      <w:bookmarkEnd w:id="14"/>
      <w:bookmarkEnd w:id="15"/>
      <w:bookmarkEnd w:id="16"/>
      <w:bookmarkEnd w:id="17"/>
      <w:bookmarkEnd w:id="18"/>
      <w:bookmarkEnd w:id="19"/>
      <w:bookmarkEnd w:id="20"/>
      <w:bookmarkEnd w:id="21"/>
      <w:bookmarkEnd w:id="22"/>
      <w:bookmarkEnd w:id="23"/>
      <w:r w:rsidRPr="006B3EA5">
        <w:t>Overview</w:t>
      </w:r>
      <w:bookmarkEnd w:id="24"/>
    </w:p>
    <w:p w14:paraId="12A6A81A" w14:textId="77777777" w:rsidR="00A70754" w:rsidRPr="00BC1226" w:rsidRDefault="00A70754" w:rsidP="00FF21DD">
      <w:r w:rsidRPr="006B3EA5">
        <w:t>The Australian Government, in its</w:t>
      </w:r>
      <w:r>
        <w:t> 200</w:t>
      </w:r>
      <w:r w:rsidRPr="001A34D1">
        <w:t>6</w:t>
      </w:r>
      <w:r w:rsidRPr="001A34D1">
        <w:rPr>
          <w:rStyle w:val="Emphasis"/>
        </w:rPr>
        <w:t xml:space="preserve"> </w:t>
      </w:r>
      <w:r w:rsidR="00BE178F">
        <w:rPr>
          <w:rStyle w:val="Emphasis"/>
        </w:rPr>
        <w:t>e</w:t>
      </w:r>
      <w:r w:rsidR="00BE178F">
        <w:rPr>
          <w:rStyle w:val="Emphasis"/>
        </w:rPr>
        <w:noBreakHyphen/>
      </w:r>
      <w:r w:rsidRPr="001A34D1">
        <w:rPr>
          <w:rStyle w:val="Emphasis"/>
        </w:rPr>
        <w:t>Government Strategy, Responsive Government: A</w:t>
      </w:r>
      <w:r w:rsidR="00B351D4" w:rsidRPr="001A34D1">
        <w:rPr>
          <w:rStyle w:val="Emphasis"/>
        </w:rPr>
        <w:t> </w:t>
      </w:r>
      <w:r w:rsidRPr="001A34D1">
        <w:rPr>
          <w:rStyle w:val="Emphasis"/>
        </w:rPr>
        <w:t>New Service Agenda (the Strategy)</w:t>
      </w:r>
      <w:r w:rsidRPr="001A34D1">
        <w:rPr>
          <w:rStyle w:val="FootnoteReference"/>
        </w:rPr>
        <w:t xml:space="preserve"> </w:t>
      </w:r>
      <w:r w:rsidRPr="00BC1226">
        <w:t>stated that:</w:t>
      </w:r>
    </w:p>
    <w:p w14:paraId="1E8B9A1B" w14:textId="77777777" w:rsidR="00A70754" w:rsidRPr="00BC1226" w:rsidRDefault="00A70754" w:rsidP="00FF21DD">
      <w:pPr>
        <w:pStyle w:val="NormalIndented"/>
      </w:pPr>
      <w:r w:rsidRPr="00BC1226">
        <w:rPr>
          <w:lang w:val="en"/>
        </w:rPr>
        <w:t>Through effective use of technology, the government will improve its structures and processes. Online, electronic and voic</w:t>
      </w:r>
      <w:r w:rsidR="00BE178F">
        <w:rPr>
          <w:lang w:val="en"/>
        </w:rPr>
        <w:t>e</w:t>
      </w:r>
      <w:r w:rsidR="00BE178F">
        <w:rPr>
          <w:lang w:val="en"/>
        </w:rPr>
        <w:noBreakHyphen/>
      </w:r>
      <w:r w:rsidRPr="00BC1226">
        <w:rPr>
          <w:lang w:val="en"/>
        </w:rPr>
        <w:t>based services will be fully integrated into government service delivery.</w:t>
      </w:r>
      <w:r>
        <w:rPr>
          <w:lang w:val="en"/>
        </w:rPr>
        <w:t xml:space="preserve"> </w:t>
      </w:r>
      <w:r w:rsidRPr="00BC1226">
        <w:rPr>
          <w:lang w:val="en"/>
        </w:rPr>
        <w:t>Electronic delivery will underpin all other delivery channels, ensuring a consistent base to all activities and providing consistent service no matter how government is approached.</w:t>
      </w:r>
      <w:r w:rsidRPr="001A34D1">
        <w:rPr>
          <w:rStyle w:val="FootnoteReference"/>
        </w:rPr>
        <w:footnoteReference w:id="1"/>
      </w:r>
    </w:p>
    <w:p w14:paraId="6CA3BB2C" w14:textId="77777777" w:rsidR="00A70754" w:rsidRPr="00BC1226" w:rsidRDefault="00A70754" w:rsidP="00FF21DD">
      <w:r w:rsidRPr="00BC1226">
        <w:t xml:space="preserve">The </w:t>
      </w:r>
      <w:proofErr w:type="spellStart"/>
      <w:r w:rsidRPr="00BC1226">
        <w:t>NeAF</w:t>
      </w:r>
      <w:proofErr w:type="spellEnd"/>
      <w:r w:rsidRPr="00BC1226">
        <w:t xml:space="preserve"> contributes to the achievement of the objectives of the Strategy by </w:t>
      </w:r>
      <w:r w:rsidRPr="00BC1226">
        <w:rPr>
          <w:lang w:val="en"/>
        </w:rPr>
        <w:t xml:space="preserve">facilitating a consistent approach by agencies across all tiers of government to the management of unacceptable identity-related risks </w:t>
      </w:r>
      <w:r w:rsidRPr="00BC1226">
        <w:t>for the purpose of facilitating secure and easy interaction with government.</w:t>
      </w:r>
      <w:r>
        <w:t xml:space="preserve"> </w:t>
      </w:r>
      <w:r w:rsidRPr="00BC1226">
        <w:t>It will guide agencies in determining:</w:t>
      </w:r>
    </w:p>
    <w:p w14:paraId="60507E1E" w14:textId="77777777" w:rsidR="00A70754" w:rsidRPr="00BC1226" w:rsidRDefault="00A70754" w:rsidP="00FF21DD">
      <w:pPr>
        <w:pStyle w:val="Bullet1"/>
      </w:pPr>
      <w:r w:rsidRPr="00BC1226">
        <w:t>the level of authentication required based on an assessment of the risk of interactions with their end users (</w:t>
      </w:r>
      <w:r>
        <w:t>i.e. businesses or individuals); and</w:t>
      </w:r>
    </w:p>
    <w:p w14:paraId="0B033DE9" w14:textId="77777777" w:rsidR="00A70754" w:rsidRPr="00BC1226" w:rsidRDefault="00A70754" w:rsidP="00FF21DD">
      <w:pPr>
        <w:pStyle w:val="Bullet1"/>
      </w:pPr>
      <w:r w:rsidRPr="00BC1226">
        <w:t>an electronic authentication-solution approach that will enable end users to build trust and confidence in electronic transactions with government.</w:t>
      </w:r>
    </w:p>
    <w:p w14:paraId="166AD489" w14:textId="77777777" w:rsidR="00A70754" w:rsidRDefault="00A70754" w:rsidP="00FF21DD">
      <w:r w:rsidRPr="00BC1226">
        <w:t xml:space="preserve">This document positions </w:t>
      </w:r>
      <w:r w:rsidR="00BE178F">
        <w:t>e</w:t>
      </w:r>
      <w:r w:rsidR="00BE178F">
        <w:noBreakHyphen/>
      </w:r>
      <w:r>
        <w:t>Authentication</w:t>
      </w:r>
      <w:r w:rsidRPr="00BC1226">
        <w:t xml:space="preserve"> within the broader identity and risk management context for agencies and describes the processes by which the </w:t>
      </w:r>
      <w:r w:rsidR="00BE178F">
        <w:t>e</w:t>
      </w:r>
      <w:r w:rsidR="00BE178F">
        <w:noBreakHyphen/>
      </w:r>
      <w:r>
        <w:t>Authentication</w:t>
      </w:r>
      <w:r w:rsidRPr="00BC1226">
        <w:t xml:space="preserve"> risk assessment is undertaken.</w:t>
      </w:r>
      <w:r>
        <w:t xml:space="preserve"> </w:t>
      </w:r>
      <w:r w:rsidRPr="00BC1226">
        <w:t>It provides sufficient detail for the reader to be informed of the range of issues to be addressed in each stage of the identity authentication process.</w:t>
      </w:r>
      <w:r>
        <w:t xml:space="preserve"> </w:t>
      </w:r>
      <w:r w:rsidRPr="00BC1226">
        <w:t>Mor</w:t>
      </w:r>
      <w:r w:rsidR="00BE178F">
        <w:t>e</w:t>
      </w:r>
      <w:r w:rsidR="00BE178F">
        <w:noBreakHyphen/>
      </w:r>
      <w:r w:rsidRPr="00BC1226">
        <w:t>detailed explanation of the processes involved and their application is contained in the Better Practice Guidelines.</w:t>
      </w:r>
    </w:p>
    <w:p w14:paraId="1B684AC9" w14:textId="77777777" w:rsidR="00A70754" w:rsidRPr="00BC1226" w:rsidRDefault="00A70754" w:rsidP="00FF21DD">
      <w:r w:rsidRPr="00BC1226">
        <w:t xml:space="preserve">The </w:t>
      </w:r>
      <w:proofErr w:type="spellStart"/>
      <w:r w:rsidRPr="00BC1226">
        <w:t>NeAF</w:t>
      </w:r>
      <w:proofErr w:type="spellEnd"/>
      <w:r w:rsidRPr="00BC1226">
        <w:t xml:space="preserve"> as a whole has a number of target audiences:</w:t>
      </w:r>
    </w:p>
    <w:p w14:paraId="0B09D1A5" w14:textId="77777777" w:rsidR="00A70754" w:rsidRPr="00BC1226" w:rsidRDefault="00A70754" w:rsidP="00FF21DD">
      <w:pPr>
        <w:pStyle w:val="Bullet1"/>
      </w:pPr>
      <w:r>
        <w:t>t</w:t>
      </w:r>
      <w:r w:rsidRPr="00BC1226">
        <w:t xml:space="preserve">he </w:t>
      </w:r>
      <w:r w:rsidRPr="003326A8">
        <w:rPr>
          <w:rStyle w:val="Strong"/>
        </w:rPr>
        <w:t>Management Summary</w:t>
      </w:r>
      <w:r w:rsidRPr="00BC1226">
        <w:t xml:space="preserve"> is directed to agency heads, chief executive officers</w:t>
      </w:r>
      <w:r>
        <w:t xml:space="preserve"> and chief information officers</w:t>
      </w:r>
    </w:p>
    <w:p w14:paraId="12BC6B81" w14:textId="77777777" w:rsidR="00A70754" w:rsidRPr="00BC1226" w:rsidRDefault="00A70754" w:rsidP="00FF21DD">
      <w:pPr>
        <w:pStyle w:val="Bullet1"/>
      </w:pPr>
      <w:r>
        <w:t>t</w:t>
      </w:r>
      <w:r w:rsidRPr="00BC1226">
        <w:t xml:space="preserve">he </w:t>
      </w:r>
      <w:proofErr w:type="spellStart"/>
      <w:r w:rsidRPr="00BC1226">
        <w:t>NeAF</w:t>
      </w:r>
      <w:proofErr w:type="spellEnd"/>
      <w:r>
        <w:t xml:space="preserve"> </w:t>
      </w:r>
      <w:r w:rsidRPr="00BC1226">
        <w:t>is directed primarily to Chief Technology Officers and business line and technical areas responsible for agency policy with respect to the development of online services (including privacy, information manag</w:t>
      </w:r>
      <w:r>
        <w:t>ement and information security); and</w:t>
      </w:r>
    </w:p>
    <w:p w14:paraId="6174EF0E" w14:textId="77777777" w:rsidR="00A70754" w:rsidRPr="00BC1226" w:rsidRDefault="00A70754" w:rsidP="00FF21DD">
      <w:pPr>
        <w:pStyle w:val="Bullet1"/>
      </w:pPr>
      <w:r>
        <w:lastRenderedPageBreak/>
        <w:t>t</w:t>
      </w:r>
      <w:r w:rsidRPr="00BC1226">
        <w:t xml:space="preserve">he </w:t>
      </w:r>
      <w:r w:rsidRPr="003326A8">
        <w:rPr>
          <w:rStyle w:val="Strong"/>
        </w:rPr>
        <w:t>Implementation Models and Better Practice Guidelines</w:t>
      </w:r>
      <w:r w:rsidRPr="003326A8">
        <w:t xml:space="preserve"> </w:t>
      </w:r>
      <w:r w:rsidRPr="00BC1226">
        <w:t>are targeted primarily at those responsible for the design, development and implementation of online government services, and external risk and security advisers engaged by agencies.</w:t>
      </w:r>
    </w:p>
    <w:p w14:paraId="5E03D8F5" w14:textId="77777777" w:rsidR="00A70754" w:rsidRPr="00BC1226" w:rsidRDefault="00A70754" w:rsidP="00FF21DD">
      <w:r w:rsidRPr="00BC1226">
        <w:t xml:space="preserve">In adopting the </w:t>
      </w:r>
      <w:proofErr w:type="spellStart"/>
      <w:r w:rsidRPr="00BC1226">
        <w:t>NeAF</w:t>
      </w:r>
      <w:proofErr w:type="spellEnd"/>
      <w:r w:rsidRPr="00BC1226">
        <w:t>, agencies should consider the following:</w:t>
      </w:r>
    </w:p>
    <w:p w14:paraId="54A705EB" w14:textId="77777777" w:rsidR="00A70754" w:rsidRPr="00BC1226" w:rsidRDefault="00A70754" w:rsidP="00FF21DD">
      <w:pPr>
        <w:pStyle w:val="Bullet1"/>
      </w:pPr>
      <w:r>
        <w:t>t</w:t>
      </w:r>
      <w:r w:rsidRPr="00BC1226">
        <w:t>he requirements of different client groups (in terms of the useability of authentication solutions and balancing the reduction of the red tape burden on both individuals and business) should be balanced against the importance of ensuring the appropriate level of iden</w:t>
      </w:r>
      <w:r>
        <w:t>tity assurance for transactions</w:t>
      </w:r>
    </w:p>
    <w:p w14:paraId="269AFD30" w14:textId="77777777" w:rsidR="00A70754" w:rsidRPr="00BC1226" w:rsidRDefault="00A70754" w:rsidP="00FF21DD">
      <w:pPr>
        <w:pStyle w:val="Bullet1"/>
      </w:pPr>
      <w:r>
        <w:t>id</w:t>
      </w:r>
      <w:r w:rsidRPr="00BC1226">
        <w:t xml:space="preserve">entity assurance is multi-dimensional, and selection of an appropriate </w:t>
      </w:r>
      <w:r w:rsidR="00BE178F">
        <w:t>e</w:t>
      </w:r>
      <w:r w:rsidR="00BE178F">
        <w:noBreakHyphen/>
      </w:r>
      <w:r>
        <w:t>Authentication</w:t>
      </w:r>
      <w:r w:rsidRPr="00BC1226">
        <w:t xml:space="preserve"> credential must be the outcome of a compre</w:t>
      </w:r>
      <w:r>
        <w:t>hensive risk assessment process</w:t>
      </w:r>
    </w:p>
    <w:p w14:paraId="22EFD4BC" w14:textId="77777777" w:rsidR="00A70754" w:rsidRPr="00BC1226" w:rsidRDefault="00A70754" w:rsidP="00FF21DD">
      <w:pPr>
        <w:pStyle w:val="Bullet1"/>
      </w:pPr>
      <w:r>
        <w:t>e</w:t>
      </w:r>
      <w:r w:rsidRPr="00BC1226">
        <w:t xml:space="preserve">ach </w:t>
      </w:r>
      <w:r w:rsidR="00BE178F">
        <w:t>e</w:t>
      </w:r>
      <w:r w:rsidR="00BE178F">
        <w:noBreakHyphen/>
      </w:r>
      <w:r>
        <w:t>Authentication</w:t>
      </w:r>
      <w:r w:rsidRPr="00BC1226">
        <w:t xml:space="preserve"> credential type has inherent strengths and weaknesses that should be assessed in the context of the overall risk assessment process </w:t>
      </w:r>
      <w:r>
        <w:t>for the particular transaction</w:t>
      </w:r>
    </w:p>
    <w:p w14:paraId="65C0EFE9" w14:textId="77777777" w:rsidR="00A70754" w:rsidRPr="00BC1226" w:rsidRDefault="00A70754" w:rsidP="00FF21DD">
      <w:pPr>
        <w:pStyle w:val="Bullet1"/>
      </w:pPr>
      <w:r>
        <w:t>a</w:t>
      </w:r>
      <w:r w:rsidRPr="00BC1226">
        <w:t xml:space="preserve">s </w:t>
      </w:r>
      <w:r w:rsidR="00BE178F">
        <w:t>e</w:t>
      </w:r>
      <w:r w:rsidR="00BE178F">
        <w:noBreakHyphen/>
      </w:r>
      <w:r>
        <w:t>Authentication</w:t>
      </w:r>
      <w:r w:rsidRPr="00BC1226">
        <w:t xml:space="preserve"> credentials function as only one element of an information security system, the</w:t>
      </w:r>
      <w:r w:rsidR="00E73112">
        <w:t> </w:t>
      </w:r>
      <w:r w:rsidRPr="00BC1226">
        <w:t>likelihood and consequence of identity-related risk should not be treated in isolation as their effectiveness is only as good as their implementation and th</w:t>
      </w:r>
      <w:r>
        <w:t>e associated business processes; and</w:t>
      </w:r>
    </w:p>
    <w:p w14:paraId="35C09FA7" w14:textId="77777777" w:rsidR="00A70754" w:rsidRPr="00BC1226" w:rsidRDefault="00A70754" w:rsidP="00FF21DD">
      <w:pPr>
        <w:pStyle w:val="Bullet1"/>
      </w:pPr>
      <w:r>
        <w:t>a</w:t>
      </w:r>
      <w:r w:rsidRPr="00BC1226">
        <w:t>gencies shall reference authoritative policy documents such as the Australian Government Protective Security Manual (PSM) and the Australian Government ICT Security Manual (ISM) for the Commonwealth, and relevant security policies that apply in states and territories.</w:t>
      </w:r>
      <w:r>
        <w:t xml:space="preserve"> </w:t>
      </w:r>
      <w:r w:rsidRPr="00BC1226">
        <w:t xml:space="preserve">This </w:t>
      </w:r>
      <w:proofErr w:type="spellStart"/>
      <w:r w:rsidRPr="00BC1226">
        <w:t>NeAF</w:t>
      </w:r>
      <w:proofErr w:type="spellEnd"/>
      <w:r w:rsidRPr="00BC1226">
        <w:t xml:space="preserve"> does not replace these policies.</w:t>
      </w:r>
    </w:p>
    <w:p w14:paraId="39B9939F" w14:textId="77777777" w:rsidR="00A70754" w:rsidRDefault="00A70754" w:rsidP="00FF21DD">
      <w:pPr>
        <w:pStyle w:val="Heading2Numbered"/>
      </w:pPr>
      <w:bookmarkStart w:id="25" w:name="_Toc206064703"/>
      <w:bookmarkStart w:id="26" w:name="_Toc206065772"/>
      <w:bookmarkStart w:id="27" w:name="_Toc206065860"/>
      <w:bookmarkStart w:id="28" w:name="_Toc206065947"/>
      <w:bookmarkStart w:id="29" w:name="_Toc206064704"/>
      <w:bookmarkStart w:id="30" w:name="_Toc206065773"/>
      <w:bookmarkStart w:id="31" w:name="_Toc206065861"/>
      <w:bookmarkStart w:id="32" w:name="_Toc206065948"/>
      <w:bookmarkStart w:id="33" w:name="_Toc206064705"/>
      <w:bookmarkStart w:id="34" w:name="_Toc206065774"/>
      <w:bookmarkStart w:id="35" w:name="_Toc206065862"/>
      <w:bookmarkStart w:id="36" w:name="_Toc206065949"/>
      <w:bookmarkStart w:id="37" w:name="_Toc206064709"/>
      <w:bookmarkStart w:id="38" w:name="_Toc206065778"/>
      <w:bookmarkStart w:id="39" w:name="_Toc206065866"/>
      <w:bookmarkStart w:id="40" w:name="_Toc206065953"/>
      <w:bookmarkStart w:id="41" w:name="_Toc206064710"/>
      <w:bookmarkStart w:id="42" w:name="_Toc206065779"/>
      <w:bookmarkStart w:id="43" w:name="_Toc206065867"/>
      <w:bookmarkStart w:id="44" w:name="_Toc206065954"/>
      <w:bookmarkStart w:id="45" w:name="_Toc206064712"/>
      <w:bookmarkStart w:id="46" w:name="_Toc206065781"/>
      <w:bookmarkStart w:id="47" w:name="_Toc206065869"/>
      <w:bookmarkStart w:id="48" w:name="_Toc206065956"/>
      <w:bookmarkStart w:id="49" w:name="_Toc206064713"/>
      <w:bookmarkStart w:id="50" w:name="_Toc206065782"/>
      <w:bookmarkStart w:id="51" w:name="_Toc206065870"/>
      <w:bookmarkStart w:id="52" w:name="_Toc206065957"/>
      <w:bookmarkStart w:id="53" w:name="_Toc206064714"/>
      <w:bookmarkStart w:id="54" w:name="_Toc206065783"/>
      <w:bookmarkStart w:id="55" w:name="_Toc206065871"/>
      <w:bookmarkStart w:id="56" w:name="_Toc206065958"/>
      <w:bookmarkStart w:id="57" w:name="_Toc206064716"/>
      <w:bookmarkStart w:id="58" w:name="_Toc206065785"/>
      <w:bookmarkStart w:id="59" w:name="_Toc206065873"/>
      <w:bookmarkStart w:id="60" w:name="_Toc206065960"/>
      <w:bookmarkStart w:id="61" w:name="_Toc206064717"/>
      <w:bookmarkStart w:id="62" w:name="_Toc206065786"/>
      <w:bookmarkStart w:id="63" w:name="_Toc206065874"/>
      <w:bookmarkStart w:id="64" w:name="_Toc206065961"/>
      <w:bookmarkStart w:id="65" w:name="_Toc43077090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714FD">
        <w:t xml:space="preserve">What is </w:t>
      </w:r>
      <w:r w:rsidR="00BE178F">
        <w:t>e</w:t>
      </w:r>
      <w:r w:rsidR="00BE178F">
        <w:noBreakHyphen/>
      </w:r>
      <w:r w:rsidRPr="004714FD">
        <w:t>Authentication?</w:t>
      </w:r>
      <w:bookmarkEnd w:id="65"/>
    </w:p>
    <w:p w14:paraId="1F611F51" w14:textId="77777777" w:rsidR="00A70754" w:rsidRPr="00BC1226" w:rsidRDefault="00A70754" w:rsidP="00FF21DD">
      <w:r w:rsidRPr="00BC1226">
        <w:rPr>
          <w:lang w:val="en"/>
        </w:rPr>
        <w:t>Electronic authentication (or “</w:t>
      </w:r>
      <w:r w:rsidR="00BE178F">
        <w:rPr>
          <w:lang w:val="en"/>
        </w:rPr>
        <w:t>e</w:t>
      </w:r>
      <w:r w:rsidR="00BE178F">
        <w:rPr>
          <w:lang w:val="en"/>
        </w:rPr>
        <w:noBreakHyphen/>
      </w:r>
      <w:r>
        <w:rPr>
          <w:lang w:val="en"/>
        </w:rPr>
        <w:t>A</w:t>
      </w:r>
      <w:r w:rsidRPr="00BC1226">
        <w:rPr>
          <w:lang w:val="en"/>
        </w:rPr>
        <w:t>uthentication”) is the process of determining the degree of confidence that can be placed in assertions that a user or identity is who and/or what they purport to be.</w:t>
      </w:r>
      <w:r>
        <w:rPr>
          <w:lang w:val="en"/>
        </w:rPr>
        <w:t xml:space="preserve"> </w:t>
      </w:r>
      <w:r w:rsidRPr="00BC1226">
        <w:t xml:space="preserve">Assertions include identity, role, delegation and value. The National </w:t>
      </w:r>
      <w:r w:rsidR="00BE178F">
        <w:t>e</w:t>
      </w:r>
      <w:r w:rsidR="00BE178F">
        <w:noBreakHyphen/>
      </w:r>
      <w:r w:rsidRPr="00BC1226">
        <w:t>Authentication Framework (</w:t>
      </w:r>
      <w:proofErr w:type="spellStart"/>
      <w:r w:rsidRPr="00BC1226">
        <w:t>NeAF</w:t>
      </w:r>
      <w:proofErr w:type="spellEnd"/>
      <w:r w:rsidRPr="00BC1226">
        <w:t>) is primarily concerned with the electronic authentication of identity.</w:t>
      </w:r>
    </w:p>
    <w:p w14:paraId="6BFB371F" w14:textId="77777777" w:rsidR="00A70754" w:rsidRPr="00BC1226" w:rsidRDefault="00A70754" w:rsidP="00FF21DD">
      <w:r w:rsidRPr="00BC1226">
        <w:t>Electronic transactions are considered to be across a number of channels, including:</w:t>
      </w:r>
    </w:p>
    <w:p w14:paraId="1F7E9228" w14:textId="77777777" w:rsidR="00A70754" w:rsidRDefault="00A70754" w:rsidP="00FF21DD">
      <w:pPr>
        <w:pStyle w:val="Bullet1"/>
      </w:pPr>
      <w:r w:rsidRPr="00BC1226">
        <w:t>internet or web-based</w:t>
      </w:r>
    </w:p>
    <w:p w14:paraId="55B9BF9A" w14:textId="77777777" w:rsidR="00A70754" w:rsidRPr="00BC1226" w:rsidRDefault="00A70754" w:rsidP="00FF21DD">
      <w:pPr>
        <w:pStyle w:val="Bullet1"/>
      </w:pPr>
      <w:r w:rsidRPr="00BC1226">
        <w:t>telephone IVR</w:t>
      </w:r>
      <w:r>
        <w:t>; and</w:t>
      </w:r>
    </w:p>
    <w:p w14:paraId="51F86431" w14:textId="77777777" w:rsidR="00A70754" w:rsidRPr="00BC1226" w:rsidRDefault="00A70754" w:rsidP="00FF21DD">
      <w:pPr>
        <w:pStyle w:val="Bullet1"/>
      </w:pPr>
      <w:r w:rsidRPr="00BC1226">
        <w:t>facsimile transmissions.</w:t>
      </w:r>
    </w:p>
    <w:p w14:paraId="41287F32" w14:textId="77777777" w:rsidR="00A70754" w:rsidRDefault="00BE178F" w:rsidP="00FF21DD">
      <w:pPr>
        <w:rPr>
          <w:lang w:val="en"/>
        </w:rPr>
      </w:pPr>
      <w:r>
        <w:rPr>
          <w:lang w:val="en"/>
        </w:rPr>
        <w:t>e</w:t>
      </w:r>
      <w:r>
        <w:rPr>
          <w:lang w:val="en"/>
        </w:rPr>
        <w:noBreakHyphen/>
      </w:r>
      <w:r w:rsidR="00A70754">
        <w:rPr>
          <w:lang w:val="en"/>
        </w:rPr>
        <w:t>A</w:t>
      </w:r>
      <w:r w:rsidR="00A70754" w:rsidRPr="00BC1226">
        <w:rPr>
          <w:lang w:val="en"/>
        </w:rPr>
        <w:t>uthentication is accomplished using something the user knows (e.g. password, secret questions and answers), something the user has (e.g. security token) or something the user is (e.g. biometric), or a combination of these.</w:t>
      </w:r>
    </w:p>
    <w:p w14:paraId="49A4815F" w14:textId="77777777" w:rsidR="00A70754" w:rsidRDefault="00A70754" w:rsidP="00FF21DD">
      <w:pPr>
        <w:rPr>
          <w:lang w:val="en"/>
        </w:rPr>
      </w:pPr>
      <w:r w:rsidRPr="00BC1226">
        <w:t>Determining t</w:t>
      </w:r>
      <w:r w:rsidRPr="00BC1226">
        <w:rPr>
          <w:lang w:val="en"/>
        </w:rPr>
        <w:t>he appropriate authentication approach requires that a balance is struck between the level of risk that is acceptable and the desired user experience.</w:t>
      </w:r>
      <w:r>
        <w:rPr>
          <w:lang w:val="en"/>
        </w:rPr>
        <w:t xml:space="preserve"> </w:t>
      </w:r>
      <w:r w:rsidRPr="00BC1226">
        <w:rPr>
          <w:lang w:val="en"/>
        </w:rPr>
        <w:t>High-risk systems, applications and information require stronger forms of authentication that more accurately confirms the user's digital identity as being who they claim to be, as opposed to a low-risk application where the confirmation of the digital identity is not as important from a risk perspective.</w:t>
      </w:r>
    </w:p>
    <w:p w14:paraId="4703FC0B" w14:textId="77777777" w:rsidR="00A70754" w:rsidRDefault="00A70754" w:rsidP="00FF21DD">
      <w:pPr>
        <w:rPr>
          <w:lang w:val="en"/>
        </w:rPr>
      </w:pPr>
      <w:r w:rsidRPr="00BC1226">
        <w:rPr>
          <w:lang w:val="en"/>
        </w:rPr>
        <w:t xml:space="preserve">Authentication is not the same as </w:t>
      </w:r>
      <w:proofErr w:type="spellStart"/>
      <w:r w:rsidRPr="00BC1226">
        <w:rPr>
          <w:lang w:val="en"/>
        </w:rPr>
        <w:t>authorisation</w:t>
      </w:r>
      <w:proofErr w:type="spellEnd"/>
      <w:r w:rsidRPr="00BC1226">
        <w:rPr>
          <w:lang w:val="en"/>
        </w:rPr>
        <w:t>, which addresses the permissions or privileges granted to an end user to access particular systems, receive particular services or lodge particular reports etc.</w:t>
      </w:r>
      <w:r>
        <w:rPr>
          <w:lang w:val="en"/>
        </w:rPr>
        <w:t xml:space="preserve"> </w:t>
      </w:r>
      <w:r w:rsidRPr="00BC1226">
        <w:rPr>
          <w:lang w:val="en"/>
        </w:rPr>
        <w:t xml:space="preserve">The issue of </w:t>
      </w:r>
      <w:proofErr w:type="spellStart"/>
      <w:r w:rsidRPr="00BC1226">
        <w:rPr>
          <w:lang w:val="en"/>
        </w:rPr>
        <w:t>authorisation</w:t>
      </w:r>
      <w:proofErr w:type="spellEnd"/>
      <w:r w:rsidRPr="00BC1226">
        <w:rPr>
          <w:lang w:val="en"/>
        </w:rPr>
        <w:t xml:space="preserve"> is not addressed in the </w:t>
      </w:r>
      <w:proofErr w:type="spellStart"/>
      <w:r w:rsidRPr="00BC1226">
        <w:rPr>
          <w:lang w:val="en"/>
        </w:rPr>
        <w:t>NeAF</w:t>
      </w:r>
      <w:proofErr w:type="spellEnd"/>
      <w:r w:rsidRPr="00BC1226">
        <w:rPr>
          <w:lang w:val="en"/>
        </w:rPr>
        <w:t>.</w:t>
      </w:r>
    </w:p>
    <w:p w14:paraId="7EE9065D" w14:textId="77777777" w:rsidR="00A70754" w:rsidRDefault="00BE178F" w:rsidP="00FF21DD">
      <w:pPr>
        <w:rPr>
          <w:lang w:val="en"/>
        </w:rPr>
      </w:pPr>
      <w:r>
        <w:rPr>
          <w:lang w:val="en"/>
        </w:rPr>
        <w:t>e</w:t>
      </w:r>
      <w:r>
        <w:rPr>
          <w:lang w:val="en"/>
        </w:rPr>
        <w:noBreakHyphen/>
      </w:r>
      <w:r w:rsidR="00A70754" w:rsidRPr="00BC1226">
        <w:rPr>
          <w:lang w:val="en"/>
        </w:rPr>
        <w:t xml:space="preserve">Authentication is part of the broader identity and access management systems as shown in </w:t>
      </w:r>
      <w:r w:rsidR="00C3702B">
        <w:rPr>
          <w:lang w:val="en"/>
        </w:rPr>
        <w:fldChar w:fldCharType="begin" w:fldLock="1"/>
      </w:r>
      <w:r w:rsidR="00C3702B">
        <w:rPr>
          <w:lang w:val="en"/>
        </w:rPr>
        <w:instrText xml:space="preserve"> REF _Ref430782208 \h </w:instrText>
      </w:r>
      <w:r w:rsidR="00C3702B">
        <w:rPr>
          <w:lang w:val="en"/>
        </w:rPr>
      </w:r>
      <w:r w:rsidR="00C3702B">
        <w:rPr>
          <w:lang w:val="en"/>
        </w:rPr>
        <w:fldChar w:fldCharType="separate"/>
      </w:r>
      <w:r w:rsidR="00933C42" w:rsidRPr="00FF21DD">
        <w:t xml:space="preserve">Figure </w:t>
      </w:r>
      <w:r w:rsidR="00933C42">
        <w:rPr>
          <w:noProof/>
        </w:rPr>
        <w:t>1</w:t>
      </w:r>
      <w:r w:rsidR="00C3702B">
        <w:rPr>
          <w:lang w:val="en"/>
        </w:rPr>
        <w:fldChar w:fldCharType="end"/>
      </w:r>
      <w:r w:rsidR="00C3702B">
        <w:rPr>
          <w:lang w:val="en"/>
        </w:rPr>
        <w:t xml:space="preserve"> </w:t>
      </w:r>
      <w:r w:rsidR="00A70754" w:rsidRPr="00BC1226">
        <w:rPr>
          <w:lang w:val="en"/>
        </w:rPr>
        <w:t>below.</w:t>
      </w:r>
    </w:p>
    <w:p w14:paraId="4CA60BDB" w14:textId="6AD776B3" w:rsidR="00A70754" w:rsidRPr="00FF21DD" w:rsidRDefault="00A70754" w:rsidP="00A70754">
      <w:pPr>
        <w:pStyle w:val="Caption"/>
      </w:pPr>
      <w:bookmarkStart w:id="66" w:name="_Ref430782208"/>
      <w:bookmarkStart w:id="67" w:name="_Toc205539558"/>
      <w:bookmarkStart w:id="68" w:name="_Toc216683418"/>
      <w:bookmarkStart w:id="69" w:name="_Toc430770943"/>
      <w:r w:rsidRPr="00FF21DD">
        <w:lastRenderedPageBreak/>
        <w:t xml:space="preserve">Figure </w:t>
      </w:r>
      <w:fldSimple w:instr=" SEQ Figure \* ARABIC " w:fldLock="1">
        <w:r w:rsidR="00933C42">
          <w:rPr>
            <w:noProof/>
          </w:rPr>
          <w:t>1</w:t>
        </w:r>
      </w:fldSimple>
      <w:bookmarkEnd w:id="66"/>
      <w:r w:rsidRPr="00FF21DD">
        <w:t>: Identity and Access Management lifecycle</w:t>
      </w:r>
      <w:bookmarkEnd w:id="67"/>
      <w:bookmarkEnd w:id="68"/>
      <w:bookmarkEnd w:id="69"/>
    </w:p>
    <w:p w14:paraId="1921A3F5" w14:textId="77777777" w:rsidR="00A70754" w:rsidRDefault="00A70754" w:rsidP="00FF21DD">
      <w:pPr>
        <w:jc w:val="center"/>
      </w:pPr>
      <w:r>
        <w:rPr>
          <w:noProof/>
          <w:lang w:eastAsia="en-AU"/>
        </w:rPr>
        <w:drawing>
          <wp:inline distT="0" distB="0" distL="0" distR="0" wp14:anchorId="62EAE447" wp14:editId="68445D52">
            <wp:extent cx="5649238" cy="2607432"/>
            <wp:effectExtent l="0" t="0" r="8890" b="2540"/>
            <wp:docPr id="10" name="Picture 10" descr="The figure shows that an e-Authentication system can contain steps such as:&#10;&#10;* Identity or entitlement checking &#10;* Registration for an e-Authentication credential&#10;* De-registration for an e-Authentication credential&#10;* Enrolment for an online service&#10;* Transacting&#10;* Authentication and Access Authoris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he figure shows that an e-Authentication system can contain steps such as:&#10;&#10;* Identity or entitlement checking &#10;* Registration for an e-Authentication credential&#10;* De-registration for an e-Authentication credential&#10;* Enrolment for an online service&#10;* Transacting&#10;* Authentication and Access Authorisation&#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0352" cy="2612562"/>
                    </a:xfrm>
                    <a:prstGeom prst="rect">
                      <a:avLst/>
                    </a:prstGeom>
                    <a:noFill/>
                    <a:ln>
                      <a:noFill/>
                    </a:ln>
                  </pic:spPr>
                </pic:pic>
              </a:graphicData>
            </a:graphic>
          </wp:inline>
        </w:drawing>
      </w:r>
    </w:p>
    <w:p w14:paraId="3A9BA7D9" w14:textId="77777777" w:rsidR="00A70754" w:rsidRDefault="00A70754" w:rsidP="00FF21DD">
      <w:pPr>
        <w:pStyle w:val="Heading2Numbered"/>
        <w:rPr>
          <w:iCs/>
        </w:rPr>
      </w:pPr>
      <w:bookmarkStart w:id="70" w:name="_Toc206064719"/>
      <w:bookmarkStart w:id="71" w:name="_Toc206065788"/>
      <w:bookmarkStart w:id="72" w:name="_Toc206065876"/>
      <w:bookmarkStart w:id="73" w:name="_Toc206065963"/>
      <w:bookmarkStart w:id="74" w:name="_Toc206064720"/>
      <w:bookmarkStart w:id="75" w:name="_Toc206065789"/>
      <w:bookmarkStart w:id="76" w:name="_Toc206065877"/>
      <w:bookmarkStart w:id="77" w:name="_Toc206065964"/>
      <w:bookmarkStart w:id="78" w:name="_Toc206064721"/>
      <w:bookmarkStart w:id="79" w:name="_Toc206065790"/>
      <w:bookmarkStart w:id="80" w:name="_Toc206065878"/>
      <w:bookmarkStart w:id="81" w:name="_Toc206065965"/>
      <w:bookmarkStart w:id="82" w:name="_Toc206064722"/>
      <w:bookmarkStart w:id="83" w:name="_Toc206065791"/>
      <w:bookmarkStart w:id="84" w:name="_Toc206065879"/>
      <w:bookmarkStart w:id="85" w:name="_Toc206065966"/>
      <w:bookmarkStart w:id="86" w:name="_Toc206064724"/>
      <w:bookmarkStart w:id="87" w:name="_Toc206065793"/>
      <w:bookmarkStart w:id="88" w:name="_Toc206065881"/>
      <w:bookmarkStart w:id="89" w:name="_Toc206065968"/>
      <w:bookmarkStart w:id="90" w:name="_Toc206064725"/>
      <w:bookmarkStart w:id="91" w:name="_Toc206065794"/>
      <w:bookmarkStart w:id="92" w:name="_Toc206065882"/>
      <w:bookmarkStart w:id="93" w:name="_Toc206065969"/>
      <w:bookmarkStart w:id="94" w:name="_Toc206064726"/>
      <w:bookmarkStart w:id="95" w:name="_Toc206065795"/>
      <w:bookmarkStart w:id="96" w:name="_Toc206065883"/>
      <w:bookmarkStart w:id="97" w:name="_Toc206065970"/>
      <w:bookmarkStart w:id="98" w:name="_Toc206064732"/>
      <w:bookmarkStart w:id="99" w:name="_Toc206065801"/>
      <w:bookmarkStart w:id="100" w:name="_Toc206065889"/>
      <w:bookmarkStart w:id="101" w:name="_Toc206065976"/>
      <w:bookmarkStart w:id="102" w:name="_Toc43077090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4714FD">
        <w:t>Structure</w:t>
      </w:r>
      <w:bookmarkEnd w:id="102"/>
    </w:p>
    <w:p w14:paraId="0083125E" w14:textId="77777777" w:rsidR="00A70754" w:rsidRPr="003326A8" w:rsidRDefault="00A70754" w:rsidP="00FF21DD">
      <w:pPr>
        <w:rPr>
          <w:rStyle w:val="Strong"/>
        </w:rPr>
      </w:pPr>
      <w:r w:rsidRPr="004714FD">
        <w:t>The NeAF consists of this document and associated guidelines as well as the supporting standards and procedures that provide guidance in their implementation.</w:t>
      </w:r>
    </w:p>
    <w:p w14:paraId="3F644E28" w14:textId="005223A4" w:rsidR="00A70754" w:rsidRPr="00D43351" w:rsidRDefault="00A70754" w:rsidP="00A70754">
      <w:pPr>
        <w:pStyle w:val="Caption"/>
      </w:pPr>
      <w:bookmarkStart w:id="103" w:name="_Toc205539559"/>
      <w:bookmarkStart w:id="104" w:name="_Toc430770944"/>
      <w:r w:rsidRPr="00D43351">
        <w:t xml:space="preserve">Figure </w:t>
      </w:r>
      <w:fldSimple w:instr=" SEQ Figure \* ARABIC " w:fldLock="1">
        <w:r w:rsidR="00933C42">
          <w:rPr>
            <w:noProof/>
          </w:rPr>
          <w:t>2</w:t>
        </w:r>
      </w:fldSimple>
      <w:r w:rsidRPr="00D43351">
        <w:t>: NeAF structure</w:t>
      </w:r>
      <w:bookmarkEnd w:id="103"/>
      <w:bookmarkEnd w:id="104"/>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22"/>
        <w:gridCol w:w="6938"/>
      </w:tblGrid>
      <w:tr w:rsidR="00FF21DD" w:rsidRPr="00FF21DD" w14:paraId="724CCB22" w14:textId="77777777" w:rsidTr="002B0A2B">
        <w:trPr>
          <w:cnfStyle w:val="100000000000" w:firstRow="1" w:lastRow="0" w:firstColumn="0" w:lastColumn="0" w:oddVBand="0" w:evenVBand="0" w:oddHBand="0" w:evenHBand="0" w:firstRowFirstColumn="0" w:firstRowLastColumn="0" w:lastRowFirstColumn="0" w:lastRowLastColumn="0"/>
          <w:tblHeader/>
        </w:trPr>
        <w:tc>
          <w:tcPr>
            <w:tcW w:w="2122" w:type="dxa"/>
          </w:tcPr>
          <w:p w14:paraId="06171C3E" w14:textId="77777777" w:rsidR="00FF21DD" w:rsidRPr="00FF21DD" w:rsidRDefault="00FF21DD" w:rsidP="00FF21DD">
            <w:pPr>
              <w:pStyle w:val="Normal-TableText"/>
            </w:pPr>
            <w:r w:rsidRPr="00FF21DD">
              <w:t>Level</w:t>
            </w:r>
          </w:p>
        </w:tc>
        <w:tc>
          <w:tcPr>
            <w:tcW w:w="6938" w:type="dxa"/>
          </w:tcPr>
          <w:p w14:paraId="3FA32EF2" w14:textId="77777777" w:rsidR="00FF21DD" w:rsidRPr="00FF21DD" w:rsidRDefault="00FF21DD" w:rsidP="00FF21DD">
            <w:pPr>
              <w:pStyle w:val="Normal-TableText"/>
            </w:pPr>
            <w:r w:rsidRPr="00FF21DD">
              <w:t>Description</w:t>
            </w:r>
          </w:p>
        </w:tc>
      </w:tr>
      <w:tr w:rsidR="00FF21DD" w:rsidRPr="00FF21DD" w14:paraId="3EE580B9" w14:textId="77777777" w:rsidTr="00FF21DD">
        <w:tc>
          <w:tcPr>
            <w:tcW w:w="2122" w:type="dxa"/>
          </w:tcPr>
          <w:p w14:paraId="0719D3A9" w14:textId="77777777" w:rsidR="00FF21DD" w:rsidRPr="00B351D4" w:rsidRDefault="00FF21DD" w:rsidP="00FF21DD">
            <w:pPr>
              <w:pStyle w:val="Normal-TableText"/>
              <w:rPr>
                <w:rStyle w:val="Strong"/>
              </w:rPr>
            </w:pPr>
            <w:r w:rsidRPr="00B351D4">
              <w:rPr>
                <w:rStyle w:val="Strong"/>
              </w:rPr>
              <w:t>Top Level:</w:t>
            </w:r>
          </w:p>
        </w:tc>
        <w:tc>
          <w:tcPr>
            <w:tcW w:w="6938" w:type="dxa"/>
          </w:tcPr>
          <w:p w14:paraId="04D9BB10" w14:textId="77777777" w:rsidR="00FF21DD" w:rsidRPr="00FF21DD" w:rsidRDefault="00FF21DD" w:rsidP="00FF21DD">
            <w:pPr>
              <w:pStyle w:val="Normal-TableText"/>
            </w:pPr>
            <w:r w:rsidRPr="00FF21DD">
              <w:t xml:space="preserve">NATIONAL </w:t>
            </w:r>
            <w:r w:rsidR="00BE178F">
              <w:t>e</w:t>
            </w:r>
            <w:r w:rsidR="00BE178F">
              <w:noBreakHyphen/>
            </w:r>
            <w:r w:rsidRPr="00FF21DD">
              <w:t>AUTHENTICATION FRAMEWORK</w:t>
            </w:r>
          </w:p>
          <w:p w14:paraId="2FE9FEEC" w14:textId="77777777" w:rsidR="00FF21DD" w:rsidRPr="00FF21DD" w:rsidRDefault="00FF21DD" w:rsidP="00FF21DD">
            <w:pPr>
              <w:pStyle w:val="Normal-TableText"/>
            </w:pPr>
            <w:r w:rsidRPr="00FF21DD">
              <w:t>MANAGEMENT SUMMARY &amp; GLOSSARY</w:t>
            </w:r>
          </w:p>
        </w:tc>
      </w:tr>
      <w:tr w:rsidR="00FF21DD" w:rsidRPr="00FF21DD" w14:paraId="7996363B" w14:textId="77777777" w:rsidTr="00FF21DD">
        <w:tc>
          <w:tcPr>
            <w:tcW w:w="2122" w:type="dxa"/>
          </w:tcPr>
          <w:p w14:paraId="0587FCA5" w14:textId="77777777" w:rsidR="00FF21DD" w:rsidRPr="00B351D4" w:rsidRDefault="00FF21DD" w:rsidP="00FF21DD">
            <w:pPr>
              <w:pStyle w:val="Normal-TableText"/>
              <w:rPr>
                <w:rStyle w:val="Strong"/>
              </w:rPr>
            </w:pPr>
            <w:r w:rsidRPr="00B351D4">
              <w:rPr>
                <w:rStyle w:val="Strong"/>
              </w:rPr>
              <w:t>Middle Level</w:t>
            </w:r>
          </w:p>
        </w:tc>
        <w:tc>
          <w:tcPr>
            <w:tcW w:w="6938" w:type="dxa"/>
          </w:tcPr>
          <w:p w14:paraId="4CF40BB3" w14:textId="77777777" w:rsidR="00FF21DD" w:rsidRPr="00FF21DD" w:rsidRDefault="00FF21DD" w:rsidP="00FF21DD">
            <w:pPr>
              <w:pStyle w:val="Normal-TableText"/>
            </w:pPr>
            <w:r w:rsidRPr="00FF21DD">
              <w:t xml:space="preserve">NATIONAL </w:t>
            </w:r>
            <w:r w:rsidR="00BE178F">
              <w:t>e</w:t>
            </w:r>
            <w:r w:rsidR="00BE178F">
              <w:noBreakHyphen/>
            </w:r>
            <w:r w:rsidRPr="00FF21DD">
              <w:t>AUTHENTICATION IMPLEMENTATION BETTER PRACTICE GUIDELINES</w:t>
            </w:r>
          </w:p>
          <w:p w14:paraId="4971AFFD" w14:textId="77777777" w:rsidR="00FF21DD" w:rsidRPr="00FF21DD" w:rsidRDefault="00FF21DD" w:rsidP="00D43351">
            <w:pPr>
              <w:pStyle w:val="Bullet1"/>
            </w:pPr>
            <w:r w:rsidRPr="00FF21DD">
              <w:t xml:space="preserve">Volume 1: Identity </w:t>
            </w:r>
            <w:r w:rsidR="00BE178F">
              <w:t>e</w:t>
            </w:r>
            <w:r w:rsidR="00BE178F">
              <w:noBreakHyphen/>
            </w:r>
            <w:r w:rsidRPr="00FF21DD">
              <w:t>Authentication</w:t>
            </w:r>
          </w:p>
          <w:p w14:paraId="29794E36" w14:textId="77777777" w:rsidR="00FF21DD" w:rsidRPr="00FF21DD" w:rsidRDefault="00FF21DD" w:rsidP="00D43351">
            <w:pPr>
              <w:pStyle w:val="Bullet1"/>
            </w:pPr>
            <w:r w:rsidRPr="00FF21DD">
              <w:t>Volume 2: Website Authentication</w:t>
            </w:r>
          </w:p>
          <w:p w14:paraId="2DBA242B" w14:textId="77777777" w:rsidR="00FF21DD" w:rsidRPr="00FF21DD" w:rsidRDefault="00FF21DD" w:rsidP="00D43351">
            <w:pPr>
              <w:pStyle w:val="Bullet1"/>
            </w:pPr>
            <w:r w:rsidRPr="00FF21DD">
              <w:t xml:space="preserve">Volume 3: </w:t>
            </w:r>
            <w:r w:rsidR="00BE178F">
              <w:t>e</w:t>
            </w:r>
            <w:r w:rsidR="00BE178F">
              <w:noBreakHyphen/>
            </w:r>
            <w:r w:rsidRPr="00FF21DD">
              <w:t>Authentication Implementation Models</w:t>
            </w:r>
          </w:p>
          <w:p w14:paraId="590A4216" w14:textId="77777777" w:rsidR="00FF21DD" w:rsidRPr="00FF21DD" w:rsidRDefault="00FF21DD" w:rsidP="00D43351">
            <w:pPr>
              <w:pStyle w:val="Bullet1"/>
            </w:pPr>
            <w:r w:rsidRPr="00FF21DD">
              <w:t>Volume 4: Positioning &amp; Strategy</w:t>
            </w:r>
          </w:p>
        </w:tc>
      </w:tr>
      <w:tr w:rsidR="00FF21DD" w:rsidRPr="00FF21DD" w14:paraId="754740A3" w14:textId="77777777" w:rsidTr="00FF21DD">
        <w:tc>
          <w:tcPr>
            <w:tcW w:w="2122" w:type="dxa"/>
          </w:tcPr>
          <w:p w14:paraId="12AB7963" w14:textId="77777777" w:rsidR="00FF21DD" w:rsidRPr="00B351D4" w:rsidRDefault="00FF21DD" w:rsidP="00FF21DD">
            <w:pPr>
              <w:pStyle w:val="Normal-TableText"/>
              <w:rPr>
                <w:rStyle w:val="Strong"/>
              </w:rPr>
            </w:pPr>
            <w:r w:rsidRPr="00B351D4">
              <w:rPr>
                <w:rStyle w:val="Strong"/>
              </w:rPr>
              <w:t>Bottom Level</w:t>
            </w:r>
          </w:p>
        </w:tc>
        <w:tc>
          <w:tcPr>
            <w:tcW w:w="6938" w:type="dxa"/>
          </w:tcPr>
          <w:p w14:paraId="575C797F" w14:textId="77777777" w:rsidR="00FF21DD" w:rsidRPr="00FF21DD" w:rsidRDefault="00FF21DD" w:rsidP="00FF21DD">
            <w:pPr>
              <w:pStyle w:val="Normal-TableText"/>
            </w:pPr>
            <w:r w:rsidRPr="00FF21DD">
              <w:t>SUPPORTING RESOURCES</w:t>
            </w:r>
          </w:p>
          <w:p w14:paraId="11ADCF43" w14:textId="77777777" w:rsidR="00FF21DD" w:rsidRPr="00FF21DD" w:rsidRDefault="00FF21DD" w:rsidP="00D43351">
            <w:pPr>
              <w:pStyle w:val="Bullet1"/>
            </w:pPr>
            <w:r w:rsidRPr="00FF21DD">
              <w:t>Schedule of recommended registration approaches</w:t>
            </w:r>
          </w:p>
          <w:p w14:paraId="53F4F3D0" w14:textId="77777777" w:rsidR="00FF21DD" w:rsidRPr="00FF21DD" w:rsidRDefault="00FF21DD" w:rsidP="00D43351">
            <w:pPr>
              <w:pStyle w:val="Bullet1"/>
            </w:pPr>
            <w:r w:rsidRPr="00FF21DD">
              <w:t>Website authentication mechanisms</w:t>
            </w:r>
          </w:p>
          <w:p w14:paraId="773A4E6C" w14:textId="77777777" w:rsidR="00FF21DD" w:rsidRPr="00FF21DD" w:rsidRDefault="00BE178F" w:rsidP="00D43351">
            <w:pPr>
              <w:pStyle w:val="Bullet1"/>
            </w:pPr>
            <w:r>
              <w:t>E</w:t>
            </w:r>
            <w:r>
              <w:noBreakHyphen/>
            </w:r>
            <w:r w:rsidR="00FF21DD" w:rsidRPr="00FF21DD">
              <w:t>authentication schemes, services &amp; initiatives</w:t>
            </w:r>
          </w:p>
          <w:p w14:paraId="12DF799A" w14:textId="77777777" w:rsidR="00FF21DD" w:rsidRPr="00FF21DD" w:rsidRDefault="00FF21DD" w:rsidP="00D43351">
            <w:pPr>
              <w:pStyle w:val="Bullet1"/>
            </w:pPr>
            <w:r w:rsidRPr="00FF21DD">
              <w:t xml:space="preserve">Schedule of </w:t>
            </w:r>
            <w:r w:rsidR="00BE178F">
              <w:t>e</w:t>
            </w:r>
            <w:r w:rsidR="00BE178F">
              <w:noBreakHyphen/>
            </w:r>
            <w:r w:rsidRPr="00FF21DD">
              <w:t xml:space="preserve">authentication mechanisms </w:t>
            </w:r>
            <w:r w:rsidRPr="00FF21DD">
              <w:br/>
              <w:t>&amp; management approaches</w:t>
            </w:r>
          </w:p>
          <w:p w14:paraId="2248BFDF" w14:textId="77777777" w:rsidR="00FF21DD" w:rsidRPr="00FF21DD" w:rsidRDefault="00FF21DD" w:rsidP="00D43351">
            <w:pPr>
              <w:pStyle w:val="Bullet1"/>
            </w:pPr>
            <w:r w:rsidRPr="00FF21DD">
              <w:t>Standards (that underpin the framework)</w:t>
            </w:r>
          </w:p>
          <w:p w14:paraId="5BF586F5" w14:textId="77777777" w:rsidR="00FF21DD" w:rsidRPr="00FF21DD" w:rsidRDefault="00BE178F" w:rsidP="00D43351">
            <w:pPr>
              <w:pStyle w:val="Bullet1"/>
            </w:pPr>
            <w:r>
              <w:t>E</w:t>
            </w:r>
            <w:r>
              <w:noBreakHyphen/>
            </w:r>
            <w:r w:rsidR="00FF21DD" w:rsidRPr="00FF21DD">
              <w:t>authentication risk assessment tool</w:t>
            </w:r>
          </w:p>
        </w:tc>
      </w:tr>
    </w:tbl>
    <w:p w14:paraId="75EC49FE" w14:textId="77777777" w:rsidR="00A70754" w:rsidRPr="004714FD" w:rsidRDefault="00A70754" w:rsidP="00D43351">
      <w:pPr>
        <w:pStyle w:val="Heading2Numbered"/>
        <w:rPr>
          <w:iCs/>
        </w:rPr>
      </w:pPr>
      <w:bookmarkStart w:id="105" w:name="OLE_LINK_Figure2"/>
      <w:bookmarkStart w:id="106" w:name="_Toc430770904"/>
      <w:bookmarkEnd w:id="105"/>
      <w:r w:rsidRPr="004714FD">
        <w:lastRenderedPageBreak/>
        <w:t>Principles and terminology</w:t>
      </w:r>
      <w:bookmarkEnd w:id="106"/>
    </w:p>
    <w:p w14:paraId="04DF7A6E" w14:textId="77777777" w:rsidR="00A70754" w:rsidRPr="003C27A4" w:rsidRDefault="00A70754" w:rsidP="00D43351">
      <w:r w:rsidRPr="003C27A4">
        <w:t>This section provides a checklist of fundamental principles that will guide agency implementation of the NeAF and a summary of the major terms used in this document.</w:t>
      </w:r>
    </w:p>
    <w:p w14:paraId="0C6889D5" w14:textId="77777777" w:rsidR="00A70754" w:rsidRDefault="00A70754" w:rsidP="00D43351">
      <w:r w:rsidRPr="003C27A4">
        <w:t>The checklist below is expressed as a series of aspirational statements that are designed to provide agencies with a “benchmark” against which their application of the NeAF can be ch</w:t>
      </w:r>
      <w:r w:rsidRPr="00676976">
        <w:t>ecked.</w:t>
      </w:r>
    </w:p>
    <w:p w14:paraId="217C68E1" w14:textId="77777777" w:rsidR="00A70754" w:rsidRPr="00676976" w:rsidRDefault="00A70754" w:rsidP="00D43351">
      <w:pPr>
        <w:pStyle w:val="Heading2Numbered"/>
      </w:pPr>
      <w:bookmarkStart w:id="107" w:name="_Toc430770905"/>
      <w:r w:rsidRPr="00676976">
        <w:t>NeAF application principles</w:t>
      </w:r>
      <w:bookmarkEnd w:id="107"/>
    </w:p>
    <w:p w14:paraId="3CD03191" w14:textId="77777777" w:rsidR="00A70754" w:rsidRPr="003C27A4" w:rsidRDefault="00A70754" w:rsidP="00D43351">
      <w:r w:rsidRPr="003C27A4">
        <w:t>The key principles that underpin the application of the NeAF by agencies are:</w:t>
      </w:r>
    </w:p>
    <w:p w14:paraId="1A0A5980" w14:textId="77777777" w:rsidR="00A70754" w:rsidRPr="00D43351" w:rsidRDefault="00A70754" w:rsidP="00D43351">
      <w:pPr>
        <w:rPr>
          <w:rStyle w:val="Strong"/>
        </w:rPr>
      </w:pPr>
      <w:r w:rsidRPr="00D43351">
        <w:rPr>
          <w:rStyle w:val="Strong"/>
        </w:rPr>
        <w:t>Transparency</w:t>
      </w:r>
    </w:p>
    <w:p w14:paraId="1A184477" w14:textId="77777777" w:rsidR="00A70754" w:rsidRDefault="00BE178F" w:rsidP="00D43351">
      <w:r>
        <w:t>e</w:t>
      </w:r>
      <w:r>
        <w:noBreakHyphen/>
      </w:r>
      <w:r w:rsidR="00A70754" w:rsidRPr="003C27A4">
        <w:t>Authentication decisions are made in an open and understandable manner involving consultation with relevant stakeholders.</w:t>
      </w:r>
    </w:p>
    <w:p w14:paraId="30074F37" w14:textId="77777777" w:rsidR="00A70754" w:rsidRPr="00D43351" w:rsidRDefault="00A70754" w:rsidP="00D43351">
      <w:pPr>
        <w:rPr>
          <w:rStyle w:val="Strong"/>
        </w:rPr>
      </w:pPr>
      <w:r w:rsidRPr="00D43351">
        <w:rPr>
          <w:rStyle w:val="Strong"/>
        </w:rPr>
        <w:t>Risk management</w:t>
      </w:r>
    </w:p>
    <w:p w14:paraId="2376BD7C" w14:textId="77777777" w:rsidR="00A70754" w:rsidRDefault="00A70754" w:rsidP="00D43351">
      <w:r w:rsidRPr="003C27A4">
        <w:t xml:space="preserve">Selection of </w:t>
      </w:r>
      <w:r w:rsidR="00BE178F">
        <w:t>e</w:t>
      </w:r>
      <w:r w:rsidR="00BE178F">
        <w:noBreakHyphen/>
      </w:r>
      <w:r>
        <w:t>Authentication</w:t>
      </w:r>
      <w:r w:rsidRPr="003C27A4">
        <w:t xml:space="preserve"> mechanisms is guided by the likelihood and consequences of identified threats being realised. These risks are articulated as part of the development and justification of </w:t>
      </w:r>
      <w:r w:rsidR="00BE178F">
        <w:t>e</w:t>
      </w:r>
      <w:r w:rsidR="00BE178F">
        <w:noBreakHyphen/>
      </w:r>
      <w:r>
        <w:t>Authentication</w:t>
      </w:r>
      <w:r w:rsidRPr="003C27A4">
        <w:t xml:space="preserve"> mechanisms.</w:t>
      </w:r>
    </w:p>
    <w:p w14:paraId="1D5002FC" w14:textId="77777777" w:rsidR="00A70754" w:rsidRPr="00D43351" w:rsidRDefault="00A70754" w:rsidP="00D43351">
      <w:pPr>
        <w:rPr>
          <w:rStyle w:val="Strong"/>
        </w:rPr>
      </w:pPr>
      <w:r w:rsidRPr="00D43351">
        <w:rPr>
          <w:rStyle w:val="Strong"/>
        </w:rPr>
        <w:t>Consistency</w:t>
      </w:r>
    </w:p>
    <w:p w14:paraId="218F3539" w14:textId="77777777" w:rsidR="00A70754" w:rsidRDefault="00A70754" w:rsidP="00D43351">
      <w:r w:rsidRPr="003C27A4">
        <w:t xml:space="preserve">A consistent approach to selecting </w:t>
      </w:r>
      <w:r w:rsidR="00BE178F">
        <w:t>e</w:t>
      </w:r>
      <w:r w:rsidR="00BE178F">
        <w:noBreakHyphen/>
      </w:r>
      <w:r>
        <w:t>Authentication</w:t>
      </w:r>
      <w:r w:rsidRPr="003C27A4">
        <w:t xml:space="preserve"> mechanisms is applied by agencies and as a result, individuals and businesses can expect similar </w:t>
      </w:r>
      <w:r w:rsidR="00BE178F">
        <w:t>e</w:t>
      </w:r>
      <w:r w:rsidR="00BE178F">
        <w:noBreakHyphen/>
      </w:r>
      <w:r>
        <w:t>Authentication</w:t>
      </w:r>
      <w:r w:rsidRPr="003C27A4">
        <w:t xml:space="preserve"> processes for transactions with equivalent assurance levels offered by different government agencies.</w:t>
      </w:r>
    </w:p>
    <w:p w14:paraId="0DF97D9D" w14:textId="77777777" w:rsidR="00A70754" w:rsidRPr="00D43351" w:rsidRDefault="00A70754" w:rsidP="00D43351">
      <w:pPr>
        <w:rPr>
          <w:rStyle w:val="Strong"/>
        </w:rPr>
      </w:pPr>
      <w:r w:rsidRPr="00D43351">
        <w:rPr>
          <w:rStyle w:val="Strong"/>
        </w:rPr>
        <w:t>Interoperability</w:t>
      </w:r>
    </w:p>
    <w:p w14:paraId="3754A276" w14:textId="77777777" w:rsidR="00A70754" w:rsidRDefault="00BE178F" w:rsidP="00D43351">
      <w:r>
        <w:t>e</w:t>
      </w:r>
      <w:r>
        <w:noBreakHyphen/>
      </w:r>
      <w:r w:rsidR="00A70754" w:rsidRPr="003C27A4">
        <w:t>Authentication mechanisms are deployed in a way that facilitate interoperability and comply with relevant standards</w:t>
      </w:r>
      <w:r w:rsidR="00A70754">
        <w:t>.</w:t>
      </w:r>
    </w:p>
    <w:p w14:paraId="44E96C13" w14:textId="77777777" w:rsidR="00A70754" w:rsidRPr="00D43351" w:rsidRDefault="00A70754" w:rsidP="00D43351">
      <w:pPr>
        <w:rPr>
          <w:rStyle w:val="Strong"/>
        </w:rPr>
      </w:pPr>
      <w:r w:rsidRPr="00D43351">
        <w:rPr>
          <w:rStyle w:val="Strong"/>
        </w:rPr>
        <w:t>Responsiveness and accountability</w:t>
      </w:r>
    </w:p>
    <w:p w14:paraId="49E3DB42" w14:textId="77777777" w:rsidR="00A70754" w:rsidRDefault="00A70754" w:rsidP="00D43351">
      <w:r w:rsidRPr="003C27A4">
        <w:t>Agencies respond to individuals’ and businesses’ needs and provide guidance on use of their electronic services and provide dispute handling processes.</w:t>
      </w:r>
      <w:r>
        <w:t xml:space="preserve"> </w:t>
      </w:r>
      <w:r w:rsidRPr="003C27A4">
        <w:t xml:space="preserve">Agencies are accountable for determining and addressing agency-specific issues related to the </w:t>
      </w:r>
      <w:r w:rsidR="00BE178F">
        <w:t>e</w:t>
      </w:r>
      <w:r w:rsidR="00BE178F">
        <w:noBreakHyphen/>
      </w:r>
      <w:r>
        <w:t>Authentication</w:t>
      </w:r>
      <w:r w:rsidRPr="003C27A4">
        <w:t xml:space="preserve"> approach adopted (i.e. liability).</w:t>
      </w:r>
    </w:p>
    <w:p w14:paraId="455F6252" w14:textId="77777777" w:rsidR="00A70754" w:rsidRPr="00D43351" w:rsidRDefault="00A70754" w:rsidP="00D43351">
      <w:pPr>
        <w:rPr>
          <w:rStyle w:val="Strong"/>
        </w:rPr>
      </w:pPr>
      <w:r w:rsidRPr="00D43351">
        <w:rPr>
          <w:rStyle w:val="Strong"/>
        </w:rPr>
        <w:t>Trust and confidence</w:t>
      </w:r>
    </w:p>
    <w:p w14:paraId="774BBA7A" w14:textId="77777777" w:rsidR="00A70754" w:rsidRDefault="00A70754" w:rsidP="00D43351">
      <w:r w:rsidRPr="003C27A4">
        <w:t>The mechanisms used support electronic services and enable a balance between usefulness and security for government and individuals/businesses.</w:t>
      </w:r>
    </w:p>
    <w:p w14:paraId="2F3DE098" w14:textId="77777777" w:rsidR="00A70754" w:rsidRPr="00D43351" w:rsidRDefault="00A70754" w:rsidP="00D43351">
      <w:pPr>
        <w:rPr>
          <w:rStyle w:val="Strong"/>
        </w:rPr>
      </w:pPr>
      <w:r w:rsidRPr="00D43351">
        <w:rPr>
          <w:rStyle w:val="Strong"/>
        </w:rPr>
        <w:t>Privacy</w:t>
      </w:r>
    </w:p>
    <w:p w14:paraId="73DDEDE0" w14:textId="77777777" w:rsidR="00A70754" w:rsidRDefault="00A70754" w:rsidP="00D43351">
      <w:r w:rsidRPr="003C27A4">
        <w:t>Personal information is collected, used and disclosed in accordance with privacy laws or schemes in each jurisdiction.</w:t>
      </w:r>
    </w:p>
    <w:p w14:paraId="23FB8F3B" w14:textId="77777777" w:rsidR="00A70754" w:rsidRPr="00D43351" w:rsidRDefault="00A70754" w:rsidP="00D43351">
      <w:pPr>
        <w:rPr>
          <w:rStyle w:val="Strong"/>
        </w:rPr>
      </w:pPr>
      <w:r w:rsidRPr="00D43351">
        <w:rPr>
          <w:rStyle w:val="Strong"/>
        </w:rPr>
        <w:t>Choice</w:t>
      </w:r>
    </w:p>
    <w:p w14:paraId="04B290CC" w14:textId="77777777" w:rsidR="00A70754" w:rsidRDefault="00A70754" w:rsidP="00D43351">
      <w:r w:rsidRPr="003C27A4">
        <w:t>When interacting electro</w:t>
      </w:r>
      <w:r>
        <w:t>nically,</w:t>
      </w:r>
      <w:r w:rsidRPr="003C27A4">
        <w:t xml:space="preserve"> individuals and businesses are able to use one or more electronic credentials to access services across multiple organisations.</w:t>
      </w:r>
    </w:p>
    <w:p w14:paraId="516984BA" w14:textId="77777777" w:rsidR="00A70754" w:rsidRPr="00D43351" w:rsidRDefault="00A70754" w:rsidP="00160E61">
      <w:pPr>
        <w:keepNext/>
        <w:rPr>
          <w:rStyle w:val="Strong"/>
        </w:rPr>
      </w:pPr>
      <w:r w:rsidRPr="00D43351">
        <w:rPr>
          <w:rStyle w:val="Strong"/>
        </w:rPr>
        <w:lastRenderedPageBreak/>
        <w:t>Flexibility</w:t>
      </w:r>
    </w:p>
    <w:p w14:paraId="5815AA43" w14:textId="77777777" w:rsidR="00A70754" w:rsidRPr="001A34D1" w:rsidRDefault="00A70754" w:rsidP="00D43351">
      <w:pPr>
        <w:rPr>
          <w:rStyle w:val="Emphasis"/>
        </w:rPr>
      </w:pPr>
      <w:r w:rsidRPr="003C27A4">
        <w:t xml:space="preserve">Agencies support a range of fit-for-purpose </w:t>
      </w:r>
      <w:r w:rsidR="00BE178F">
        <w:t>e</w:t>
      </w:r>
      <w:r w:rsidR="00BE178F">
        <w:noBreakHyphen/>
      </w:r>
      <w:r>
        <w:t>Authentication</w:t>
      </w:r>
      <w:r w:rsidRPr="003C27A4">
        <w:t xml:space="preserve"> approaches aligned to assurance requirements.</w:t>
      </w:r>
    </w:p>
    <w:p w14:paraId="5231AC3F" w14:textId="77777777" w:rsidR="00A70754" w:rsidRPr="00D43351" w:rsidRDefault="00A70754" w:rsidP="00D43351">
      <w:pPr>
        <w:rPr>
          <w:rStyle w:val="Strong"/>
        </w:rPr>
      </w:pPr>
      <w:r w:rsidRPr="00D43351">
        <w:rPr>
          <w:rStyle w:val="Strong"/>
        </w:rPr>
        <w:t>Cost effectiveness and convenience</w:t>
      </w:r>
    </w:p>
    <w:p w14:paraId="56A9D9E8" w14:textId="77777777" w:rsidR="00A70754" w:rsidRPr="003C27A4" w:rsidRDefault="00BE178F" w:rsidP="00D43351">
      <w:r>
        <w:t>e</w:t>
      </w:r>
      <w:r>
        <w:noBreakHyphen/>
      </w:r>
      <w:r w:rsidR="00A70754" w:rsidRPr="003C27A4">
        <w:t>Authentication processes are as seamless and simple as possible.</w:t>
      </w:r>
      <w:r w:rsidR="00A70754">
        <w:t xml:space="preserve"> </w:t>
      </w:r>
      <w:r w:rsidR="00A70754" w:rsidRPr="003C27A4">
        <w:t>Where appropriate, solutions that enable individuals and businesses to r</w:t>
      </w:r>
      <w:r>
        <w:t>e</w:t>
      </w:r>
      <w:r>
        <w:noBreakHyphen/>
      </w:r>
      <w:r w:rsidR="00A70754" w:rsidRPr="003C27A4">
        <w:t xml:space="preserve">use existing </w:t>
      </w:r>
      <w:r>
        <w:t>e</w:t>
      </w:r>
      <w:r>
        <w:noBreakHyphen/>
      </w:r>
      <w:r w:rsidR="00A70754">
        <w:t>Authentication</w:t>
      </w:r>
      <w:r w:rsidR="00A70754" w:rsidRPr="003C27A4">
        <w:t xml:space="preserve"> credentials are adopted.</w:t>
      </w:r>
    </w:p>
    <w:p w14:paraId="4D197E22" w14:textId="77777777" w:rsidR="00A70754" w:rsidRPr="00676976" w:rsidRDefault="00A70754" w:rsidP="00D43351">
      <w:pPr>
        <w:pStyle w:val="Heading2Numbered"/>
      </w:pPr>
      <w:bookmarkStart w:id="108" w:name="_Toc430770906"/>
      <w:r w:rsidRPr="00676976">
        <w:t>Terminology</w:t>
      </w:r>
      <w:bookmarkEnd w:id="108"/>
    </w:p>
    <w:p w14:paraId="6608CAEC" w14:textId="77777777" w:rsidR="00A70754" w:rsidRPr="00002DEE" w:rsidRDefault="00A70754" w:rsidP="00D43351">
      <w:r w:rsidRPr="00002DEE">
        <w:t>The meaning of key terms within the NeAF context is provided below.</w:t>
      </w:r>
    </w:p>
    <w:p w14:paraId="7A5DA123" w14:textId="0923D4F7" w:rsidR="00A70754" w:rsidRPr="00D43351" w:rsidRDefault="00A70754" w:rsidP="00D43351">
      <w:pPr>
        <w:pStyle w:val="Caption"/>
      </w:pPr>
      <w:bookmarkStart w:id="109" w:name="_Toc430770946"/>
      <w:r w:rsidRPr="00D43351">
        <w:t xml:space="preserve">Table </w:t>
      </w:r>
      <w:fldSimple w:instr=" SEQ Table \* ARABIC " w:fldLock="1">
        <w:r w:rsidR="00933C42">
          <w:rPr>
            <w:noProof/>
          </w:rPr>
          <w:t>1</w:t>
        </w:r>
      </w:fldSimple>
      <w:r w:rsidRPr="00D43351">
        <w:t>: Definition of key NeAF terms</w:t>
      </w:r>
      <w:bookmarkEnd w:id="109"/>
    </w:p>
    <w:tbl>
      <w:tblPr>
        <w:tblStyle w:val="DTOTable1"/>
        <w:tblW w:w="8820" w:type="dxa"/>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60"/>
        <w:gridCol w:w="6660"/>
      </w:tblGrid>
      <w:tr w:rsidR="00A70754" w:rsidRPr="00C92C2C" w14:paraId="1F4397E6" w14:textId="77777777" w:rsidTr="00D43351">
        <w:trPr>
          <w:cnfStyle w:val="100000000000" w:firstRow="1" w:lastRow="0" w:firstColumn="0" w:lastColumn="0" w:oddVBand="0" w:evenVBand="0" w:oddHBand="0" w:evenHBand="0" w:firstRowFirstColumn="0" w:firstRowLastColumn="0" w:lastRowFirstColumn="0" w:lastRowLastColumn="0"/>
          <w:tblHeader/>
        </w:trPr>
        <w:tc>
          <w:tcPr>
            <w:tcW w:w="2160" w:type="dxa"/>
          </w:tcPr>
          <w:p w14:paraId="74FBC102" w14:textId="77777777" w:rsidR="00A70754" w:rsidRPr="00676976" w:rsidRDefault="00A70754" w:rsidP="00D43351">
            <w:pPr>
              <w:pStyle w:val="Normal-TableText"/>
            </w:pPr>
            <w:r w:rsidRPr="00676976">
              <w:t>Term</w:t>
            </w:r>
          </w:p>
        </w:tc>
        <w:tc>
          <w:tcPr>
            <w:tcW w:w="6660" w:type="dxa"/>
          </w:tcPr>
          <w:p w14:paraId="79286F52" w14:textId="77777777" w:rsidR="00A70754" w:rsidRPr="00676976" w:rsidRDefault="00A70754" w:rsidP="00D43351">
            <w:pPr>
              <w:pStyle w:val="Normal-TableText"/>
            </w:pPr>
            <w:r w:rsidRPr="00676976">
              <w:t>Meaning (within NeAF document set)</w:t>
            </w:r>
          </w:p>
        </w:tc>
      </w:tr>
      <w:tr w:rsidR="00A70754" w:rsidRPr="003C27A4" w14:paraId="2080D8D1" w14:textId="77777777" w:rsidTr="00D43351">
        <w:tc>
          <w:tcPr>
            <w:tcW w:w="2160" w:type="dxa"/>
          </w:tcPr>
          <w:p w14:paraId="7F2716D0" w14:textId="77777777" w:rsidR="00A70754" w:rsidRPr="00FD525D" w:rsidRDefault="00A70754" w:rsidP="00D43351">
            <w:pPr>
              <w:pStyle w:val="Normal-TableText"/>
            </w:pPr>
            <w:r w:rsidRPr="00FD525D">
              <w:t>AISEF</w:t>
            </w:r>
          </w:p>
        </w:tc>
        <w:tc>
          <w:tcPr>
            <w:tcW w:w="6660" w:type="dxa"/>
          </w:tcPr>
          <w:p w14:paraId="19A3159D" w14:textId="77777777" w:rsidR="00A70754" w:rsidRPr="00FD525D" w:rsidRDefault="00A70754" w:rsidP="00D43351">
            <w:pPr>
              <w:pStyle w:val="Normal-TableText"/>
            </w:pPr>
            <w:r w:rsidRPr="00FD525D">
              <w:t>Information technology (IT) security-testing laboratories that are accredited to conduct IT security evaluations for conformance to the Common Criteria for Information Technology Security Evaluation, International Standard ISO/IEC 15408-1:2005 and ISO/IEC 15408-2/3:</w:t>
            </w:r>
            <w:r>
              <w:t> 200</w:t>
            </w:r>
            <w:r w:rsidRPr="00FD525D">
              <w:t>8.</w:t>
            </w:r>
          </w:p>
        </w:tc>
      </w:tr>
      <w:tr w:rsidR="00A70754" w:rsidRPr="003C27A4" w14:paraId="3E6D95DC" w14:textId="77777777" w:rsidTr="00D43351">
        <w:tc>
          <w:tcPr>
            <w:tcW w:w="2160" w:type="dxa"/>
          </w:tcPr>
          <w:p w14:paraId="0A0A86EC" w14:textId="77777777" w:rsidR="00A70754" w:rsidRPr="00FD525D" w:rsidRDefault="00A70754" w:rsidP="00D43351">
            <w:pPr>
              <w:pStyle w:val="Normal-TableText"/>
            </w:pPr>
            <w:r w:rsidRPr="00FD525D">
              <w:t>Assertion</w:t>
            </w:r>
          </w:p>
        </w:tc>
        <w:tc>
          <w:tcPr>
            <w:tcW w:w="6660" w:type="dxa"/>
          </w:tcPr>
          <w:p w14:paraId="50E6B9AA" w14:textId="77777777" w:rsidR="00A70754" w:rsidRPr="00FD525D" w:rsidRDefault="00A70754" w:rsidP="00D43351">
            <w:pPr>
              <w:pStyle w:val="Normal-TableText"/>
            </w:pPr>
            <w:r w:rsidRPr="00FD525D">
              <w:t xml:space="preserve">The attribute that the relying party wishes to authenticate. These can include: entity, identity, value, role or delegation. </w:t>
            </w:r>
          </w:p>
        </w:tc>
      </w:tr>
      <w:tr w:rsidR="00A70754" w:rsidRPr="003C27A4" w14:paraId="2AE6E27B" w14:textId="77777777" w:rsidTr="00D43351">
        <w:tc>
          <w:tcPr>
            <w:tcW w:w="2160" w:type="dxa"/>
          </w:tcPr>
          <w:p w14:paraId="0D1AF05E" w14:textId="77777777" w:rsidR="00A70754" w:rsidRPr="00FD525D" w:rsidRDefault="00A70754" w:rsidP="00D43351">
            <w:pPr>
              <w:pStyle w:val="Normal-TableText"/>
            </w:pPr>
            <w:r w:rsidRPr="00FD525D">
              <w:t>Assurance level</w:t>
            </w:r>
          </w:p>
        </w:tc>
        <w:tc>
          <w:tcPr>
            <w:tcW w:w="6660" w:type="dxa"/>
          </w:tcPr>
          <w:p w14:paraId="5D83F8A6" w14:textId="77777777" w:rsidR="00A70754" w:rsidRPr="00FD525D" w:rsidRDefault="00A70754" w:rsidP="00D43351">
            <w:pPr>
              <w:pStyle w:val="Normal-TableText"/>
            </w:pPr>
            <w:r w:rsidRPr="00FD525D">
              <w:t xml:space="preserve">The level of trust that is required from </w:t>
            </w:r>
            <w:r w:rsidR="00BE178F">
              <w:t>e</w:t>
            </w:r>
            <w:r w:rsidR="00BE178F">
              <w:noBreakHyphen/>
            </w:r>
            <w:r w:rsidRPr="00FD525D">
              <w:t xml:space="preserve">Authentication and/or the level of trust related to a particular approach to </w:t>
            </w:r>
            <w:r w:rsidR="00BE178F">
              <w:t>e</w:t>
            </w:r>
            <w:r w:rsidR="00BE178F">
              <w:noBreakHyphen/>
            </w:r>
            <w:r w:rsidRPr="00FD525D">
              <w:t xml:space="preserve">Authentication. </w:t>
            </w:r>
          </w:p>
        </w:tc>
      </w:tr>
      <w:tr w:rsidR="00A70754" w:rsidRPr="003C27A4" w14:paraId="40578A9A" w14:textId="77777777" w:rsidTr="00D43351">
        <w:tc>
          <w:tcPr>
            <w:tcW w:w="2160" w:type="dxa"/>
          </w:tcPr>
          <w:p w14:paraId="768B4AEB" w14:textId="77777777" w:rsidR="00A70754" w:rsidRPr="00FD525D" w:rsidRDefault="00A70754" w:rsidP="00D43351">
            <w:pPr>
              <w:pStyle w:val="Normal-TableText"/>
            </w:pPr>
            <w:r w:rsidRPr="00FD525D">
              <w:t>Credential</w:t>
            </w:r>
          </w:p>
        </w:tc>
        <w:tc>
          <w:tcPr>
            <w:tcW w:w="6660" w:type="dxa"/>
          </w:tcPr>
          <w:p w14:paraId="58C60917" w14:textId="77777777" w:rsidR="00A70754" w:rsidRPr="00FD525D" w:rsidRDefault="00A70754" w:rsidP="00D43351">
            <w:pPr>
              <w:pStyle w:val="Normal-TableText"/>
            </w:pPr>
            <w:r w:rsidRPr="00FD525D">
              <w:t>The “technology” used by a user for authentication (e.g. user-id+password, shared information, smartcard, public key infrastructure (PKI) etc.)</w:t>
            </w:r>
          </w:p>
        </w:tc>
      </w:tr>
      <w:tr w:rsidR="00A70754" w:rsidRPr="003C27A4" w14:paraId="634C8FCE" w14:textId="77777777" w:rsidTr="00D43351">
        <w:tc>
          <w:tcPr>
            <w:tcW w:w="2160" w:type="dxa"/>
          </w:tcPr>
          <w:p w14:paraId="796D0837" w14:textId="77777777" w:rsidR="00A70754" w:rsidRPr="00FD525D" w:rsidRDefault="00A70754" w:rsidP="00D43351">
            <w:pPr>
              <w:pStyle w:val="Normal-TableText"/>
            </w:pPr>
            <w:r w:rsidRPr="00FD525D">
              <w:t>Credential management</w:t>
            </w:r>
          </w:p>
        </w:tc>
        <w:tc>
          <w:tcPr>
            <w:tcW w:w="6660" w:type="dxa"/>
          </w:tcPr>
          <w:p w14:paraId="66E110C0" w14:textId="77777777" w:rsidR="00A70754" w:rsidRPr="00FD525D" w:rsidRDefault="00A70754" w:rsidP="00D43351">
            <w:pPr>
              <w:pStyle w:val="Normal-TableText"/>
            </w:pPr>
            <w:r w:rsidRPr="00FD525D">
              <w:t>The “lifecycle” approach associated with a credential including creation, initialisation, personalisation, issue, maintenance, cancellation, verification and event logging.</w:t>
            </w:r>
          </w:p>
        </w:tc>
      </w:tr>
      <w:tr w:rsidR="00A70754" w:rsidRPr="003C27A4" w14:paraId="157D18BE" w14:textId="77777777" w:rsidTr="00D43351">
        <w:tc>
          <w:tcPr>
            <w:tcW w:w="2160" w:type="dxa"/>
          </w:tcPr>
          <w:p w14:paraId="0B35CDEC" w14:textId="77777777" w:rsidR="00A70754" w:rsidRPr="00FD525D" w:rsidRDefault="00A70754" w:rsidP="00D43351">
            <w:pPr>
              <w:pStyle w:val="Normal-TableText"/>
            </w:pPr>
            <w:r w:rsidRPr="00FD525D">
              <w:t>Document Verification Service (DVS)</w:t>
            </w:r>
          </w:p>
        </w:tc>
        <w:tc>
          <w:tcPr>
            <w:tcW w:w="6660" w:type="dxa"/>
          </w:tcPr>
          <w:p w14:paraId="2A29826B" w14:textId="77777777" w:rsidR="00A70754" w:rsidRPr="00FD525D" w:rsidRDefault="00A70754" w:rsidP="00D43351">
            <w:pPr>
              <w:pStyle w:val="Normal-TableText"/>
            </w:pPr>
            <w:r w:rsidRPr="00FD525D">
              <w:t>The national DVS</w:t>
            </w:r>
            <w:r w:rsidRPr="00FD525D" w:rsidDel="00FA210E">
              <w:t xml:space="preserve"> is a</w:t>
            </w:r>
            <w:r w:rsidRPr="00FD525D">
              <w:t>n Australian Government initiative to improve identity security, combat identity crime and protect the identities of Australians from being used for illegal purposes.</w:t>
            </w:r>
          </w:p>
        </w:tc>
      </w:tr>
      <w:tr w:rsidR="00A70754" w:rsidRPr="003C27A4" w14:paraId="0342606A" w14:textId="77777777" w:rsidTr="00D43351">
        <w:tc>
          <w:tcPr>
            <w:tcW w:w="2160" w:type="dxa"/>
          </w:tcPr>
          <w:p w14:paraId="7B2AEAA4" w14:textId="77777777" w:rsidR="00A70754" w:rsidRPr="00FD525D" w:rsidRDefault="00BE178F" w:rsidP="00D43351">
            <w:pPr>
              <w:pStyle w:val="Normal-TableText"/>
            </w:pPr>
            <w:r>
              <w:t>e</w:t>
            </w:r>
            <w:r>
              <w:noBreakHyphen/>
            </w:r>
            <w:r w:rsidR="00A70754" w:rsidRPr="00FD525D">
              <w:t>Authentication</w:t>
            </w:r>
          </w:p>
        </w:tc>
        <w:tc>
          <w:tcPr>
            <w:tcW w:w="6660" w:type="dxa"/>
          </w:tcPr>
          <w:p w14:paraId="38788991" w14:textId="77777777" w:rsidR="00A70754" w:rsidRPr="00FD525D" w:rsidRDefault="00A70754" w:rsidP="00D43351">
            <w:pPr>
              <w:pStyle w:val="Normal-TableText"/>
            </w:pPr>
            <w:r w:rsidRPr="00FD525D">
              <w:t>The process that delivers (a level of) assurance of an assertion made by one party to another in an electronic environment. Under the NeAF the focus is on the assurance of identities of individuals and businesses.</w:t>
            </w:r>
          </w:p>
        </w:tc>
      </w:tr>
      <w:tr w:rsidR="00A70754" w:rsidRPr="003C27A4" w14:paraId="63A104D5" w14:textId="77777777" w:rsidTr="00D43351">
        <w:tc>
          <w:tcPr>
            <w:tcW w:w="2160" w:type="dxa"/>
          </w:tcPr>
          <w:p w14:paraId="247962BB" w14:textId="77777777" w:rsidR="00A70754" w:rsidRPr="00FD525D" w:rsidRDefault="00BE178F" w:rsidP="00D43351">
            <w:pPr>
              <w:pStyle w:val="Normal-TableText"/>
            </w:pPr>
            <w:r>
              <w:t>e</w:t>
            </w:r>
            <w:r>
              <w:noBreakHyphen/>
            </w:r>
            <w:r w:rsidR="00A70754" w:rsidRPr="00FD525D">
              <w:t>Authentication approach</w:t>
            </w:r>
          </w:p>
        </w:tc>
        <w:tc>
          <w:tcPr>
            <w:tcW w:w="6660" w:type="dxa"/>
          </w:tcPr>
          <w:p w14:paraId="5FCD5775" w14:textId="77777777" w:rsidR="00A70754" w:rsidRPr="00FD525D" w:rsidRDefault="00A70754" w:rsidP="00D43351">
            <w:pPr>
              <w:pStyle w:val="Normal-TableText"/>
            </w:pPr>
            <w:r w:rsidRPr="00FD525D">
              <w:t xml:space="preserve">The collective of </w:t>
            </w:r>
            <w:r w:rsidR="00BE178F">
              <w:t>e</w:t>
            </w:r>
            <w:r w:rsidR="00BE178F">
              <w:noBreakHyphen/>
            </w:r>
            <w:r w:rsidRPr="00FD525D">
              <w:t>Authentication elements selected and implemented by an agency including the approach to registration and enrolment and the authentication mechanism selected.</w:t>
            </w:r>
          </w:p>
        </w:tc>
      </w:tr>
      <w:tr w:rsidR="00A70754" w:rsidRPr="003C27A4" w14:paraId="47964298" w14:textId="77777777" w:rsidTr="00D43351">
        <w:tc>
          <w:tcPr>
            <w:tcW w:w="2160" w:type="dxa"/>
          </w:tcPr>
          <w:p w14:paraId="33435DB6" w14:textId="77777777" w:rsidR="00A70754" w:rsidRPr="00FD525D" w:rsidRDefault="00BE178F" w:rsidP="00D43351">
            <w:pPr>
              <w:pStyle w:val="Normal-TableText"/>
            </w:pPr>
            <w:r>
              <w:t>e</w:t>
            </w:r>
            <w:r>
              <w:noBreakHyphen/>
            </w:r>
            <w:r w:rsidR="00A70754" w:rsidRPr="00FD525D">
              <w:t>Authentication mechanism</w:t>
            </w:r>
          </w:p>
        </w:tc>
        <w:tc>
          <w:tcPr>
            <w:tcW w:w="6660" w:type="dxa"/>
          </w:tcPr>
          <w:p w14:paraId="3A6ECC09" w14:textId="77777777" w:rsidR="00A70754" w:rsidRPr="00FD525D" w:rsidRDefault="00A70754" w:rsidP="00D43351">
            <w:pPr>
              <w:pStyle w:val="Normal-TableText"/>
            </w:pPr>
            <w:r w:rsidRPr="00FD525D">
              <w:t>The combination of the credential and the credential management approach.</w:t>
            </w:r>
          </w:p>
        </w:tc>
      </w:tr>
      <w:tr w:rsidR="00A70754" w:rsidRPr="003C27A4" w14:paraId="0736554A" w14:textId="77777777" w:rsidTr="00D43351">
        <w:tc>
          <w:tcPr>
            <w:tcW w:w="2160" w:type="dxa"/>
          </w:tcPr>
          <w:p w14:paraId="6A85AC70" w14:textId="77777777" w:rsidR="00A70754" w:rsidRPr="00FD525D" w:rsidRDefault="00BE178F" w:rsidP="00D43351">
            <w:pPr>
              <w:pStyle w:val="Normal-TableText"/>
            </w:pPr>
            <w:r>
              <w:lastRenderedPageBreak/>
              <w:t>e</w:t>
            </w:r>
            <w:r>
              <w:noBreakHyphen/>
            </w:r>
            <w:r w:rsidR="00A70754" w:rsidRPr="00FD525D">
              <w:t>Authentication scheme</w:t>
            </w:r>
          </w:p>
        </w:tc>
        <w:tc>
          <w:tcPr>
            <w:tcW w:w="6660" w:type="dxa"/>
          </w:tcPr>
          <w:p w14:paraId="2535421F" w14:textId="77777777" w:rsidR="00A70754" w:rsidRPr="00FD525D" w:rsidRDefault="00A70754" w:rsidP="00D43351">
            <w:pPr>
              <w:pStyle w:val="Normal-TableText"/>
            </w:pPr>
            <w:r w:rsidRPr="00FD525D">
              <w:t xml:space="preserve">A formalised, usually contractually-bounded, community approach to </w:t>
            </w:r>
            <w:r w:rsidR="00BE178F">
              <w:t>e</w:t>
            </w:r>
            <w:r w:rsidR="00BE178F">
              <w:noBreakHyphen/>
            </w:r>
            <w:r w:rsidRPr="00FD525D">
              <w:t>Authentication that identifies all key players including registration authority, credential issuer and verifier, subscribers and relying parties, and all business rules associated with the assessment and containment of risk.</w:t>
            </w:r>
          </w:p>
        </w:tc>
      </w:tr>
      <w:tr w:rsidR="00A70754" w:rsidRPr="003C27A4" w14:paraId="68CA282F" w14:textId="77777777" w:rsidTr="00D43351">
        <w:tc>
          <w:tcPr>
            <w:tcW w:w="2160" w:type="dxa"/>
          </w:tcPr>
          <w:p w14:paraId="4A72A9EF" w14:textId="77777777" w:rsidR="00A70754" w:rsidRPr="00FD525D" w:rsidRDefault="00A70754" w:rsidP="00D43351">
            <w:pPr>
              <w:pStyle w:val="Normal-TableText"/>
            </w:pPr>
            <w:r w:rsidRPr="00FD525D">
              <w:t>Enrolment</w:t>
            </w:r>
          </w:p>
        </w:tc>
        <w:tc>
          <w:tcPr>
            <w:tcW w:w="6660" w:type="dxa"/>
          </w:tcPr>
          <w:p w14:paraId="2BEE1C8D" w14:textId="77777777" w:rsidR="00A70754" w:rsidRPr="00FD525D" w:rsidRDefault="00A70754" w:rsidP="00D43351">
            <w:pPr>
              <w:pStyle w:val="Normal-TableText"/>
            </w:pPr>
            <w:r w:rsidRPr="00FD525D">
              <w:t xml:space="preserve">The act of binding an </w:t>
            </w:r>
            <w:r w:rsidR="00BE178F">
              <w:t>e</w:t>
            </w:r>
            <w:r w:rsidR="00BE178F">
              <w:noBreakHyphen/>
            </w:r>
            <w:r w:rsidRPr="00FD525D">
              <w:t xml:space="preserve">Authentication credential to a known instance of a user within an IT resource context (e.g. network, website, application system) in order to enable access by the user. </w:t>
            </w:r>
          </w:p>
        </w:tc>
      </w:tr>
      <w:tr w:rsidR="00A70754" w:rsidRPr="003C27A4" w14:paraId="744D31F4" w14:textId="77777777" w:rsidTr="00D43351">
        <w:tc>
          <w:tcPr>
            <w:tcW w:w="2160" w:type="dxa"/>
          </w:tcPr>
          <w:p w14:paraId="2E74808C" w14:textId="77777777" w:rsidR="00A70754" w:rsidRPr="00FD525D" w:rsidRDefault="00A70754" w:rsidP="00D43351">
            <w:pPr>
              <w:pStyle w:val="Normal-TableText"/>
            </w:pPr>
            <w:r w:rsidRPr="00FD525D">
              <w:t>Entity</w:t>
            </w:r>
          </w:p>
        </w:tc>
        <w:tc>
          <w:tcPr>
            <w:tcW w:w="6660" w:type="dxa"/>
          </w:tcPr>
          <w:p w14:paraId="46743CCC" w14:textId="77777777" w:rsidR="00A70754" w:rsidRPr="00FD525D" w:rsidRDefault="00A70754" w:rsidP="00D43351">
            <w:pPr>
              <w:pStyle w:val="Normal-TableText"/>
            </w:pPr>
            <w:r w:rsidRPr="00FD525D" w:rsidDel="00FA210E">
              <w:t>T</w:t>
            </w:r>
            <w:r w:rsidRPr="00FD525D">
              <w:t>he person or “subject” (e.g. corporations, trusts, superannuation funds, incorporated associations) associated with a digital identity. An entity may have multiple digital identities.</w:t>
            </w:r>
          </w:p>
        </w:tc>
      </w:tr>
      <w:tr w:rsidR="00A70754" w:rsidRPr="003C27A4" w14:paraId="68DADADD" w14:textId="77777777" w:rsidTr="00D43351">
        <w:tc>
          <w:tcPr>
            <w:tcW w:w="2160" w:type="dxa"/>
          </w:tcPr>
          <w:p w14:paraId="5082414B" w14:textId="77777777" w:rsidR="00A70754" w:rsidRPr="00FD525D" w:rsidRDefault="00A70754" w:rsidP="00D43351">
            <w:pPr>
              <w:pStyle w:val="Normal-TableText"/>
            </w:pPr>
            <w:r w:rsidRPr="00FD525D">
              <w:t>Evidence of Identity (EoI)</w:t>
            </w:r>
          </w:p>
        </w:tc>
        <w:tc>
          <w:tcPr>
            <w:tcW w:w="6660" w:type="dxa"/>
          </w:tcPr>
          <w:p w14:paraId="300FCA91" w14:textId="77777777" w:rsidR="00A70754" w:rsidRPr="00FD525D" w:rsidRDefault="00A70754" w:rsidP="00D43351">
            <w:pPr>
              <w:pStyle w:val="Normal-TableText"/>
            </w:pPr>
            <w:r w:rsidRPr="00FD525D">
              <w:t>Evidence (usually in the form of documents) presented to verify the identity of an entity (person or organisation).</w:t>
            </w:r>
          </w:p>
        </w:tc>
      </w:tr>
      <w:tr w:rsidR="00A70754" w:rsidRPr="003C27A4" w14:paraId="10D7915C" w14:textId="77777777" w:rsidTr="00D43351">
        <w:tc>
          <w:tcPr>
            <w:tcW w:w="2160" w:type="dxa"/>
          </w:tcPr>
          <w:p w14:paraId="2F0B4759" w14:textId="77777777" w:rsidR="00A70754" w:rsidRPr="00FD525D" w:rsidRDefault="00A70754" w:rsidP="00D43351">
            <w:pPr>
              <w:pStyle w:val="Normal-TableText"/>
            </w:pPr>
            <w:r w:rsidRPr="00FD525D">
              <w:t>Evidence of Relationship (EoR)</w:t>
            </w:r>
          </w:p>
        </w:tc>
        <w:tc>
          <w:tcPr>
            <w:tcW w:w="6660" w:type="dxa"/>
          </w:tcPr>
          <w:p w14:paraId="5EBCECDC" w14:textId="77777777" w:rsidR="00A70754" w:rsidRPr="00FD525D" w:rsidRDefault="00A70754" w:rsidP="00D43351">
            <w:pPr>
              <w:pStyle w:val="Normal-TableText"/>
            </w:pPr>
            <w:r w:rsidRPr="00FD525D">
              <w:t>Evidence (e.g. in the form of shared knowledge/secrets, or documentary) used to substantiate that the presenting party has an existing relationship with the relying party (i.e. is already the “owner” of a digital identity on the relying party's system). (In some existing government authentication schemes this is referred to “proof of record ownership”.)</w:t>
            </w:r>
          </w:p>
        </w:tc>
      </w:tr>
      <w:tr w:rsidR="00A70754" w:rsidRPr="003C27A4" w14:paraId="2B2B6225" w14:textId="77777777" w:rsidTr="00D43351">
        <w:tc>
          <w:tcPr>
            <w:tcW w:w="2160" w:type="dxa"/>
          </w:tcPr>
          <w:p w14:paraId="38F03D4E" w14:textId="77777777" w:rsidR="00A70754" w:rsidRPr="00FD525D" w:rsidRDefault="00A70754" w:rsidP="00D43351">
            <w:pPr>
              <w:pStyle w:val="Normal-TableText"/>
            </w:pPr>
            <w:r w:rsidRPr="00FD525D">
              <w:t xml:space="preserve">Identification </w:t>
            </w:r>
          </w:p>
        </w:tc>
        <w:tc>
          <w:tcPr>
            <w:tcW w:w="6660" w:type="dxa"/>
          </w:tcPr>
          <w:p w14:paraId="736CACBA" w14:textId="77777777" w:rsidR="00A70754" w:rsidRPr="00FD525D" w:rsidRDefault="00A70754" w:rsidP="00D43351">
            <w:pPr>
              <w:pStyle w:val="Normal-TableText"/>
            </w:pPr>
            <w:r w:rsidRPr="00FD525D">
              <w:t>A claim or statement of identity (of an individual or business).</w:t>
            </w:r>
          </w:p>
        </w:tc>
      </w:tr>
      <w:tr w:rsidR="00A70754" w:rsidRPr="003C27A4" w14:paraId="124157B5" w14:textId="77777777" w:rsidTr="00D43351">
        <w:tc>
          <w:tcPr>
            <w:tcW w:w="2160" w:type="dxa"/>
          </w:tcPr>
          <w:p w14:paraId="3A60E19C" w14:textId="77777777" w:rsidR="00A70754" w:rsidRPr="00FD525D" w:rsidRDefault="00A70754" w:rsidP="00D43351">
            <w:pPr>
              <w:pStyle w:val="Normal-TableText"/>
            </w:pPr>
            <w:r w:rsidRPr="00FD525D">
              <w:t>Identity</w:t>
            </w:r>
          </w:p>
        </w:tc>
        <w:tc>
          <w:tcPr>
            <w:tcW w:w="6660" w:type="dxa"/>
          </w:tcPr>
          <w:p w14:paraId="31BBF20B" w14:textId="77777777" w:rsidR="00A70754" w:rsidRPr="00FD525D" w:rsidRDefault="00A70754" w:rsidP="00D43351">
            <w:pPr>
              <w:pStyle w:val="Normal-TableText"/>
            </w:pPr>
            <w:r w:rsidRPr="00FD525D">
              <w:t>The representation of an entity, particularly within an information and communication technologies (ICT) context. An entity may be represented as “themselves” or as a representative, role, delegate etc.</w:t>
            </w:r>
          </w:p>
        </w:tc>
      </w:tr>
      <w:tr w:rsidR="00A70754" w:rsidRPr="003C27A4" w14:paraId="7161ABC8" w14:textId="77777777" w:rsidTr="00D43351">
        <w:tc>
          <w:tcPr>
            <w:tcW w:w="2160" w:type="dxa"/>
          </w:tcPr>
          <w:p w14:paraId="6FCE67B5" w14:textId="77777777" w:rsidR="00A70754" w:rsidRPr="00FD525D" w:rsidRDefault="00A70754" w:rsidP="00D43351">
            <w:pPr>
              <w:pStyle w:val="Normal-TableText"/>
            </w:pPr>
            <w:r w:rsidRPr="00FD525D">
              <w:t>National Identity Security Strategy (NISS)</w:t>
            </w:r>
          </w:p>
        </w:tc>
        <w:tc>
          <w:tcPr>
            <w:tcW w:w="6660" w:type="dxa"/>
          </w:tcPr>
          <w:p w14:paraId="5C6D8A5B" w14:textId="77777777" w:rsidR="00A70754" w:rsidRPr="00FD525D" w:rsidRDefault="00A70754" w:rsidP="00D43351">
            <w:pPr>
              <w:pStyle w:val="Normal-TableText"/>
            </w:pPr>
            <w:r w:rsidRPr="00FD525D" w:rsidDel="00FA210E">
              <w:t>NISS is a</w:t>
            </w:r>
            <w:r w:rsidRPr="00FD525D">
              <w:t>n Australian Government initiative to improve identity security, combat identity crime and protect the identities of Australians from being used for illegal purposes.</w:t>
            </w:r>
          </w:p>
        </w:tc>
      </w:tr>
      <w:tr w:rsidR="00A70754" w:rsidRPr="003C27A4" w14:paraId="4816A8B6" w14:textId="77777777" w:rsidTr="00D43351">
        <w:tc>
          <w:tcPr>
            <w:tcW w:w="2160" w:type="dxa"/>
          </w:tcPr>
          <w:p w14:paraId="4B0818FB" w14:textId="77777777" w:rsidR="00A70754" w:rsidRPr="00FD525D" w:rsidRDefault="00A70754" w:rsidP="00D43351">
            <w:pPr>
              <w:pStyle w:val="Normal-TableText"/>
            </w:pPr>
            <w:r w:rsidRPr="00FD525D">
              <w:t>On</w:t>
            </w:r>
            <w:r w:rsidR="00BE178F">
              <w:t>e</w:t>
            </w:r>
            <w:r w:rsidR="00BE178F">
              <w:noBreakHyphen/>
            </w:r>
            <w:r w:rsidRPr="00FD525D">
              <w:t>time password (OTP)</w:t>
            </w:r>
          </w:p>
        </w:tc>
        <w:tc>
          <w:tcPr>
            <w:tcW w:w="6660" w:type="dxa"/>
          </w:tcPr>
          <w:p w14:paraId="10B342CF" w14:textId="77777777" w:rsidR="00A70754" w:rsidRPr="00FD525D" w:rsidRDefault="00A70754" w:rsidP="00D43351">
            <w:pPr>
              <w:pStyle w:val="Normal-TableText"/>
            </w:pPr>
            <w:r w:rsidRPr="00FD525D" w:rsidDel="00FA210E">
              <w:t>An OTP is</w:t>
            </w:r>
            <w:r w:rsidRPr="00FD525D">
              <w:t xml:space="preserve"> a password that is changed each time it is required.</w:t>
            </w:r>
          </w:p>
        </w:tc>
      </w:tr>
      <w:tr w:rsidR="00A70754" w:rsidRPr="003C27A4" w14:paraId="24273603" w14:textId="77777777" w:rsidTr="00D43351">
        <w:tc>
          <w:tcPr>
            <w:tcW w:w="2160" w:type="dxa"/>
          </w:tcPr>
          <w:p w14:paraId="285319B9" w14:textId="77777777" w:rsidR="00A70754" w:rsidRPr="00FD525D" w:rsidRDefault="00A70754" w:rsidP="00D43351">
            <w:pPr>
              <w:pStyle w:val="Normal-TableText"/>
            </w:pPr>
            <w:r w:rsidRPr="00FD525D">
              <w:t>Public Key Infrastructure (PKI)</w:t>
            </w:r>
          </w:p>
        </w:tc>
        <w:tc>
          <w:tcPr>
            <w:tcW w:w="6660" w:type="dxa"/>
          </w:tcPr>
          <w:p w14:paraId="170E8C40" w14:textId="77777777" w:rsidR="00A70754" w:rsidRPr="00FD525D" w:rsidRDefault="00A70754" w:rsidP="00D43351">
            <w:pPr>
              <w:pStyle w:val="Normal-TableText"/>
            </w:pPr>
            <w:r w:rsidRPr="00FD525D" w:rsidDel="00FA210E">
              <w:t>PKI is</w:t>
            </w:r>
            <w:r w:rsidRPr="00FD525D">
              <w:t xml:space="preserve"> a set of processes and systems that support the requirements of public key (or asymmetric) cryptographic security.</w:t>
            </w:r>
          </w:p>
        </w:tc>
      </w:tr>
      <w:tr w:rsidR="00A70754" w:rsidRPr="003C27A4" w14:paraId="65503698" w14:textId="77777777" w:rsidTr="00D43351">
        <w:tc>
          <w:tcPr>
            <w:tcW w:w="2160" w:type="dxa"/>
          </w:tcPr>
          <w:p w14:paraId="0F4FE4DD" w14:textId="77777777" w:rsidR="00A70754" w:rsidRPr="00FD525D" w:rsidRDefault="00A70754" w:rsidP="00D43351">
            <w:pPr>
              <w:pStyle w:val="Normal-TableText"/>
            </w:pPr>
            <w:r w:rsidRPr="00FD525D">
              <w:t>Registration</w:t>
            </w:r>
          </w:p>
        </w:tc>
        <w:tc>
          <w:tcPr>
            <w:tcW w:w="6660" w:type="dxa"/>
          </w:tcPr>
          <w:p w14:paraId="070BA89D" w14:textId="77777777" w:rsidR="00A70754" w:rsidRPr="00FD525D" w:rsidRDefault="00A70754" w:rsidP="00D43351">
            <w:pPr>
              <w:pStyle w:val="Normal-TableText"/>
            </w:pPr>
            <w:r w:rsidRPr="00FD525D">
              <w:t>The processes associated with the initial creation of an electronic identity for a user.</w:t>
            </w:r>
            <w:r>
              <w:t xml:space="preserve"> </w:t>
            </w:r>
            <w:r w:rsidRPr="00FD525D">
              <w:t>Registration usually encompasses EOI and/or EOR processes.</w:t>
            </w:r>
          </w:p>
        </w:tc>
      </w:tr>
      <w:tr w:rsidR="00A70754" w:rsidRPr="003C27A4" w14:paraId="6E480FEB" w14:textId="77777777" w:rsidTr="00D43351">
        <w:tc>
          <w:tcPr>
            <w:tcW w:w="2160" w:type="dxa"/>
          </w:tcPr>
          <w:p w14:paraId="514B61D3" w14:textId="77777777" w:rsidR="00A70754" w:rsidRPr="00FD525D" w:rsidRDefault="00A70754" w:rsidP="00D43351">
            <w:pPr>
              <w:pStyle w:val="Normal-TableText"/>
            </w:pPr>
            <w:r w:rsidRPr="00FD525D">
              <w:t>Subscriber</w:t>
            </w:r>
          </w:p>
        </w:tc>
        <w:tc>
          <w:tcPr>
            <w:tcW w:w="6660" w:type="dxa"/>
          </w:tcPr>
          <w:p w14:paraId="53F4B81D" w14:textId="77777777" w:rsidR="00A70754" w:rsidRPr="00FD525D" w:rsidRDefault="00A70754" w:rsidP="00D43351">
            <w:pPr>
              <w:pStyle w:val="Normal-TableText"/>
            </w:pPr>
            <w:r w:rsidRPr="00FD525D">
              <w:t xml:space="preserve">The entity that “applies for”, is issued with and uses an </w:t>
            </w:r>
            <w:r w:rsidR="00BE178F">
              <w:t>e</w:t>
            </w:r>
            <w:r w:rsidR="00BE178F">
              <w:noBreakHyphen/>
            </w:r>
            <w:r w:rsidRPr="00FD525D">
              <w:t>Authentication credential.</w:t>
            </w:r>
          </w:p>
        </w:tc>
      </w:tr>
      <w:tr w:rsidR="00A70754" w:rsidRPr="003C27A4" w14:paraId="46DF9E7B" w14:textId="77777777" w:rsidTr="00D43351">
        <w:tc>
          <w:tcPr>
            <w:tcW w:w="2160" w:type="dxa"/>
          </w:tcPr>
          <w:p w14:paraId="5D978CFA" w14:textId="77777777" w:rsidR="00A70754" w:rsidRPr="00FD525D" w:rsidRDefault="00A70754" w:rsidP="00D43351">
            <w:pPr>
              <w:pStyle w:val="Normal-TableText"/>
            </w:pPr>
            <w:r w:rsidRPr="00FD525D">
              <w:t>Token</w:t>
            </w:r>
          </w:p>
        </w:tc>
        <w:tc>
          <w:tcPr>
            <w:tcW w:w="6660" w:type="dxa"/>
          </w:tcPr>
          <w:p w14:paraId="1A082E29" w14:textId="77777777" w:rsidR="00A70754" w:rsidRPr="00FD525D" w:rsidRDefault="00A70754" w:rsidP="00D43351">
            <w:pPr>
              <w:pStyle w:val="Normal-TableText"/>
            </w:pPr>
            <w:r w:rsidRPr="00FD525D">
              <w:t>A hardware device (e.g. smartcard, mobile phone) that stores authentication information and may be able to perform programmatic functions (e.g. encryption).</w:t>
            </w:r>
          </w:p>
        </w:tc>
      </w:tr>
    </w:tbl>
    <w:p w14:paraId="387B66F5" w14:textId="77777777" w:rsidR="00A70754" w:rsidRPr="00676976" w:rsidRDefault="00A70754" w:rsidP="00D43351">
      <w:pPr>
        <w:pStyle w:val="Heading1Numbered"/>
      </w:pPr>
      <w:bookmarkStart w:id="110" w:name="_Context_and_Positioning"/>
      <w:bookmarkStart w:id="111" w:name="_Toc430770907"/>
      <w:bookmarkEnd w:id="110"/>
      <w:r w:rsidRPr="00676976">
        <w:lastRenderedPageBreak/>
        <w:t xml:space="preserve">Identity </w:t>
      </w:r>
      <w:r w:rsidR="00BE178F">
        <w:t>e</w:t>
      </w:r>
      <w:r w:rsidR="00BE178F">
        <w:noBreakHyphen/>
      </w:r>
      <w:r w:rsidRPr="00676976">
        <w:t>Authentication planning (see Better Practice Guidelines Vol.</w:t>
      </w:r>
      <w:r w:rsidR="00D43351">
        <w:t> </w:t>
      </w:r>
      <w:r w:rsidRPr="00676976">
        <w:t>4)</w:t>
      </w:r>
      <w:bookmarkEnd w:id="111"/>
    </w:p>
    <w:p w14:paraId="7129970C" w14:textId="77777777" w:rsidR="00A70754" w:rsidRPr="00676976" w:rsidRDefault="00A70754" w:rsidP="00D43351">
      <w:pPr>
        <w:pStyle w:val="Heading2Numbered"/>
      </w:pPr>
      <w:bookmarkStart w:id="112" w:name="_Toc430770908"/>
      <w:r w:rsidRPr="00676976">
        <w:t>Introduction</w:t>
      </w:r>
      <w:bookmarkEnd w:id="112"/>
    </w:p>
    <w:p w14:paraId="6394A397" w14:textId="77777777" w:rsidR="00A70754" w:rsidRDefault="00A70754" w:rsidP="00D43351">
      <w:r w:rsidRPr="003C27A4">
        <w:t xml:space="preserve">A strategic approach to </w:t>
      </w:r>
      <w:r w:rsidR="00BE178F">
        <w:t>e</w:t>
      </w:r>
      <w:r w:rsidR="00BE178F">
        <w:noBreakHyphen/>
      </w:r>
      <w:r>
        <w:t>A</w:t>
      </w:r>
      <w:r w:rsidRPr="003C27A4">
        <w:t xml:space="preserve">uthentication will underpin the adoption of </w:t>
      </w:r>
      <w:r w:rsidR="00BE178F">
        <w:t>e</w:t>
      </w:r>
      <w:r w:rsidR="00BE178F">
        <w:noBreakHyphen/>
      </w:r>
      <w:r>
        <w:t>A</w:t>
      </w:r>
      <w:r w:rsidRPr="003C27A4">
        <w:t xml:space="preserve">uthentication approaches that are consistent with NeAF, supporting a more rapid deployment and use of </w:t>
      </w:r>
      <w:r w:rsidR="00BE178F">
        <w:t>e</w:t>
      </w:r>
      <w:r w:rsidR="00BE178F">
        <w:noBreakHyphen/>
      </w:r>
      <w:r>
        <w:t>A</w:t>
      </w:r>
      <w:r w:rsidRPr="003C27A4">
        <w:t>uthentication credentials at the least cost and effort to agencies, individuals and businesses. A strategic approach will also enable consideration of relevant connected government initiatives.</w:t>
      </w:r>
    </w:p>
    <w:p w14:paraId="5854B7FD" w14:textId="77777777" w:rsidR="00A70754" w:rsidRPr="003C27A4" w:rsidRDefault="00A70754" w:rsidP="00D43351">
      <w:r w:rsidRPr="003C27A4">
        <w:t xml:space="preserve">Development of an agency </w:t>
      </w:r>
      <w:r w:rsidR="00BE178F">
        <w:t>e</w:t>
      </w:r>
      <w:r w:rsidR="00BE178F">
        <w:noBreakHyphen/>
      </w:r>
      <w:r>
        <w:t>A</w:t>
      </w:r>
      <w:r w:rsidRPr="003C27A4">
        <w:t>uthentication strategy will:</w:t>
      </w:r>
    </w:p>
    <w:p w14:paraId="45234079" w14:textId="77777777" w:rsidR="00A70754" w:rsidRPr="003C27A4" w:rsidRDefault="00A70754" w:rsidP="00D43351">
      <w:pPr>
        <w:pStyle w:val="Bullet1"/>
      </w:pPr>
      <w:r w:rsidRPr="003C27A4">
        <w:t xml:space="preserve">develop a bird’s eye view of the agency’s </w:t>
      </w:r>
      <w:r w:rsidR="00BE178F">
        <w:t>e</w:t>
      </w:r>
      <w:r w:rsidR="00BE178F">
        <w:noBreakHyphen/>
      </w:r>
      <w:r>
        <w:t>A</w:t>
      </w:r>
      <w:r w:rsidRPr="003C27A4">
        <w:t>uthentication requirements in the context of the agency and government’s overall approach to information security</w:t>
      </w:r>
    </w:p>
    <w:p w14:paraId="746D3A72" w14:textId="77777777" w:rsidR="00A70754" w:rsidRPr="003C27A4" w:rsidRDefault="00A70754" w:rsidP="00D43351">
      <w:pPr>
        <w:pStyle w:val="Bullet1"/>
      </w:pPr>
      <w:r w:rsidRPr="003C27A4">
        <w:t>highlight areas of particular risk and difficulty, including requirements to change processes and</w:t>
      </w:r>
      <w:r w:rsidR="00383CF9">
        <w:t> </w:t>
      </w:r>
      <w:r w:rsidRPr="003C27A4">
        <w:t>systems</w:t>
      </w:r>
    </w:p>
    <w:p w14:paraId="1D68151D" w14:textId="77777777" w:rsidR="00A70754" w:rsidRPr="003C27A4" w:rsidRDefault="00A70754" w:rsidP="00D43351">
      <w:pPr>
        <w:pStyle w:val="Bullet1"/>
      </w:pPr>
      <w:r w:rsidRPr="003C27A4">
        <w:t xml:space="preserve">determine the costs, benefits and risks associated with the </w:t>
      </w:r>
      <w:r w:rsidR="00BE178F">
        <w:t>e</w:t>
      </w:r>
      <w:r w:rsidR="00BE178F">
        <w:noBreakHyphen/>
      </w:r>
      <w:r>
        <w:t>Authentication</w:t>
      </w:r>
      <w:r w:rsidRPr="003C27A4">
        <w:t xml:space="preserve"> requirements</w:t>
      </w:r>
    </w:p>
    <w:p w14:paraId="3CFEAA04" w14:textId="77777777" w:rsidR="00A70754" w:rsidRPr="003C27A4" w:rsidRDefault="00A70754" w:rsidP="00D43351">
      <w:pPr>
        <w:pStyle w:val="Bullet1"/>
      </w:pPr>
      <w:r w:rsidRPr="003C27A4">
        <w:t>develop an implementation strategy including:</w:t>
      </w:r>
    </w:p>
    <w:p w14:paraId="10CD22F0" w14:textId="77777777" w:rsidR="00A70754" w:rsidRPr="003C27A4" w:rsidRDefault="00A70754" w:rsidP="00D43351">
      <w:pPr>
        <w:pStyle w:val="Bullet2"/>
      </w:pPr>
      <w:r w:rsidRPr="003C27A4">
        <w:t>determining awareness-raising, training and chang</w:t>
      </w:r>
      <w:r w:rsidR="00BE178F">
        <w:t>e</w:t>
      </w:r>
      <w:r w:rsidR="00BE178F">
        <w:noBreakHyphen/>
      </w:r>
      <w:r w:rsidRPr="003C27A4">
        <w:t>management requirements for agency personnel and users</w:t>
      </w:r>
    </w:p>
    <w:p w14:paraId="28C20F9B" w14:textId="77777777" w:rsidR="00A70754" w:rsidRPr="003C27A4" w:rsidRDefault="00A70754" w:rsidP="00D43351">
      <w:pPr>
        <w:pStyle w:val="Bullet2"/>
      </w:pPr>
      <w:r w:rsidRPr="003C27A4">
        <w:t>determining appropriate governance and reporting approaches</w:t>
      </w:r>
    </w:p>
    <w:p w14:paraId="37DD6C8D" w14:textId="77777777" w:rsidR="00A70754" w:rsidRPr="003C27A4" w:rsidRDefault="00A70754" w:rsidP="00D43351">
      <w:pPr>
        <w:pStyle w:val="Bullet1"/>
      </w:pPr>
      <w:r w:rsidRPr="003C27A4">
        <w:t>allocate responsibility and resources for implementation.</w:t>
      </w:r>
    </w:p>
    <w:p w14:paraId="449A1C63" w14:textId="77777777" w:rsidR="00A70754" w:rsidRPr="003C27A4" w:rsidRDefault="00A70754" w:rsidP="00D43351">
      <w:r w:rsidRPr="003C27A4">
        <w:t xml:space="preserve">An agency </w:t>
      </w:r>
      <w:r w:rsidR="00BE178F">
        <w:t>e</w:t>
      </w:r>
      <w:r w:rsidR="00BE178F">
        <w:noBreakHyphen/>
      </w:r>
      <w:r>
        <w:t>A</w:t>
      </w:r>
      <w:r w:rsidRPr="003C27A4">
        <w:t>uthentication strategy needs to take both a top-down and bottom-up view. The top</w:t>
      </w:r>
      <w:r w:rsidR="00383CF9">
        <w:noBreakHyphen/>
      </w:r>
      <w:r w:rsidRPr="003C27A4">
        <w:t>down view relates to the overall information security management policies, approaches and architectures of an agency, and the governance and reporting approaches required to provide the requisite level of corporate assurance.</w:t>
      </w:r>
      <w:r>
        <w:t xml:space="preserve"> </w:t>
      </w:r>
      <w:r w:rsidRPr="003C27A4">
        <w:t>A top-down approach shall also factor in existing government identity-related policies and frameworks.</w:t>
      </w:r>
    </w:p>
    <w:p w14:paraId="673FE086" w14:textId="77777777" w:rsidR="00A70754" w:rsidRPr="003C27A4" w:rsidRDefault="00A70754" w:rsidP="00D43351">
      <w:r w:rsidRPr="003C27A4">
        <w:t xml:space="preserve">The bottom-up view relates to the matrix of user bases, transaction sets and </w:t>
      </w:r>
      <w:r w:rsidR="00BE178F">
        <w:t>e</w:t>
      </w:r>
      <w:r w:rsidR="00BE178F">
        <w:noBreakHyphen/>
      </w:r>
      <w:r>
        <w:t>Authentication</w:t>
      </w:r>
      <w:r w:rsidRPr="003C27A4">
        <w:t xml:space="preserve"> approaches. These need to be captured and correlated, with the intelligence gained being used to map out an agency’s general approach to </w:t>
      </w:r>
      <w:r w:rsidR="00BE178F">
        <w:t>e</w:t>
      </w:r>
      <w:r w:rsidR="00BE178F">
        <w:noBreakHyphen/>
      </w:r>
      <w:r>
        <w:t>Authentication</w:t>
      </w:r>
      <w:r w:rsidRPr="003C27A4">
        <w:t>.</w:t>
      </w:r>
      <w:r>
        <w:t xml:space="preserve"> </w:t>
      </w:r>
      <w:r w:rsidRPr="003C27A4">
        <w:t>It is important that this activity is informed by discussions with users and collaboration with other agencies that deal with the same user bases.</w:t>
      </w:r>
    </w:p>
    <w:p w14:paraId="1895575D" w14:textId="77777777" w:rsidR="00A70754" w:rsidRPr="00676976" w:rsidRDefault="00A70754" w:rsidP="00D43351">
      <w:pPr>
        <w:pStyle w:val="Heading2Numbered"/>
      </w:pPr>
      <w:bookmarkStart w:id="113" w:name="_Toc206064741"/>
      <w:bookmarkStart w:id="114" w:name="_Toc206065810"/>
      <w:bookmarkStart w:id="115" w:name="_Toc206065898"/>
      <w:bookmarkStart w:id="116" w:name="_Toc206065985"/>
      <w:bookmarkStart w:id="117" w:name="_Toc430770909"/>
      <w:bookmarkEnd w:id="113"/>
      <w:bookmarkEnd w:id="114"/>
      <w:bookmarkEnd w:id="115"/>
      <w:bookmarkEnd w:id="116"/>
      <w:r w:rsidRPr="00676976">
        <w:t>Identity and access management</w:t>
      </w:r>
      <w:bookmarkEnd w:id="117"/>
    </w:p>
    <w:p w14:paraId="344546BB" w14:textId="77777777" w:rsidR="00383CF9" w:rsidRDefault="00BE178F" w:rsidP="00D43351">
      <w:r>
        <w:t>e</w:t>
      </w:r>
      <w:r>
        <w:noBreakHyphen/>
      </w:r>
      <w:r w:rsidR="00A70754" w:rsidRPr="00676976">
        <w:t xml:space="preserve">Authentication strategies are best determined within the context of an overarching identity and access management framework that provides a unifying approach to the management of access to information – and, in some cases, physical resources (e.g. premises) – and informs conformance across the areas illustrated in </w:t>
      </w:r>
      <w:r w:rsidR="00C3702B">
        <w:fldChar w:fldCharType="begin" w:fldLock="1"/>
      </w:r>
      <w:r w:rsidR="00C3702B">
        <w:instrText xml:space="preserve"> REF _Ref430782208 \h </w:instrText>
      </w:r>
      <w:r w:rsidR="00C3702B">
        <w:fldChar w:fldCharType="separate"/>
      </w:r>
      <w:r w:rsidR="00933C42" w:rsidRPr="00FF21DD">
        <w:t xml:space="preserve">Figure </w:t>
      </w:r>
      <w:r w:rsidR="00933C42">
        <w:rPr>
          <w:noProof/>
        </w:rPr>
        <w:t>1</w:t>
      </w:r>
      <w:r w:rsidR="00C3702B">
        <w:fldChar w:fldCharType="end"/>
      </w:r>
      <w:r w:rsidR="00A70754" w:rsidRPr="00676976">
        <w:t xml:space="preserve"> above.</w:t>
      </w:r>
    </w:p>
    <w:p w14:paraId="6F3BA41F" w14:textId="77777777" w:rsidR="00A70754" w:rsidRPr="00676976" w:rsidRDefault="00A70754" w:rsidP="00D43351">
      <w:pPr>
        <w:pStyle w:val="Heading2Numbered"/>
      </w:pPr>
      <w:bookmarkStart w:id="118" w:name="_Toc430770910"/>
      <w:r w:rsidRPr="00676976">
        <w:lastRenderedPageBreak/>
        <w:t>Systems architecture and systems development lifecycle</w:t>
      </w:r>
      <w:bookmarkEnd w:id="118"/>
    </w:p>
    <w:p w14:paraId="5E1431D2" w14:textId="77777777" w:rsidR="00A70754" w:rsidRPr="003C27A4" w:rsidRDefault="00BE178F" w:rsidP="00D43351">
      <w:r>
        <w:t>e</w:t>
      </w:r>
      <w:r>
        <w:noBreakHyphen/>
      </w:r>
      <w:r w:rsidR="00A70754" w:rsidRPr="003C27A4">
        <w:t>Authentication requirements should be factored into agencies’ periodic reviews of systems architectures. ISO/IEC 15288:2008 Systems engineering</w:t>
      </w:r>
      <w:r w:rsidR="00A70754">
        <w:t xml:space="preserve"> – </w:t>
      </w:r>
      <w:r w:rsidR="00A70754" w:rsidRPr="003C27A4">
        <w:t xml:space="preserve">System Life Cycle Processes can provide useful guidance to agencies. It is essential that </w:t>
      </w:r>
      <w:r>
        <w:t>e</w:t>
      </w:r>
      <w:r>
        <w:noBreakHyphen/>
      </w:r>
      <w:r w:rsidR="00A70754">
        <w:t>Authentication</w:t>
      </w:r>
      <w:r w:rsidR="00A70754" w:rsidRPr="003C27A4">
        <w:t xml:space="preserve"> requirements are identified in the earliest stage of this lifecycle and carried forward to ensure that a suitable and robust approach is engineered into all necessary aspects of the solution, the surrounding processes, and the testing, training, deployment and operations.</w:t>
      </w:r>
    </w:p>
    <w:p w14:paraId="47C8292B" w14:textId="77777777" w:rsidR="00A70754" w:rsidRDefault="00A70754" w:rsidP="00D43351">
      <w:pPr>
        <w:pStyle w:val="Heading2Numbered"/>
      </w:pPr>
      <w:bookmarkStart w:id="119" w:name="_Toc430770911"/>
      <w:bookmarkStart w:id="120" w:name="OLE_LINK5"/>
      <w:bookmarkStart w:id="121" w:name="OLE_LINK6"/>
      <w:r w:rsidRPr="00676976">
        <w:t>Privacy</w:t>
      </w:r>
      <w:bookmarkEnd w:id="119"/>
    </w:p>
    <w:bookmarkEnd w:id="120"/>
    <w:bookmarkEnd w:id="121"/>
    <w:p w14:paraId="64E03554" w14:textId="77777777" w:rsidR="00A70754" w:rsidRPr="00676976" w:rsidRDefault="00A70754" w:rsidP="00D43351">
      <w:r w:rsidRPr="00676976">
        <w:t>The Commonwealth and each state and territory regulate the collection and handling of personal information either by legislative or administrative regimes.</w:t>
      </w:r>
      <w:r>
        <w:t xml:space="preserve"> </w:t>
      </w:r>
      <w:r w:rsidRPr="00676976">
        <w:t>Agencies shall ensure that implementation meets all relevant regulatory and administrative requirements for their jurisdiction, as well as community expectations.</w:t>
      </w:r>
    </w:p>
    <w:p w14:paraId="086AC823" w14:textId="77777777" w:rsidR="00A70754" w:rsidRPr="00676976" w:rsidRDefault="00A70754" w:rsidP="00D43351">
      <w:pPr>
        <w:pStyle w:val="Heading2Numbered"/>
      </w:pPr>
      <w:bookmarkStart w:id="122" w:name="_Toc430770912"/>
      <w:r w:rsidRPr="00676976">
        <w:t>Risk management</w:t>
      </w:r>
      <w:bookmarkEnd w:id="122"/>
    </w:p>
    <w:p w14:paraId="038C9A6B" w14:textId="77777777" w:rsidR="00A70754" w:rsidRPr="00040ACD" w:rsidRDefault="00A70754" w:rsidP="00D43351">
      <w:pPr>
        <w:pStyle w:val="Heading3Numbered"/>
      </w:pPr>
      <w:r w:rsidRPr="00040ACD">
        <w:t>Introduction</w:t>
      </w:r>
    </w:p>
    <w:p w14:paraId="440CBB16" w14:textId="77777777" w:rsidR="00A70754" w:rsidRDefault="00A70754" w:rsidP="00D43351">
      <w:r w:rsidRPr="003C27A4">
        <w:t>As part of the systems development lifecycle</w:t>
      </w:r>
      <w:r w:rsidRPr="001A34D1">
        <w:rPr>
          <w:rStyle w:val="FootnoteReference"/>
        </w:rPr>
        <w:footnoteReference w:id="2"/>
      </w:r>
      <w:r w:rsidRPr="003C27A4">
        <w:t>, agencies will evaluate and resolve a range of information security threats, vulnerabilities and consequences.</w:t>
      </w:r>
      <w:r>
        <w:t xml:space="preserve"> </w:t>
      </w:r>
      <w:r w:rsidRPr="003C27A4">
        <w:t>Mitigation strategies are typically designed to reduce either the likelihood of a threat occurring or to reduce the consequences (i.e. impact) in the event it does occur.</w:t>
      </w:r>
    </w:p>
    <w:p w14:paraId="37720805" w14:textId="64B4B79C" w:rsidR="00A70754" w:rsidRPr="003C27A4" w:rsidRDefault="00A70754" w:rsidP="00D43351">
      <w:r w:rsidRPr="003C27A4">
        <w:t>Typically this will be done by following risk management methods and applying information security treatments such as those codified in organisational policies and national and international standards (e.g. AS/NZS 4360:</w:t>
      </w:r>
      <w:r>
        <w:t> 200</w:t>
      </w:r>
      <w:r w:rsidRPr="003C27A4">
        <w:t>4 Risk Management and AS/NZS ISO/IEC 27001:2006 Information technology</w:t>
      </w:r>
      <w:r>
        <w:t xml:space="preserve"> – </w:t>
      </w:r>
      <w:r w:rsidRPr="003C27A4">
        <w:t>Security techniques</w:t>
      </w:r>
      <w:r>
        <w:t xml:space="preserve"> – </w:t>
      </w:r>
      <w:r w:rsidRPr="003C27A4">
        <w:t>Information security management systems – Requirements; and AS/NZS ISO/IEC 27002:2005 Information technology</w:t>
      </w:r>
      <w:r>
        <w:t xml:space="preserve"> – </w:t>
      </w:r>
      <w:r w:rsidRPr="003C27A4">
        <w:t>Security techniques</w:t>
      </w:r>
      <w:r>
        <w:t xml:space="preserve"> – </w:t>
      </w:r>
      <w:r w:rsidRPr="003C27A4">
        <w:t>Code of practice for information security management), in government policy directives such as ISM</w:t>
      </w:r>
      <w:r w:rsidRPr="001A34D1">
        <w:rPr>
          <w:rStyle w:val="FootnoteReference"/>
        </w:rPr>
        <w:footnoteReference w:id="3"/>
      </w:r>
      <w:r w:rsidRPr="003C27A4">
        <w:t xml:space="preserve"> and the </w:t>
      </w:r>
      <w:r w:rsidR="005B59AA" w:rsidRPr="003C27A4">
        <w:t>PS</w:t>
      </w:r>
      <w:r w:rsidR="005B59AA">
        <w:t>PF</w:t>
      </w:r>
      <w:r w:rsidRPr="001A34D1">
        <w:rPr>
          <w:rStyle w:val="FootnoteReference"/>
        </w:rPr>
        <w:footnoteReference w:id="4"/>
      </w:r>
      <w:r w:rsidRPr="003C27A4">
        <w:t>.</w:t>
      </w:r>
    </w:p>
    <w:p w14:paraId="2CAA772B" w14:textId="77777777" w:rsidR="00A70754" w:rsidRDefault="00A70754" w:rsidP="00D43351">
      <w:r w:rsidRPr="003C27A4">
        <w:t xml:space="preserve">The determination of an appropriate approach to </w:t>
      </w:r>
      <w:r w:rsidR="00BE178F">
        <w:t>e</w:t>
      </w:r>
      <w:r w:rsidR="00BE178F">
        <w:noBreakHyphen/>
      </w:r>
      <w:r>
        <w:t>Authentication</w:t>
      </w:r>
      <w:r w:rsidRPr="003C27A4">
        <w:t xml:space="preserve"> does not occur in isolation.</w:t>
      </w:r>
      <w:r>
        <w:t xml:space="preserve"> </w:t>
      </w:r>
      <w:r w:rsidRPr="003C27A4">
        <w:t>It is usually generated by other processes (e.g. application development) and is positioned within the overarching risk management and information security management regimes of an agency.</w:t>
      </w:r>
    </w:p>
    <w:p w14:paraId="22AA6DD0" w14:textId="77777777" w:rsidR="00A70754" w:rsidRPr="00040ACD" w:rsidRDefault="00A70754" w:rsidP="00D43351">
      <w:pPr>
        <w:pStyle w:val="Heading3Numbered"/>
      </w:pPr>
      <w:r w:rsidRPr="00040ACD">
        <w:t>Types of electronic transactions</w:t>
      </w:r>
    </w:p>
    <w:p w14:paraId="7F437915" w14:textId="77777777" w:rsidR="00A70754" w:rsidRPr="003C27A4" w:rsidRDefault="00A70754" w:rsidP="00D43351">
      <w:r w:rsidRPr="003C27A4">
        <w:t>Typically electronic transactions undertaken by individuals or businesses with government fall into five main categories:</w:t>
      </w:r>
    </w:p>
    <w:p w14:paraId="5A89277E" w14:textId="77777777" w:rsidR="00A70754" w:rsidRPr="003C27A4" w:rsidRDefault="00A70754" w:rsidP="00D43351">
      <w:pPr>
        <w:pStyle w:val="Bullet1"/>
      </w:pPr>
      <w:r w:rsidRPr="003C27A4">
        <w:t>enquiries</w:t>
      </w:r>
    </w:p>
    <w:p w14:paraId="5ABCF932" w14:textId="77777777" w:rsidR="00A70754" w:rsidRPr="003C27A4" w:rsidRDefault="00A70754" w:rsidP="00D43351">
      <w:pPr>
        <w:pStyle w:val="Bullet1"/>
      </w:pPr>
      <w:r w:rsidRPr="003C27A4">
        <w:t>information provision or instruction</w:t>
      </w:r>
    </w:p>
    <w:p w14:paraId="1EB0C6A3" w14:textId="77777777" w:rsidR="00A70754" w:rsidRPr="003C27A4" w:rsidRDefault="00A70754" w:rsidP="00D43351">
      <w:pPr>
        <w:pStyle w:val="Bullet1"/>
      </w:pPr>
      <w:r w:rsidRPr="003C27A4">
        <w:t>declarations</w:t>
      </w:r>
    </w:p>
    <w:p w14:paraId="7EC11C06" w14:textId="77777777" w:rsidR="00A70754" w:rsidRPr="003C27A4" w:rsidRDefault="00A70754" w:rsidP="00D43351">
      <w:pPr>
        <w:pStyle w:val="Bullet1"/>
      </w:pPr>
      <w:r w:rsidRPr="003C27A4">
        <w:lastRenderedPageBreak/>
        <w:t>statements</w:t>
      </w:r>
      <w:r>
        <w:t>; and</w:t>
      </w:r>
    </w:p>
    <w:p w14:paraId="515D16F4" w14:textId="77777777" w:rsidR="00A70754" w:rsidRDefault="00A70754" w:rsidP="00D43351">
      <w:pPr>
        <w:pStyle w:val="Bullet1"/>
      </w:pPr>
      <w:r w:rsidRPr="003C27A4">
        <w:t>financial transactions.</w:t>
      </w:r>
    </w:p>
    <w:p w14:paraId="7B466362" w14:textId="77777777" w:rsidR="00D43351" w:rsidRDefault="00A70754" w:rsidP="003326A8">
      <w:r w:rsidRPr="003C27A4">
        <w:t>The nature and extent of threats and risks associated with these categories of electronic transactions will vary according to the sensitivity of the information to be exchanged, the value of the transaction and/or the legal issues associated with the transaction.</w:t>
      </w:r>
    </w:p>
    <w:p w14:paraId="565F9126" w14:textId="77777777" w:rsidR="00A70754" w:rsidRPr="00337855" w:rsidRDefault="00A70754" w:rsidP="00D43351">
      <w:pPr>
        <w:pStyle w:val="Heading3Numbered"/>
      </w:pPr>
      <w:r w:rsidRPr="00337855">
        <w:t>Electronic transaction risk treatment</w:t>
      </w:r>
    </w:p>
    <w:p w14:paraId="2B504409" w14:textId="77777777" w:rsidR="00A70754" w:rsidRPr="003C27A4" w:rsidRDefault="00A70754" w:rsidP="00D43351">
      <w:r w:rsidRPr="003C27A4">
        <w:t>Risk mitigation solutions to electronic transactions seek to treat the following for security risks:</w:t>
      </w:r>
    </w:p>
    <w:p w14:paraId="414ECFF5" w14:textId="77777777" w:rsidR="00A70754" w:rsidRDefault="00A70754" w:rsidP="00D43351">
      <w:pPr>
        <w:pStyle w:val="NumberedList1"/>
      </w:pPr>
      <w:r w:rsidRPr="00D43351">
        <w:rPr>
          <w:rStyle w:val="Strong"/>
        </w:rPr>
        <w:t>Authentication:</w:t>
      </w:r>
      <w:r w:rsidRPr="003C27A4">
        <w:t xml:space="preserve"> Do we have the correct party at the other end of the line – i.e. are they who they purport to be?</w:t>
      </w:r>
    </w:p>
    <w:p w14:paraId="078CB6CF" w14:textId="77777777" w:rsidR="00A70754" w:rsidRDefault="00A70754" w:rsidP="00D43351">
      <w:pPr>
        <w:pStyle w:val="NumberedList1"/>
      </w:pPr>
      <w:r w:rsidRPr="001A34D1">
        <w:rPr>
          <w:rStyle w:val="Strong"/>
        </w:rPr>
        <w:t>Data integrity:</w:t>
      </w:r>
      <w:r w:rsidRPr="003C27A4">
        <w:t xml:space="preserve"> Can we detect if information has been altered while in transit?</w:t>
      </w:r>
    </w:p>
    <w:p w14:paraId="3C4DDDA5" w14:textId="77777777" w:rsidR="00A70754" w:rsidRDefault="00A70754" w:rsidP="00D43351">
      <w:pPr>
        <w:pStyle w:val="NumberedList1"/>
      </w:pPr>
      <w:r w:rsidRPr="001A34D1">
        <w:rPr>
          <w:rStyle w:val="Strong"/>
        </w:rPr>
        <w:t>Confidentiality:</w:t>
      </w:r>
      <w:r w:rsidRPr="003C27A4">
        <w:t xml:space="preserve"> Can we ensure that information while in transit remains confidential?</w:t>
      </w:r>
    </w:p>
    <w:p w14:paraId="123CD07F" w14:textId="77777777" w:rsidR="00A70754" w:rsidRPr="003C27A4" w:rsidRDefault="00A70754" w:rsidP="00D43351">
      <w:pPr>
        <w:pStyle w:val="NumberedList1"/>
      </w:pPr>
      <w:r w:rsidRPr="001A34D1">
        <w:rPr>
          <w:rStyle w:val="Strong"/>
        </w:rPr>
        <w:t>Non-repudiation:</w:t>
      </w:r>
      <w:r w:rsidRPr="003C27A4">
        <w:t xml:space="preserve"> Can we prove that a given identity submitted or approved or signed the received information?</w:t>
      </w:r>
      <w:r w:rsidRPr="001A34D1">
        <w:rPr>
          <w:rStyle w:val="FootnoteReference"/>
        </w:rPr>
        <w:t xml:space="preserve"> </w:t>
      </w:r>
      <w:r w:rsidRPr="001A34D1">
        <w:rPr>
          <w:rStyle w:val="FootnoteReference"/>
        </w:rPr>
        <w:footnoteReference w:id="5"/>
      </w:r>
    </w:p>
    <w:p w14:paraId="42174B8A" w14:textId="77777777" w:rsidR="00A70754" w:rsidRPr="003C27A4" w:rsidRDefault="00A70754" w:rsidP="00D43351">
      <w:r w:rsidRPr="003C27A4">
        <w:t>The objective of this NeAF is to address the first of these questions.</w:t>
      </w:r>
    </w:p>
    <w:p w14:paraId="12B9B7D7" w14:textId="77777777" w:rsidR="00A70754" w:rsidRPr="00337855" w:rsidRDefault="00A70754" w:rsidP="00D43351">
      <w:pPr>
        <w:pStyle w:val="Heading3Numbered"/>
      </w:pPr>
      <w:r w:rsidRPr="00337855">
        <w:t>Classes of risk treatments</w:t>
      </w:r>
    </w:p>
    <w:p w14:paraId="79CE6A40" w14:textId="77777777" w:rsidR="00A70754" w:rsidRPr="003C27A4" w:rsidRDefault="00A70754" w:rsidP="00D43351">
      <w:r w:rsidRPr="003C27A4">
        <w:t>Agencies mitigate threats by implementing control measures at different stages of the electronic transaction lifecycle. These controls can be classed as:</w:t>
      </w:r>
    </w:p>
    <w:p w14:paraId="7ECF0D76" w14:textId="77777777" w:rsidR="00A70754" w:rsidRDefault="00A70754" w:rsidP="00D43351">
      <w:pPr>
        <w:pStyle w:val="Bullet1"/>
      </w:pPr>
      <w:r w:rsidRPr="003C27A4">
        <w:t>before the transaction</w:t>
      </w:r>
    </w:p>
    <w:p w14:paraId="68445D94" w14:textId="77777777" w:rsidR="00A70754" w:rsidRDefault="00A70754" w:rsidP="00D43351">
      <w:pPr>
        <w:pStyle w:val="Bullet1"/>
      </w:pPr>
      <w:r w:rsidRPr="003C27A4">
        <w:t>during the transaction</w:t>
      </w:r>
      <w:r>
        <w:t>; and</w:t>
      </w:r>
    </w:p>
    <w:p w14:paraId="21C6DE65" w14:textId="77777777" w:rsidR="00A70754" w:rsidRDefault="00A70754" w:rsidP="00D43351">
      <w:pPr>
        <w:pStyle w:val="Bullet1"/>
      </w:pPr>
      <w:r w:rsidRPr="003C27A4">
        <w:t>after the transaction.</w:t>
      </w:r>
    </w:p>
    <w:p w14:paraId="654E842F" w14:textId="77777777" w:rsidR="00A70754" w:rsidRDefault="00BE178F" w:rsidP="00D43351">
      <w:r>
        <w:t>e</w:t>
      </w:r>
      <w:r>
        <w:noBreakHyphen/>
      </w:r>
      <w:r w:rsidR="00A70754" w:rsidRPr="003C27A4">
        <w:t>Authentication is essentially a “before the transaction” risk mediation treatment that contributes to the security of electronic transactions.</w:t>
      </w:r>
    </w:p>
    <w:p w14:paraId="1031E175" w14:textId="77777777" w:rsidR="00A70754" w:rsidRPr="00C47A08" w:rsidRDefault="00A70754" w:rsidP="00D43351">
      <w:pPr>
        <w:pStyle w:val="Heading1Numbered"/>
      </w:pPr>
      <w:bookmarkStart w:id="123" w:name="_Toc430770913"/>
      <w:r w:rsidRPr="00C47A08">
        <w:lastRenderedPageBreak/>
        <w:t>NeAF methodology (see Better Practice Guidelines Vol 1)</w:t>
      </w:r>
      <w:bookmarkEnd w:id="123"/>
    </w:p>
    <w:p w14:paraId="64A30BEF" w14:textId="77777777" w:rsidR="00A70754" w:rsidRDefault="00A70754" w:rsidP="00D43351">
      <w:r w:rsidRPr="003C27A4">
        <w:t>The NeAF sets out a seven-step process. The process is not linear; rather it is an iterative process</w:t>
      </w:r>
      <w:r w:rsidR="00061CE2">
        <w:t> </w:t>
      </w:r>
      <w:r w:rsidRPr="003C27A4">
        <w:t>and should be undertaken in the context of the agency’s wider information security risk management</w:t>
      </w:r>
      <w:r w:rsidR="00061CE2">
        <w:t> </w:t>
      </w:r>
      <w:r w:rsidRPr="003C27A4">
        <w:t>processes.</w:t>
      </w:r>
    </w:p>
    <w:p w14:paraId="5E0DC622" w14:textId="77777777" w:rsidR="00A70754" w:rsidRPr="003C27A4" w:rsidRDefault="00A70754" w:rsidP="00D43351">
      <w:r w:rsidRPr="003C27A4">
        <w:t>The NeAF recognises that a range of solutions (e.g. technology or business process-based) are possible to mitigate an identity related risk.</w:t>
      </w:r>
    </w:p>
    <w:p w14:paraId="5176FF49" w14:textId="77777777" w:rsidR="00A70754" w:rsidRPr="003C27A4" w:rsidRDefault="00A70754" w:rsidP="00D43351">
      <w:r w:rsidRPr="003C27A4">
        <w:t>However, where an agency determines that issuance of an authentication credential is an appropriate solution to mitigate an identity-related risk, the NeAF provides guidance in relation to credential selection and management.</w:t>
      </w:r>
    </w:p>
    <w:p w14:paraId="5D2C73CD" w14:textId="77777777" w:rsidR="00A70754" w:rsidRPr="003C27A4" w:rsidRDefault="00A70754" w:rsidP="00D43351">
      <w:bookmarkStart w:id="124" w:name="_Toc205172213"/>
      <w:bookmarkStart w:id="125" w:name="_Toc205172214"/>
      <w:bookmarkStart w:id="126" w:name="OLE_LINK_Figure5"/>
      <w:bookmarkStart w:id="127" w:name="_Toc205111794"/>
      <w:bookmarkStart w:id="128" w:name="_Toc205111889"/>
      <w:bookmarkStart w:id="129" w:name="_Toc205172215"/>
      <w:bookmarkStart w:id="130" w:name="_Toc205172216"/>
      <w:bookmarkStart w:id="131" w:name="_Toc205108906"/>
      <w:bookmarkStart w:id="132" w:name="_Toc205172217"/>
      <w:bookmarkStart w:id="133" w:name="_Toc205108909"/>
      <w:bookmarkStart w:id="134" w:name="_Toc205172220"/>
      <w:bookmarkStart w:id="135" w:name="_Toc205108910"/>
      <w:bookmarkStart w:id="136" w:name="_Toc205172221"/>
      <w:bookmarkStart w:id="137" w:name="_Toc205108911"/>
      <w:bookmarkStart w:id="138" w:name="_Toc205172222"/>
      <w:bookmarkStart w:id="139" w:name="_Toc205108912"/>
      <w:bookmarkStart w:id="140" w:name="_Toc205172223"/>
      <w:bookmarkStart w:id="141" w:name="_Framework_application_principles"/>
      <w:bookmarkStart w:id="142" w:name="_Ref203746992"/>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C27A4">
        <w:t>The NeAF steps are:</w:t>
      </w:r>
    </w:p>
    <w:p w14:paraId="0D6368FA" w14:textId="77777777" w:rsidR="00A70754" w:rsidRPr="003C27A4" w:rsidRDefault="00A70754" w:rsidP="005D595D">
      <w:pPr>
        <w:pStyle w:val="NumberedList1"/>
        <w:numPr>
          <w:ilvl w:val="0"/>
          <w:numId w:val="7"/>
        </w:numPr>
      </w:pPr>
      <w:r w:rsidRPr="003C27A4">
        <w:t>determine the business requirements</w:t>
      </w:r>
    </w:p>
    <w:p w14:paraId="39BEE8B5" w14:textId="77777777" w:rsidR="00A70754" w:rsidRPr="003C27A4" w:rsidRDefault="00A70754" w:rsidP="00D43351">
      <w:pPr>
        <w:pStyle w:val="NumberedList1"/>
      </w:pPr>
      <w:r w:rsidRPr="003C27A4">
        <w:t>determine the assurance level requirements</w:t>
      </w:r>
    </w:p>
    <w:p w14:paraId="6BF22FD5" w14:textId="77777777" w:rsidR="00A70754" w:rsidRPr="003C27A4" w:rsidRDefault="00A70754" w:rsidP="00D43351">
      <w:pPr>
        <w:pStyle w:val="NumberedList1"/>
      </w:pPr>
      <w:r w:rsidRPr="003C27A4">
        <w:t>select the registration approach</w:t>
      </w:r>
    </w:p>
    <w:p w14:paraId="4521F48A" w14:textId="77777777" w:rsidR="00A70754" w:rsidRPr="003C27A4" w:rsidRDefault="00A70754" w:rsidP="00D43351">
      <w:pPr>
        <w:pStyle w:val="NumberedList1"/>
      </w:pPr>
      <w:r w:rsidRPr="003C27A4">
        <w:t xml:space="preserve">select the </w:t>
      </w:r>
      <w:r w:rsidR="00BE178F">
        <w:t>e</w:t>
      </w:r>
      <w:r w:rsidR="00BE178F">
        <w:noBreakHyphen/>
      </w:r>
      <w:r>
        <w:t>Authentication</w:t>
      </w:r>
      <w:r w:rsidRPr="003C27A4">
        <w:t xml:space="preserve"> mechanism</w:t>
      </w:r>
    </w:p>
    <w:p w14:paraId="42AF3D35" w14:textId="77777777" w:rsidR="00A70754" w:rsidRPr="003C27A4" w:rsidRDefault="00A70754" w:rsidP="00D43351">
      <w:pPr>
        <w:pStyle w:val="NumberedList1"/>
      </w:pPr>
      <w:r w:rsidRPr="003C27A4">
        <w:t>select an implementation model</w:t>
      </w:r>
    </w:p>
    <w:p w14:paraId="57CBE362" w14:textId="77777777" w:rsidR="00A70754" w:rsidRPr="003C27A4" w:rsidRDefault="00A70754" w:rsidP="00D43351">
      <w:pPr>
        <w:pStyle w:val="NumberedList1"/>
      </w:pPr>
      <w:r w:rsidRPr="003C27A4">
        <w:t>assess the business case and feasibility of the implementation model</w:t>
      </w:r>
      <w:r>
        <w:t>; and</w:t>
      </w:r>
    </w:p>
    <w:p w14:paraId="43DF0B3B" w14:textId="77777777" w:rsidR="00A70754" w:rsidRPr="003C27A4" w:rsidRDefault="00A70754" w:rsidP="00D43351">
      <w:pPr>
        <w:pStyle w:val="NumberedList1"/>
      </w:pPr>
      <w:r w:rsidRPr="003C27A4">
        <w:t xml:space="preserve">review the </w:t>
      </w:r>
      <w:r w:rsidR="00BE178F">
        <w:t>e</w:t>
      </w:r>
      <w:r w:rsidR="00BE178F">
        <w:noBreakHyphen/>
      </w:r>
      <w:r>
        <w:t>Authentication</w:t>
      </w:r>
      <w:r w:rsidRPr="003C27A4">
        <w:t xml:space="preserve"> solution.</w:t>
      </w:r>
    </w:p>
    <w:p w14:paraId="5EBEAE19" w14:textId="77777777" w:rsidR="00A70754" w:rsidRPr="003C27A4" w:rsidRDefault="00A70754" w:rsidP="00D43351">
      <w:pPr>
        <w:pStyle w:val="Heading2"/>
      </w:pPr>
      <w:bookmarkStart w:id="143" w:name="_Toc430770914"/>
      <w:bookmarkStart w:id="144" w:name="_Ref430782514"/>
      <w:r w:rsidRPr="003C27A4">
        <w:t>Step 1: Determine the business requirements</w:t>
      </w:r>
      <w:bookmarkEnd w:id="143"/>
      <w:bookmarkEnd w:id="144"/>
    </w:p>
    <w:p w14:paraId="5429E2DA" w14:textId="77777777" w:rsidR="00A70754" w:rsidRPr="003C27A4" w:rsidRDefault="00A70754" w:rsidP="00D43351">
      <w:r w:rsidRPr="003C27A4">
        <w:t>This step is usually undertaken as part of the “requirements definition” phase of a business and systems project that is seeking to develop online services.</w:t>
      </w:r>
    </w:p>
    <w:p w14:paraId="65F0A301" w14:textId="77777777" w:rsidR="00A70754" w:rsidRPr="003C27A4" w:rsidRDefault="00A70754" w:rsidP="00D43351">
      <w:r w:rsidRPr="003C27A4">
        <w:t>Some of the key business requirements to be determined (and not in any particular order) in the context of a comprehensive risk assessment process are listed below.</w:t>
      </w:r>
    </w:p>
    <w:p w14:paraId="5BAA4716" w14:textId="77777777" w:rsidR="00A70754" w:rsidRPr="003C27A4" w:rsidRDefault="00A70754" w:rsidP="00D43351">
      <w:pPr>
        <w:pStyle w:val="Bullet1"/>
      </w:pPr>
      <w:r>
        <w:t>c</w:t>
      </w:r>
      <w:r w:rsidRPr="003C27A4">
        <w:t xml:space="preserve">learly identify the services to be provided, information to be </w:t>
      </w:r>
      <w:r>
        <w:t>accessed and the user community</w:t>
      </w:r>
    </w:p>
    <w:p w14:paraId="2E75FC26" w14:textId="77777777" w:rsidR="00A70754" w:rsidRPr="003C27A4" w:rsidRDefault="00A70754" w:rsidP="00D43351">
      <w:pPr>
        <w:pStyle w:val="Bullet1"/>
      </w:pPr>
      <w:r>
        <w:t>w</w:t>
      </w:r>
      <w:r w:rsidRPr="003C27A4">
        <w:t>hat assertion or assertions are to be authenticated? In general this will be identity, but other assertions such as entity, role, delegation and value may need to be authenticated in additio</w:t>
      </w:r>
      <w:r>
        <w:t>n to, or in place of, identity.</w:t>
      </w:r>
    </w:p>
    <w:p w14:paraId="7F56F985" w14:textId="77777777" w:rsidR="00A70754" w:rsidRDefault="00A70754" w:rsidP="00D43351">
      <w:pPr>
        <w:pStyle w:val="Bullet1"/>
      </w:pPr>
      <w:r>
        <w:t>w</w:t>
      </w:r>
      <w:r w:rsidRPr="003C27A4">
        <w:t>hat electronic delivery channel is to be used: telephone (landline or mobile), facsimile and/or computer or some combination?</w:t>
      </w:r>
    </w:p>
    <w:p w14:paraId="46AF5A9A" w14:textId="77777777" w:rsidR="00A70754" w:rsidRPr="003C27A4" w:rsidRDefault="00A70754" w:rsidP="00D43351">
      <w:pPr>
        <w:pStyle w:val="Bullet1"/>
      </w:pPr>
      <w:r>
        <w:t>w</w:t>
      </w:r>
      <w:r w:rsidRPr="003C27A4">
        <w:t xml:space="preserve">hat privacy implications are inherent in the proposed transaction, and/or what privacy issues need to be satisfied in the determination of the need for and type of </w:t>
      </w:r>
      <w:r w:rsidR="00BE178F">
        <w:t>e</w:t>
      </w:r>
      <w:r w:rsidR="00BE178F">
        <w:noBreakHyphen/>
      </w:r>
      <w:r>
        <w:t>Authentication</w:t>
      </w:r>
      <w:r w:rsidRPr="003C27A4">
        <w:t xml:space="preserve"> approach?</w:t>
      </w:r>
    </w:p>
    <w:p w14:paraId="5033A661" w14:textId="77777777" w:rsidR="00A70754" w:rsidRPr="003C27A4" w:rsidRDefault="00A70754" w:rsidP="00D43351">
      <w:pPr>
        <w:pStyle w:val="Bullet1"/>
      </w:pPr>
      <w:r>
        <w:t>w</w:t>
      </w:r>
      <w:r w:rsidRPr="003C27A4">
        <w:t xml:space="preserve">hat additional transaction assurance or security requirements exist (i.e. data integrity, confidentiality, non-repudiation) and is it possible/appropriate to leverage the underlying </w:t>
      </w:r>
      <w:r w:rsidR="00BE178F">
        <w:t>e</w:t>
      </w:r>
      <w:r w:rsidR="00BE178F">
        <w:noBreakHyphen/>
      </w:r>
      <w:r>
        <w:t>Authentication</w:t>
      </w:r>
      <w:r w:rsidRPr="003C27A4">
        <w:t xml:space="preserve"> processes and technologies?</w:t>
      </w:r>
    </w:p>
    <w:p w14:paraId="6882A84F" w14:textId="77777777" w:rsidR="00A70754" w:rsidRPr="003C27A4" w:rsidRDefault="00A70754" w:rsidP="00D43351">
      <w:pPr>
        <w:pStyle w:val="Heading2"/>
      </w:pPr>
      <w:bookmarkStart w:id="145" w:name="_Step_2_–"/>
      <w:bookmarkStart w:id="146" w:name="_Toc430770915"/>
      <w:bookmarkStart w:id="147" w:name="_Ref430782561"/>
      <w:bookmarkEnd w:id="145"/>
      <w:r w:rsidRPr="003C27A4">
        <w:lastRenderedPageBreak/>
        <w:t>Step 2: Determine the assurance level requirements</w:t>
      </w:r>
      <w:bookmarkEnd w:id="146"/>
      <w:bookmarkEnd w:id="147"/>
    </w:p>
    <w:p w14:paraId="777FCD11" w14:textId="77777777" w:rsidR="00A70754" w:rsidRDefault="00A70754" w:rsidP="00D43351">
      <w:r w:rsidRPr="003C27A4">
        <w:t>This step involves two parts.</w:t>
      </w:r>
      <w:r>
        <w:t xml:space="preserve"> </w:t>
      </w:r>
      <w:r w:rsidRPr="003C27A4">
        <w:t>Firstly, a comprehensive and multi-dimensional assessment of identity-related threats and risks to</w:t>
      </w:r>
      <w:r>
        <w:t xml:space="preserve"> </w:t>
      </w:r>
      <w:r w:rsidRPr="003C27A4">
        <w:t xml:space="preserve">determine an assurance level for a transaction (or transaction set). The end point of this process is the identification of the residual identity-related risks that </w:t>
      </w:r>
      <w:r w:rsidR="00BE178F">
        <w:t>e</w:t>
      </w:r>
      <w:r w:rsidR="00BE178F">
        <w:noBreakHyphen/>
      </w:r>
      <w:r>
        <w:t>Authentication</w:t>
      </w:r>
      <w:r w:rsidRPr="003C27A4">
        <w:t xml:space="preserve"> (or alternative mitigation strategy) will be required to address.</w:t>
      </w:r>
      <w:r>
        <w:t xml:space="preserve"> </w:t>
      </w:r>
      <w:r w:rsidRPr="003C27A4">
        <w:t xml:space="preserve">While the NeAF explicitly focuses on identity-related threats, agencies need to be sensitive to the range of other threats relevant to the determination of an </w:t>
      </w:r>
      <w:r w:rsidR="00BE178F">
        <w:t>e</w:t>
      </w:r>
      <w:r w:rsidR="00BE178F">
        <w:noBreakHyphen/>
      </w:r>
      <w:r>
        <w:t>Authentication</w:t>
      </w:r>
      <w:r w:rsidRPr="003C27A4">
        <w:t xml:space="preserve"> solution.</w:t>
      </w:r>
    </w:p>
    <w:p w14:paraId="7CEAF45E" w14:textId="564BEF35" w:rsidR="00A70754" w:rsidRDefault="00A70754" w:rsidP="00B351D4">
      <w:r w:rsidRPr="003C27A4">
        <w:t xml:space="preserve">Secondly, assessment of the required </w:t>
      </w:r>
      <w:r w:rsidR="00BE178F">
        <w:t>e</w:t>
      </w:r>
      <w:r w:rsidR="00BE178F">
        <w:noBreakHyphen/>
      </w:r>
      <w:r>
        <w:t>Authentication</w:t>
      </w:r>
      <w:r w:rsidRPr="003C27A4">
        <w:t xml:space="preserve"> assurance level by identifying the severity of the impacts of getting </w:t>
      </w:r>
      <w:r w:rsidR="00BE178F">
        <w:t>e</w:t>
      </w:r>
      <w:r w:rsidR="00BE178F">
        <w:noBreakHyphen/>
      </w:r>
      <w:r>
        <w:t>Authentication</w:t>
      </w:r>
      <w:r w:rsidRPr="003C27A4">
        <w:t xml:space="preserve"> wrong.</w:t>
      </w:r>
      <w:r w:rsidR="00C3702B">
        <w:t xml:space="preserve"> Tables</w:t>
      </w:r>
      <w:r>
        <w:t xml:space="preserve"> </w:t>
      </w:r>
      <w:r w:rsidR="00C3702B">
        <w:fldChar w:fldCharType="begin" w:fldLock="1"/>
      </w:r>
      <w:r w:rsidR="00C3702B">
        <w:instrText xml:space="preserve"> REF _Ref430782305 \h </w:instrText>
      </w:r>
      <w:r w:rsidR="00C3702B">
        <w:fldChar w:fldCharType="separate"/>
      </w:r>
      <w:r w:rsidR="00933C42">
        <w:rPr>
          <w:noProof/>
        </w:rPr>
        <w:t>2</w:t>
      </w:r>
      <w:r w:rsidR="00C3702B">
        <w:fldChar w:fldCharType="end"/>
      </w:r>
      <w:r w:rsidR="00C3702B">
        <w:t xml:space="preserve">, </w:t>
      </w:r>
      <w:r w:rsidR="00C3702B">
        <w:fldChar w:fldCharType="begin" w:fldLock="1"/>
      </w:r>
      <w:r w:rsidR="00C3702B">
        <w:instrText xml:space="preserve"> REF _Ref430782319 \h </w:instrText>
      </w:r>
      <w:r w:rsidR="00C3702B">
        <w:fldChar w:fldCharType="separate"/>
      </w:r>
      <w:r w:rsidR="00933C42">
        <w:rPr>
          <w:noProof/>
        </w:rPr>
        <w:t>3</w:t>
      </w:r>
      <w:r w:rsidR="00C3702B">
        <w:fldChar w:fldCharType="end"/>
      </w:r>
      <w:r w:rsidRPr="003C27A4">
        <w:t xml:space="preserve"> and </w:t>
      </w:r>
      <w:r w:rsidR="00C3702B">
        <w:fldChar w:fldCharType="begin" w:fldLock="1"/>
      </w:r>
      <w:r w:rsidR="00C3702B">
        <w:instrText xml:space="preserve"> REF _Ref430782332 \h </w:instrText>
      </w:r>
      <w:r w:rsidR="00C3702B">
        <w:fldChar w:fldCharType="separate"/>
      </w:r>
      <w:r w:rsidR="00933C42">
        <w:rPr>
          <w:noProof/>
        </w:rPr>
        <w:t>4</w:t>
      </w:r>
      <w:r w:rsidR="00C3702B">
        <w:fldChar w:fldCharType="end"/>
      </w:r>
      <w:r w:rsidRPr="003C27A4">
        <w:t xml:space="preserve"> (below) provide a mor</w:t>
      </w:r>
      <w:r w:rsidR="00BE178F">
        <w:t>e</w:t>
      </w:r>
      <w:r w:rsidR="00BE178F">
        <w:noBreakHyphen/>
      </w:r>
      <w:r w:rsidRPr="003C27A4">
        <w:t xml:space="preserve">detailed summary of the risk assessment process that ultimately generates the </w:t>
      </w:r>
      <w:r>
        <w:t>authentication assurance level.</w:t>
      </w:r>
    </w:p>
    <w:p w14:paraId="5CADA944" w14:textId="77777777" w:rsidR="00A70754" w:rsidRPr="001A34D1" w:rsidRDefault="00A70754" w:rsidP="001A34D1">
      <w:pPr>
        <w:pStyle w:val="Heading3"/>
      </w:pPr>
      <w:r w:rsidRPr="001A34D1">
        <w:t>Assurance levels</w:t>
      </w:r>
    </w:p>
    <w:p w14:paraId="0D437DEF" w14:textId="77777777" w:rsidR="00A70754" w:rsidRDefault="00A70754" w:rsidP="00B351D4">
      <w:r w:rsidRPr="003C27A4">
        <w:t>Assurance levels are used to describe the level of importance of getting</w:t>
      </w:r>
      <w:r>
        <w:t xml:space="preserve"> </w:t>
      </w:r>
      <w:r w:rsidR="00BE178F">
        <w:t>e</w:t>
      </w:r>
      <w:r w:rsidR="00BE178F">
        <w:noBreakHyphen/>
      </w:r>
      <w:r>
        <w:t>Authentication</w:t>
      </w:r>
      <w:r w:rsidRPr="003C27A4">
        <w:t xml:space="preserve"> right and the resultant level of robustness of the required solution.</w:t>
      </w:r>
    </w:p>
    <w:p w14:paraId="7142E056" w14:textId="77777777" w:rsidR="00A70754" w:rsidRPr="003C27A4" w:rsidRDefault="00A70754" w:rsidP="00B351D4">
      <w:r w:rsidRPr="003C27A4">
        <w:t xml:space="preserve">The NeAF determines assurance levels based upon the assessment of the threats to agencies and/or end-users of getting </w:t>
      </w:r>
      <w:r w:rsidR="00BE178F">
        <w:t>e</w:t>
      </w:r>
      <w:r w:rsidR="00BE178F">
        <w:noBreakHyphen/>
      </w:r>
      <w:r>
        <w:t>Authentication</w:t>
      </w:r>
      <w:r w:rsidRPr="003C27A4">
        <w:t xml:space="preserve"> wrong.</w:t>
      </w:r>
    </w:p>
    <w:p w14:paraId="2DA52B05" w14:textId="77777777" w:rsidR="00B351D4" w:rsidRDefault="00B351D4" w:rsidP="00B351D4">
      <w:pPr>
        <w:pStyle w:val="Caption"/>
      </w:pPr>
      <w:bookmarkStart w:id="148" w:name="_Ref430782305"/>
      <w:bookmarkStart w:id="149" w:name="_Toc430770947"/>
      <w:r>
        <w:t xml:space="preserve">Table </w:t>
      </w:r>
      <w:fldSimple w:instr=" SEQ Table \* ARABIC " w:fldLock="1">
        <w:r w:rsidR="00933C42">
          <w:rPr>
            <w:noProof/>
          </w:rPr>
          <w:t>2</w:t>
        </w:r>
      </w:fldSimple>
      <w:bookmarkEnd w:id="148"/>
      <w:r>
        <w:t xml:space="preserve"> </w:t>
      </w:r>
      <w:r w:rsidRPr="00B351D4">
        <w:t>NeAF assurance levels</w:t>
      </w:r>
      <w:bookmarkEnd w:id="149"/>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12"/>
        <w:gridCol w:w="1812"/>
        <w:gridCol w:w="1812"/>
        <w:gridCol w:w="1812"/>
        <w:gridCol w:w="1812"/>
      </w:tblGrid>
      <w:tr w:rsidR="00A70754" w:rsidRPr="003C27A4" w14:paraId="55F6DA65" w14:textId="77777777" w:rsidTr="00B351D4">
        <w:trPr>
          <w:cnfStyle w:val="100000000000" w:firstRow="1" w:lastRow="0" w:firstColumn="0" w:lastColumn="0" w:oddVBand="0" w:evenVBand="0" w:oddHBand="0" w:evenHBand="0" w:firstRowFirstColumn="0" w:firstRowLastColumn="0" w:lastRowFirstColumn="0" w:lastRowLastColumn="0"/>
          <w:tblHeader/>
        </w:trPr>
        <w:tc>
          <w:tcPr>
            <w:tcW w:w="1000" w:type="pct"/>
          </w:tcPr>
          <w:p w14:paraId="34702852" w14:textId="77777777" w:rsidR="00A70754" w:rsidRPr="00C47A08" w:rsidRDefault="00A70754" w:rsidP="00B351D4">
            <w:pPr>
              <w:pStyle w:val="Normal-TableText"/>
            </w:pPr>
            <w:r w:rsidRPr="00C47A08">
              <w:t>No assurance</w:t>
            </w:r>
          </w:p>
        </w:tc>
        <w:tc>
          <w:tcPr>
            <w:tcW w:w="1000" w:type="pct"/>
          </w:tcPr>
          <w:p w14:paraId="4DC7B2E5" w14:textId="77777777" w:rsidR="00A70754" w:rsidRPr="00C47A08" w:rsidRDefault="00A70754" w:rsidP="00B351D4">
            <w:pPr>
              <w:pStyle w:val="Normal-TableText"/>
            </w:pPr>
            <w:r w:rsidRPr="00C47A08">
              <w:t>Minimal assurance</w:t>
            </w:r>
          </w:p>
        </w:tc>
        <w:tc>
          <w:tcPr>
            <w:tcW w:w="1000" w:type="pct"/>
          </w:tcPr>
          <w:p w14:paraId="0126E49F" w14:textId="77777777" w:rsidR="00A70754" w:rsidRPr="00C47A08" w:rsidRDefault="00A70754" w:rsidP="00B351D4">
            <w:pPr>
              <w:pStyle w:val="Normal-TableText"/>
            </w:pPr>
            <w:r w:rsidRPr="00C47A08">
              <w:t>Low assurance</w:t>
            </w:r>
          </w:p>
        </w:tc>
        <w:tc>
          <w:tcPr>
            <w:tcW w:w="1000" w:type="pct"/>
          </w:tcPr>
          <w:p w14:paraId="4C1D4AAE" w14:textId="77777777" w:rsidR="00A70754" w:rsidRPr="00C47A08" w:rsidRDefault="00A70754" w:rsidP="00B351D4">
            <w:pPr>
              <w:pStyle w:val="Normal-TableText"/>
            </w:pPr>
            <w:r w:rsidRPr="00C47A08">
              <w:t>Moderate assurance</w:t>
            </w:r>
          </w:p>
        </w:tc>
        <w:tc>
          <w:tcPr>
            <w:tcW w:w="1000" w:type="pct"/>
          </w:tcPr>
          <w:p w14:paraId="1AC6C16B" w14:textId="77777777" w:rsidR="00A70754" w:rsidRPr="00C47A08" w:rsidRDefault="00A70754" w:rsidP="00B351D4">
            <w:pPr>
              <w:pStyle w:val="Normal-TableText"/>
            </w:pPr>
            <w:r w:rsidRPr="00C47A08">
              <w:t>High assurance</w:t>
            </w:r>
          </w:p>
        </w:tc>
      </w:tr>
      <w:tr w:rsidR="00A70754" w:rsidRPr="003C27A4" w14:paraId="38EA3084" w14:textId="77777777" w:rsidTr="00B351D4">
        <w:tc>
          <w:tcPr>
            <w:tcW w:w="1000" w:type="pct"/>
          </w:tcPr>
          <w:p w14:paraId="7A253B31" w14:textId="77777777" w:rsidR="00A70754" w:rsidRPr="003C27A4" w:rsidRDefault="00A70754" w:rsidP="00B351D4">
            <w:pPr>
              <w:pStyle w:val="Normal-TableText"/>
              <w:rPr>
                <w:b/>
              </w:rPr>
            </w:pPr>
            <w:r w:rsidRPr="003C27A4">
              <w:rPr>
                <w:b/>
              </w:rPr>
              <w:t>Level 0</w:t>
            </w:r>
          </w:p>
        </w:tc>
        <w:tc>
          <w:tcPr>
            <w:tcW w:w="1000" w:type="pct"/>
          </w:tcPr>
          <w:p w14:paraId="015CB33A" w14:textId="77777777" w:rsidR="00A70754" w:rsidRPr="003C27A4" w:rsidRDefault="00A70754" w:rsidP="00B351D4">
            <w:pPr>
              <w:pStyle w:val="Normal-TableText"/>
              <w:rPr>
                <w:b/>
              </w:rPr>
            </w:pPr>
            <w:r w:rsidRPr="003C27A4">
              <w:rPr>
                <w:b/>
              </w:rPr>
              <w:t>Level 1</w:t>
            </w:r>
          </w:p>
        </w:tc>
        <w:tc>
          <w:tcPr>
            <w:tcW w:w="1000" w:type="pct"/>
          </w:tcPr>
          <w:p w14:paraId="5C546540" w14:textId="77777777" w:rsidR="00A70754" w:rsidRPr="003C27A4" w:rsidRDefault="00A70754" w:rsidP="00B351D4">
            <w:pPr>
              <w:pStyle w:val="Normal-TableText"/>
              <w:rPr>
                <w:b/>
              </w:rPr>
            </w:pPr>
            <w:r w:rsidRPr="003C27A4">
              <w:rPr>
                <w:b/>
              </w:rPr>
              <w:t>Level 2</w:t>
            </w:r>
          </w:p>
        </w:tc>
        <w:tc>
          <w:tcPr>
            <w:tcW w:w="1000" w:type="pct"/>
          </w:tcPr>
          <w:p w14:paraId="2CBD3666" w14:textId="77777777" w:rsidR="00A70754" w:rsidRPr="003C27A4" w:rsidRDefault="00A70754" w:rsidP="00B351D4">
            <w:pPr>
              <w:pStyle w:val="Normal-TableText"/>
              <w:rPr>
                <w:b/>
              </w:rPr>
            </w:pPr>
            <w:r w:rsidRPr="003C27A4">
              <w:rPr>
                <w:b/>
              </w:rPr>
              <w:t>Level 3</w:t>
            </w:r>
          </w:p>
        </w:tc>
        <w:tc>
          <w:tcPr>
            <w:tcW w:w="1000" w:type="pct"/>
          </w:tcPr>
          <w:p w14:paraId="71DCA671" w14:textId="77777777" w:rsidR="00A70754" w:rsidRPr="003C27A4" w:rsidRDefault="00A70754" w:rsidP="00B351D4">
            <w:pPr>
              <w:pStyle w:val="Normal-TableText"/>
              <w:rPr>
                <w:b/>
              </w:rPr>
            </w:pPr>
            <w:r w:rsidRPr="003C27A4">
              <w:rPr>
                <w:b/>
              </w:rPr>
              <w:t>Level 4</w:t>
            </w:r>
          </w:p>
        </w:tc>
      </w:tr>
      <w:tr w:rsidR="00A70754" w:rsidRPr="003C27A4" w14:paraId="37DB7C3E" w14:textId="77777777" w:rsidTr="00B351D4">
        <w:tc>
          <w:tcPr>
            <w:tcW w:w="1000" w:type="pct"/>
          </w:tcPr>
          <w:p w14:paraId="0B540E59" w14:textId="77777777" w:rsidR="00A70754" w:rsidRPr="003C27A4" w:rsidRDefault="00A70754" w:rsidP="00B351D4">
            <w:pPr>
              <w:pStyle w:val="Normal-TableText"/>
            </w:pPr>
            <w:r w:rsidRPr="003C27A4">
              <w:t>No confidence is required in the identity assertion.</w:t>
            </w:r>
          </w:p>
        </w:tc>
        <w:tc>
          <w:tcPr>
            <w:tcW w:w="1000" w:type="pct"/>
          </w:tcPr>
          <w:p w14:paraId="32B7305E" w14:textId="77777777" w:rsidR="00A70754" w:rsidRPr="003C27A4" w:rsidRDefault="00A70754" w:rsidP="00B351D4">
            <w:pPr>
              <w:pStyle w:val="Normal-TableText"/>
            </w:pPr>
            <w:r w:rsidRPr="003C27A4">
              <w:t>Minimal confidence is required in the identity assertion.</w:t>
            </w:r>
          </w:p>
        </w:tc>
        <w:tc>
          <w:tcPr>
            <w:tcW w:w="1000" w:type="pct"/>
          </w:tcPr>
          <w:p w14:paraId="38C75D4A" w14:textId="77777777" w:rsidR="00A70754" w:rsidRPr="003C27A4" w:rsidRDefault="00A70754" w:rsidP="00B351D4">
            <w:pPr>
              <w:pStyle w:val="Normal-TableText"/>
            </w:pPr>
            <w:r w:rsidRPr="003C27A4">
              <w:t>Low confidence is required in the identity assertion.</w:t>
            </w:r>
          </w:p>
        </w:tc>
        <w:tc>
          <w:tcPr>
            <w:tcW w:w="1000" w:type="pct"/>
          </w:tcPr>
          <w:p w14:paraId="5352C33D" w14:textId="77777777" w:rsidR="00A70754" w:rsidRPr="003C27A4" w:rsidRDefault="00A70754" w:rsidP="00B351D4">
            <w:pPr>
              <w:pStyle w:val="Normal-TableText"/>
            </w:pPr>
            <w:r w:rsidRPr="003C27A4">
              <w:t>Moderate confidence is required in the identity assertion.</w:t>
            </w:r>
          </w:p>
        </w:tc>
        <w:tc>
          <w:tcPr>
            <w:tcW w:w="1000" w:type="pct"/>
          </w:tcPr>
          <w:p w14:paraId="2918CF75" w14:textId="77777777" w:rsidR="00A70754" w:rsidRPr="003C27A4" w:rsidRDefault="00A70754" w:rsidP="00B351D4">
            <w:pPr>
              <w:pStyle w:val="Normal-TableText"/>
            </w:pPr>
            <w:r w:rsidRPr="003C27A4">
              <w:t>High confidence is required in the identity assertion.</w:t>
            </w:r>
          </w:p>
        </w:tc>
      </w:tr>
    </w:tbl>
    <w:p w14:paraId="7A3A2DF6" w14:textId="77777777" w:rsidR="00A70754" w:rsidRPr="003C27A4" w:rsidRDefault="00C3702B" w:rsidP="00B351D4">
      <w:r>
        <w:fldChar w:fldCharType="begin" w:fldLock="1"/>
      </w:r>
      <w:r>
        <w:instrText xml:space="preserve"> REF _Ref430782319 \h </w:instrText>
      </w:r>
      <w:r>
        <w:fldChar w:fldCharType="separate"/>
      </w:r>
      <w:r w:rsidR="00933C42">
        <w:t xml:space="preserve">Table </w:t>
      </w:r>
      <w:r w:rsidR="00933C42">
        <w:rPr>
          <w:noProof/>
        </w:rPr>
        <w:t>3</w:t>
      </w:r>
      <w:r>
        <w:fldChar w:fldCharType="end"/>
      </w:r>
      <w:r w:rsidR="00A70754" w:rsidRPr="003C27A4">
        <w:t xml:space="preserve"> below provides an indicative description of possible consequences and their respective severities.</w:t>
      </w:r>
      <w:r w:rsidR="00A70754">
        <w:t xml:space="preserve"> </w:t>
      </w:r>
      <w:r w:rsidR="00A70754" w:rsidRPr="003C27A4">
        <w:t>The consequences listed each have inherent levels of seriousness; hence, in some cases only the higher or highest levels of severity are acceptable. These threats also have more than one dimension of severity, such as the number of individuals or businesses that are impacted.</w:t>
      </w:r>
    </w:p>
    <w:p w14:paraId="25023599" w14:textId="77777777" w:rsidR="00A70754" w:rsidRDefault="00A70754" w:rsidP="00B351D4">
      <w:r w:rsidRPr="003C27A4">
        <w:t>The table should be interpreted across each row where the scale of severity increases from “Insignificant” to “Severe”.</w:t>
      </w:r>
      <w:r>
        <w:t xml:space="preserve"> </w:t>
      </w:r>
      <w:r w:rsidRPr="003C27A4">
        <w:t>Examples of the nature of that severity are provided. It is not intended that</w:t>
      </w:r>
      <w:r w:rsidR="00061CE2">
        <w:t> </w:t>
      </w:r>
      <w:r w:rsidRPr="003C27A4">
        <w:t>the table be used to compare or equate the severity of different consequences (i.e. “threaten life</w:t>
      </w:r>
      <w:r w:rsidR="00061CE2">
        <w:t> </w:t>
      </w:r>
      <w:r w:rsidRPr="003C27A4">
        <w:t>directly” does not equate to “substantial inconvenience” despite the fact that both are rated as</w:t>
      </w:r>
      <w:r w:rsidR="00061CE2">
        <w:t> </w:t>
      </w:r>
      <w:r w:rsidRPr="003C27A4">
        <w:t>“Severe”).</w:t>
      </w:r>
    </w:p>
    <w:p w14:paraId="60CEF28A" w14:textId="77777777" w:rsidR="00B351D4" w:rsidRDefault="00B351D4" w:rsidP="003326A8">
      <w:r>
        <w:br w:type="page"/>
      </w:r>
    </w:p>
    <w:p w14:paraId="7E3B8EAA" w14:textId="77777777" w:rsidR="00B351D4" w:rsidRDefault="00B351D4" w:rsidP="00B351D4">
      <w:pPr>
        <w:pStyle w:val="Caption"/>
      </w:pPr>
      <w:bookmarkStart w:id="150" w:name="_Ref430782319"/>
      <w:bookmarkStart w:id="151" w:name="_Toc430770948"/>
      <w:r>
        <w:lastRenderedPageBreak/>
        <w:t xml:space="preserve">Table </w:t>
      </w:r>
      <w:fldSimple w:instr=" SEQ Table \* ARABIC " w:fldLock="1">
        <w:r w:rsidR="00933C42">
          <w:rPr>
            <w:noProof/>
          </w:rPr>
          <w:t>3</w:t>
        </w:r>
      </w:fldSimple>
      <w:bookmarkEnd w:id="150"/>
      <w:r>
        <w:t xml:space="preserve"> </w:t>
      </w:r>
      <w:r w:rsidRPr="00B351D4">
        <w:t>Illustrative consequences and severity</w:t>
      </w:r>
      <w:bookmarkEnd w:id="151"/>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14"/>
        <w:gridCol w:w="1239"/>
        <w:gridCol w:w="1239"/>
        <w:gridCol w:w="1658"/>
        <w:gridCol w:w="1349"/>
        <w:gridCol w:w="1561"/>
      </w:tblGrid>
      <w:tr w:rsidR="00A70754" w:rsidRPr="00B351D4" w14:paraId="49CADAFE" w14:textId="77777777" w:rsidTr="00B351D4">
        <w:trPr>
          <w:cnfStyle w:val="100000000000" w:firstRow="1" w:lastRow="0" w:firstColumn="0" w:lastColumn="0" w:oddVBand="0" w:evenVBand="0" w:oddHBand="0" w:evenHBand="0" w:firstRowFirstColumn="0" w:firstRowLastColumn="0" w:lastRowFirstColumn="0" w:lastRowLastColumn="0"/>
          <w:trHeight w:val="242"/>
          <w:tblHeader/>
        </w:trPr>
        <w:tc>
          <w:tcPr>
            <w:tcW w:w="1136" w:type="pct"/>
          </w:tcPr>
          <w:p w14:paraId="4DDD1D99" w14:textId="77777777" w:rsidR="00A70754" w:rsidRPr="00B351D4" w:rsidRDefault="00A70754" w:rsidP="00160E61">
            <w:pPr>
              <w:pStyle w:val="Normal-TableText"/>
              <w:spacing w:after="140" w:line="200" w:lineRule="exact"/>
              <w:rPr>
                <w:sz w:val="16"/>
                <w:szCs w:val="16"/>
              </w:rPr>
            </w:pPr>
            <w:r w:rsidRPr="00B351D4">
              <w:rPr>
                <w:sz w:val="16"/>
                <w:szCs w:val="16"/>
              </w:rPr>
              <w:br w:type="page"/>
              <w:t>Consequence</w:t>
            </w:r>
          </w:p>
        </w:tc>
        <w:tc>
          <w:tcPr>
            <w:tcW w:w="3864" w:type="pct"/>
            <w:gridSpan w:val="5"/>
          </w:tcPr>
          <w:p w14:paraId="36C54A94" w14:textId="77777777" w:rsidR="00A70754" w:rsidRPr="00B351D4" w:rsidRDefault="00A70754" w:rsidP="00160E61">
            <w:pPr>
              <w:pStyle w:val="Normal-TableText"/>
              <w:spacing w:after="140" w:line="200" w:lineRule="exact"/>
              <w:rPr>
                <w:sz w:val="16"/>
                <w:szCs w:val="16"/>
              </w:rPr>
            </w:pPr>
            <w:r w:rsidRPr="00B351D4">
              <w:rPr>
                <w:sz w:val="16"/>
                <w:szCs w:val="16"/>
              </w:rPr>
              <w:t>Severity</w:t>
            </w:r>
          </w:p>
        </w:tc>
      </w:tr>
      <w:tr w:rsidR="00A70754" w:rsidRPr="00B351D4" w14:paraId="6728D637" w14:textId="77777777" w:rsidTr="00B351D4">
        <w:trPr>
          <w:cnfStyle w:val="100000000000" w:firstRow="1" w:lastRow="0" w:firstColumn="0" w:lastColumn="0" w:oddVBand="0" w:evenVBand="0" w:oddHBand="0" w:evenHBand="0" w:firstRowFirstColumn="0" w:firstRowLastColumn="0" w:lastRowFirstColumn="0" w:lastRowLastColumn="0"/>
          <w:trHeight w:val="265"/>
          <w:tblHeader/>
        </w:trPr>
        <w:tc>
          <w:tcPr>
            <w:tcW w:w="1136" w:type="pct"/>
          </w:tcPr>
          <w:p w14:paraId="669FBDE4" w14:textId="64AA1C32" w:rsidR="00A70754" w:rsidRPr="00B351D4" w:rsidRDefault="00A70754" w:rsidP="00160E61">
            <w:pPr>
              <w:pStyle w:val="Normal-TableText"/>
              <w:spacing w:after="140" w:line="200" w:lineRule="exact"/>
              <w:rPr>
                <w:sz w:val="16"/>
                <w:szCs w:val="16"/>
              </w:rPr>
            </w:pPr>
            <w:r w:rsidRPr="00B351D4">
              <w:rPr>
                <w:sz w:val="16"/>
                <w:szCs w:val="16"/>
              </w:rPr>
              <w:t>Consequence</w:t>
            </w:r>
            <w:r w:rsidR="00160E61">
              <w:rPr>
                <w:sz w:val="16"/>
                <w:szCs w:val="16"/>
              </w:rPr>
              <w:t xml:space="preserve"> </w:t>
            </w:r>
            <w:r w:rsidRPr="00B351D4">
              <w:rPr>
                <w:sz w:val="16"/>
                <w:szCs w:val="16"/>
              </w:rPr>
              <w:t>rating</w:t>
            </w:r>
          </w:p>
        </w:tc>
        <w:tc>
          <w:tcPr>
            <w:tcW w:w="675" w:type="pct"/>
          </w:tcPr>
          <w:p w14:paraId="1944CC17" w14:textId="77777777" w:rsidR="00A70754" w:rsidRPr="00B351D4" w:rsidRDefault="00A70754" w:rsidP="00160E61">
            <w:pPr>
              <w:pStyle w:val="Normal-TableText"/>
              <w:spacing w:after="140" w:line="200" w:lineRule="exact"/>
              <w:rPr>
                <w:sz w:val="16"/>
                <w:szCs w:val="16"/>
              </w:rPr>
            </w:pPr>
            <w:r w:rsidRPr="00B351D4">
              <w:rPr>
                <w:sz w:val="16"/>
                <w:szCs w:val="16"/>
              </w:rPr>
              <w:t>Insignificant</w:t>
            </w:r>
          </w:p>
        </w:tc>
        <w:tc>
          <w:tcPr>
            <w:tcW w:w="597" w:type="pct"/>
          </w:tcPr>
          <w:p w14:paraId="7F565648" w14:textId="77777777" w:rsidR="00A70754" w:rsidRPr="00B351D4" w:rsidRDefault="00A70754" w:rsidP="00160E61">
            <w:pPr>
              <w:pStyle w:val="Normal-TableText"/>
              <w:spacing w:after="140" w:line="200" w:lineRule="exact"/>
              <w:rPr>
                <w:sz w:val="16"/>
                <w:szCs w:val="16"/>
              </w:rPr>
            </w:pPr>
            <w:r w:rsidRPr="00B351D4">
              <w:rPr>
                <w:sz w:val="16"/>
                <w:szCs w:val="16"/>
              </w:rPr>
              <w:t>Minor</w:t>
            </w:r>
          </w:p>
        </w:tc>
        <w:tc>
          <w:tcPr>
            <w:tcW w:w="939" w:type="pct"/>
          </w:tcPr>
          <w:p w14:paraId="2E3916BF" w14:textId="77777777" w:rsidR="00A70754" w:rsidRPr="00B351D4" w:rsidRDefault="00A70754" w:rsidP="00160E61">
            <w:pPr>
              <w:pStyle w:val="Normal-TableText"/>
              <w:spacing w:after="140" w:line="200" w:lineRule="exact"/>
              <w:rPr>
                <w:sz w:val="16"/>
                <w:szCs w:val="16"/>
              </w:rPr>
            </w:pPr>
            <w:r w:rsidRPr="00B351D4">
              <w:rPr>
                <w:sz w:val="16"/>
                <w:szCs w:val="16"/>
              </w:rPr>
              <w:t>Moderate</w:t>
            </w:r>
          </w:p>
        </w:tc>
        <w:tc>
          <w:tcPr>
            <w:tcW w:w="768" w:type="pct"/>
          </w:tcPr>
          <w:p w14:paraId="5F2A6A56" w14:textId="77777777" w:rsidR="00A70754" w:rsidRPr="00B351D4" w:rsidRDefault="00A70754" w:rsidP="00160E61">
            <w:pPr>
              <w:pStyle w:val="Normal-TableText"/>
              <w:spacing w:after="140" w:line="200" w:lineRule="exact"/>
              <w:rPr>
                <w:sz w:val="16"/>
                <w:szCs w:val="16"/>
              </w:rPr>
            </w:pPr>
            <w:r w:rsidRPr="00B351D4">
              <w:rPr>
                <w:sz w:val="16"/>
                <w:szCs w:val="16"/>
              </w:rPr>
              <w:t>Major</w:t>
            </w:r>
          </w:p>
        </w:tc>
        <w:tc>
          <w:tcPr>
            <w:tcW w:w="884" w:type="pct"/>
          </w:tcPr>
          <w:p w14:paraId="793E53FC" w14:textId="77777777" w:rsidR="00A70754" w:rsidRPr="00B351D4" w:rsidRDefault="00A70754" w:rsidP="00160E61">
            <w:pPr>
              <w:pStyle w:val="Normal-TableText"/>
              <w:spacing w:after="140" w:line="200" w:lineRule="exact"/>
              <w:rPr>
                <w:sz w:val="16"/>
                <w:szCs w:val="16"/>
              </w:rPr>
            </w:pPr>
            <w:r w:rsidRPr="00B351D4">
              <w:rPr>
                <w:sz w:val="16"/>
                <w:szCs w:val="16"/>
              </w:rPr>
              <w:t>Severe</w:t>
            </w:r>
          </w:p>
        </w:tc>
      </w:tr>
      <w:tr w:rsidR="00A70754" w:rsidRPr="00B351D4" w14:paraId="350D3A40" w14:textId="77777777" w:rsidTr="00B351D4">
        <w:tc>
          <w:tcPr>
            <w:tcW w:w="1136" w:type="pct"/>
          </w:tcPr>
          <w:p w14:paraId="24AEFCEF" w14:textId="77777777" w:rsidR="00A70754" w:rsidRPr="00B351D4" w:rsidRDefault="00A70754" w:rsidP="00160E61">
            <w:pPr>
              <w:pStyle w:val="Normal-TableText"/>
              <w:spacing w:after="140" w:line="200" w:lineRule="exact"/>
              <w:rPr>
                <w:sz w:val="16"/>
                <w:szCs w:val="16"/>
              </w:rPr>
            </w:pPr>
            <w:r w:rsidRPr="00B351D4">
              <w:rPr>
                <w:sz w:val="16"/>
                <w:szCs w:val="16"/>
              </w:rPr>
              <w:t>Inconvenience to any party</w:t>
            </w:r>
          </w:p>
        </w:tc>
        <w:tc>
          <w:tcPr>
            <w:tcW w:w="675" w:type="pct"/>
          </w:tcPr>
          <w:p w14:paraId="682A2773" w14:textId="77777777" w:rsidR="00A70754" w:rsidRPr="00B351D4" w:rsidRDefault="00A70754" w:rsidP="00160E61">
            <w:pPr>
              <w:pStyle w:val="Normal-TableText"/>
              <w:spacing w:after="140" w:line="200" w:lineRule="exact"/>
              <w:rPr>
                <w:sz w:val="16"/>
                <w:szCs w:val="16"/>
              </w:rPr>
            </w:pPr>
            <w:r w:rsidRPr="00B351D4">
              <w:rPr>
                <w:sz w:val="16"/>
                <w:szCs w:val="16"/>
              </w:rPr>
              <w:t>No inconvenience</w:t>
            </w:r>
          </w:p>
        </w:tc>
        <w:tc>
          <w:tcPr>
            <w:tcW w:w="597" w:type="pct"/>
          </w:tcPr>
          <w:p w14:paraId="343863AF" w14:textId="77777777" w:rsidR="00A70754" w:rsidRPr="00B351D4" w:rsidRDefault="00A70754" w:rsidP="00160E61">
            <w:pPr>
              <w:pStyle w:val="Normal-TableText"/>
              <w:spacing w:after="140" w:line="200" w:lineRule="exact"/>
              <w:rPr>
                <w:sz w:val="16"/>
                <w:szCs w:val="16"/>
              </w:rPr>
            </w:pPr>
            <w:r w:rsidRPr="00B351D4">
              <w:rPr>
                <w:sz w:val="16"/>
                <w:szCs w:val="16"/>
              </w:rPr>
              <w:t>Minimal inconvenience</w:t>
            </w:r>
          </w:p>
        </w:tc>
        <w:tc>
          <w:tcPr>
            <w:tcW w:w="939" w:type="pct"/>
          </w:tcPr>
          <w:p w14:paraId="7255028B" w14:textId="77777777" w:rsidR="00A70754" w:rsidRPr="00B351D4" w:rsidRDefault="00A70754" w:rsidP="00160E61">
            <w:pPr>
              <w:pStyle w:val="Normal-TableText"/>
              <w:spacing w:after="140" w:line="200" w:lineRule="exact"/>
              <w:rPr>
                <w:sz w:val="16"/>
                <w:szCs w:val="16"/>
              </w:rPr>
            </w:pPr>
            <w:r w:rsidRPr="00B351D4">
              <w:rPr>
                <w:sz w:val="16"/>
                <w:szCs w:val="16"/>
              </w:rPr>
              <w:t>Minor inconvenience</w:t>
            </w:r>
          </w:p>
        </w:tc>
        <w:tc>
          <w:tcPr>
            <w:tcW w:w="768" w:type="pct"/>
          </w:tcPr>
          <w:p w14:paraId="424F83C2" w14:textId="77777777" w:rsidR="00A70754" w:rsidRPr="00B351D4" w:rsidRDefault="00A70754" w:rsidP="00160E61">
            <w:pPr>
              <w:pStyle w:val="Normal-TableText"/>
              <w:spacing w:after="140" w:line="200" w:lineRule="exact"/>
              <w:rPr>
                <w:sz w:val="16"/>
                <w:szCs w:val="16"/>
              </w:rPr>
            </w:pPr>
            <w:r w:rsidRPr="00B351D4">
              <w:rPr>
                <w:sz w:val="16"/>
                <w:szCs w:val="16"/>
              </w:rPr>
              <w:t>Significant inconvenience</w:t>
            </w:r>
          </w:p>
        </w:tc>
        <w:tc>
          <w:tcPr>
            <w:tcW w:w="884" w:type="pct"/>
          </w:tcPr>
          <w:p w14:paraId="7F7E8DA7" w14:textId="77777777" w:rsidR="00A70754" w:rsidRPr="00B351D4" w:rsidRDefault="00A70754" w:rsidP="00160E61">
            <w:pPr>
              <w:pStyle w:val="Normal-TableText"/>
              <w:spacing w:after="140" w:line="200" w:lineRule="exact"/>
              <w:rPr>
                <w:sz w:val="16"/>
                <w:szCs w:val="16"/>
              </w:rPr>
            </w:pPr>
            <w:r w:rsidRPr="00B351D4">
              <w:rPr>
                <w:sz w:val="16"/>
                <w:szCs w:val="16"/>
              </w:rPr>
              <w:t>Substantial inconvenience</w:t>
            </w:r>
          </w:p>
        </w:tc>
      </w:tr>
      <w:tr w:rsidR="00A70754" w:rsidRPr="00B351D4" w14:paraId="76F0E2AA" w14:textId="77777777" w:rsidTr="00B351D4">
        <w:trPr>
          <w:trHeight w:val="499"/>
        </w:trPr>
        <w:tc>
          <w:tcPr>
            <w:tcW w:w="1136" w:type="pct"/>
          </w:tcPr>
          <w:p w14:paraId="57808962" w14:textId="77777777" w:rsidR="00A70754" w:rsidRPr="00B351D4" w:rsidRDefault="00A70754" w:rsidP="00160E61">
            <w:pPr>
              <w:pStyle w:val="Normal-TableText"/>
              <w:spacing w:after="140" w:line="200" w:lineRule="exact"/>
              <w:rPr>
                <w:sz w:val="16"/>
                <w:szCs w:val="16"/>
              </w:rPr>
            </w:pPr>
            <w:r w:rsidRPr="00B351D4">
              <w:rPr>
                <w:sz w:val="16"/>
                <w:szCs w:val="16"/>
              </w:rPr>
              <w:t>Risk to any party’s personal safety</w:t>
            </w:r>
          </w:p>
        </w:tc>
        <w:tc>
          <w:tcPr>
            <w:tcW w:w="675" w:type="pct"/>
          </w:tcPr>
          <w:p w14:paraId="79235029" w14:textId="77777777" w:rsidR="00A70754" w:rsidRPr="00B351D4" w:rsidRDefault="00A70754" w:rsidP="00160E61">
            <w:pPr>
              <w:pStyle w:val="Normal-TableText"/>
              <w:spacing w:after="140" w:line="200" w:lineRule="exact"/>
              <w:rPr>
                <w:sz w:val="16"/>
                <w:szCs w:val="16"/>
              </w:rPr>
            </w:pPr>
            <w:r w:rsidRPr="00B351D4">
              <w:rPr>
                <w:sz w:val="16"/>
                <w:szCs w:val="16"/>
              </w:rPr>
              <w:t>No risk</w:t>
            </w:r>
          </w:p>
        </w:tc>
        <w:tc>
          <w:tcPr>
            <w:tcW w:w="597" w:type="pct"/>
          </w:tcPr>
          <w:p w14:paraId="5AC733BF" w14:textId="77777777" w:rsidR="00A70754" w:rsidRPr="00B351D4" w:rsidRDefault="00A70754" w:rsidP="00160E61">
            <w:pPr>
              <w:pStyle w:val="Normal-TableText"/>
              <w:spacing w:after="140" w:line="200" w:lineRule="exact"/>
              <w:rPr>
                <w:sz w:val="16"/>
                <w:szCs w:val="16"/>
              </w:rPr>
            </w:pPr>
            <w:r w:rsidRPr="00B351D4">
              <w:rPr>
                <w:sz w:val="16"/>
                <w:szCs w:val="16"/>
              </w:rPr>
              <w:t>No risk</w:t>
            </w:r>
          </w:p>
        </w:tc>
        <w:tc>
          <w:tcPr>
            <w:tcW w:w="939" w:type="pct"/>
          </w:tcPr>
          <w:p w14:paraId="27191429" w14:textId="77777777" w:rsidR="00A70754" w:rsidRPr="00B351D4" w:rsidRDefault="00A70754" w:rsidP="00160E61">
            <w:pPr>
              <w:pStyle w:val="Normal-TableText"/>
              <w:spacing w:after="140" w:line="200" w:lineRule="exact"/>
              <w:rPr>
                <w:sz w:val="16"/>
                <w:szCs w:val="16"/>
              </w:rPr>
            </w:pPr>
            <w:r w:rsidRPr="00B351D4">
              <w:rPr>
                <w:sz w:val="16"/>
                <w:szCs w:val="16"/>
              </w:rPr>
              <w:t>No risk</w:t>
            </w:r>
          </w:p>
        </w:tc>
        <w:tc>
          <w:tcPr>
            <w:tcW w:w="768" w:type="pct"/>
          </w:tcPr>
          <w:p w14:paraId="08272058" w14:textId="77777777" w:rsidR="00A70754" w:rsidRPr="00B351D4" w:rsidRDefault="00A70754" w:rsidP="00160E61">
            <w:pPr>
              <w:pStyle w:val="Normal-TableText"/>
              <w:spacing w:after="140" w:line="200" w:lineRule="exact"/>
              <w:rPr>
                <w:sz w:val="16"/>
                <w:szCs w:val="16"/>
              </w:rPr>
            </w:pPr>
            <w:r w:rsidRPr="00B351D4">
              <w:rPr>
                <w:sz w:val="16"/>
                <w:szCs w:val="16"/>
              </w:rPr>
              <w:t>Any risk to personal safety</w:t>
            </w:r>
          </w:p>
        </w:tc>
        <w:tc>
          <w:tcPr>
            <w:tcW w:w="884" w:type="pct"/>
          </w:tcPr>
          <w:p w14:paraId="60109354" w14:textId="77777777" w:rsidR="00A70754" w:rsidRPr="00B351D4" w:rsidRDefault="00A70754" w:rsidP="00160E61">
            <w:pPr>
              <w:pStyle w:val="Normal-TableText"/>
              <w:spacing w:after="140" w:line="200" w:lineRule="exact"/>
              <w:rPr>
                <w:sz w:val="16"/>
                <w:szCs w:val="16"/>
              </w:rPr>
            </w:pPr>
            <w:r w:rsidRPr="00B351D4">
              <w:rPr>
                <w:sz w:val="16"/>
                <w:szCs w:val="16"/>
              </w:rPr>
              <w:t>Threaten life directly</w:t>
            </w:r>
          </w:p>
        </w:tc>
      </w:tr>
      <w:tr w:rsidR="00A70754" w:rsidRPr="00B351D4" w14:paraId="3D4C2F2B" w14:textId="77777777" w:rsidTr="00B351D4">
        <w:tc>
          <w:tcPr>
            <w:tcW w:w="1136" w:type="pct"/>
          </w:tcPr>
          <w:p w14:paraId="12349C35" w14:textId="77777777" w:rsidR="00A70754" w:rsidRPr="00B351D4" w:rsidRDefault="00A70754" w:rsidP="00160E61">
            <w:pPr>
              <w:pStyle w:val="Normal-TableText"/>
              <w:spacing w:after="140" w:line="200" w:lineRule="exact"/>
              <w:rPr>
                <w:sz w:val="16"/>
                <w:szCs w:val="16"/>
              </w:rPr>
            </w:pPr>
            <w:r w:rsidRPr="00B351D4">
              <w:rPr>
                <w:sz w:val="16"/>
                <w:szCs w:val="16"/>
              </w:rPr>
              <w:t>Release of personally or commercially sensitive data t</w:t>
            </w:r>
            <w:r w:rsidR="00B351D4" w:rsidRPr="00B351D4">
              <w:rPr>
                <w:sz w:val="16"/>
                <w:szCs w:val="16"/>
              </w:rPr>
              <w:t>o third parties without consent</w:t>
            </w:r>
          </w:p>
        </w:tc>
        <w:tc>
          <w:tcPr>
            <w:tcW w:w="675" w:type="pct"/>
          </w:tcPr>
          <w:p w14:paraId="075947E4" w14:textId="77777777" w:rsidR="00A70754" w:rsidRPr="00B351D4" w:rsidRDefault="00A70754" w:rsidP="00160E61">
            <w:pPr>
              <w:pStyle w:val="Normal-TableText"/>
              <w:spacing w:after="140" w:line="200" w:lineRule="exact"/>
              <w:rPr>
                <w:sz w:val="16"/>
                <w:szCs w:val="16"/>
              </w:rPr>
            </w:pPr>
            <w:r w:rsidRPr="00B351D4">
              <w:rPr>
                <w:sz w:val="16"/>
                <w:szCs w:val="16"/>
              </w:rPr>
              <w:t>No impact</w:t>
            </w:r>
          </w:p>
        </w:tc>
        <w:tc>
          <w:tcPr>
            <w:tcW w:w="597" w:type="pct"/>
          </w:tcPr>
          <w:p w14:paraId="0727B6DF" w14:textId="77777777" w:rsidR="00A70754" w:rsidRPr="00B351D4" w:rsidRDefault="00A70754" w:rsidP="00160E61">
            <w:pPr>
              <w:pStyle w:val="Normal-TableText"/>
              <w:spacing w:after="140" w:line="200" w:lineRule="exact"/>
              <w:rPr>
                <w:sz w:val="16"/>
                <w:szCs w:val="16"/>
              </w:rPr>
            </w:pPr>
            <w:r w:rsidRPr="00B351D4">
              <w:rPr>
                <w:sz w:val="16"/>
                <w:szCs w:val="16"/>
              </w:rPr>
              <w:t>Would have little impact</w:t>
            </w:r>
          </w:p>
        </w:tc>
        <w:tc>
          <w:tcPr>
            <w:tcW w:w="939" w:type="pct"/>
          </w:tcPr>
          <w:p w14:paraId="199F2F9A" w14:textId="77777777" w:rsidR="00A70754" w:rsidRPr="00B351D4" w:rsidRDefault="00A70754" w:rsidP="00160E61">
            <w:pPr>
              <w:pStyle w:val="Normal-TableText"/>
              <w:spacing w:after="140" w:line="200" w:lineRule="exact"/>
              <w:rPr>
                <w:sz w:val="16"/>
                <w:szCs w:val="16"/>
              </w:rPr>
            </w:pPr>
            <w:r w:rsidRPr="00B351D4">
              <w:rPr>
                <w:sz w:val="16"/>
                <w:szCs w:val="16"/>
              </w:rPr>
              <w:t>Measurable impact, breach of regulations or commitment to confidentiality</w:t>
            </w:r>
          </w:p>
        </w:tc>
        <w:tc>
          <w:tcPr>
            <w:tcW w:w="768" w:type="pct"/>
          </w:tcPr>
          <w:p w14:paraId="0AF1EF54" w14:textId="77777777" w:rsidR="00A70754" w:rsidRPr="00B351D4" w:rsidRDefault="00A70754" w:rsidP="00160E61">
            <w:pPr>
              <w:pStyle w:val="Normal-TableText"/>
              <w:spacing w:after="140" w:line="200" w:lineRule="exact"/>
              <w:rPr>
                <w:sz w:val="16"/>
                <w:szCs w:val="16"/>
              </w:rPr>
            </w:pPr>
            <w:r w:rsidRPr="00B351D4">
              <w:rPr>
                <w:sz w:val="16"/>
                <w:szCs w:val="16"/>
              </w:rPr>
              <w:t>Release of information would have a significant impact</w:t>
            </w:r>
          </w:p>
        </w:tc>
        <w:tc>
          <w:tcPr>
            <w:tcW w:w="884" w:type="pct"/>
          </w:tcPr>
          <w:p w14:paraId="7E772ED2" w14:textId="77777777" w:rsidR="00A70754" w:rsidRPr="00B351D4" w:rsidRDefault="00A70754" w:rsidP="00160E61">
            <w:pPr>
              <w:pStyle w:val="Normal-TableText"/>
              <w:spacing w:after="140" w:line="200" w:lineRule="exact"/>
              <w:rPr>
                <w:sz w:val="16"/>
                <w:szCs w:val="16"/>
              </w:rPr>
            </w:pPr>
            <w:r w:rsidRPr="00B351D4">
              <w:rPr>
                <w:sz w:val="16"/>
                <w:szCs w:val="16"/>
              </w:rPr>
              <w:t>Would have severe consequences to a person, agency or business</w:t>
            </w:r>
          </w:p>
        </w:tc>
      </w:tr>
      <w:tr w:rsidR="00A70754" w:rsidRPr="00B351D4" w14:paraId="7418D3EB" w14:textId="77777777" w:rsidTr="00B351D4">
        <w:tc>
          <w:tcPr>
            <w:tcW w:w="1136" w:type="pct"/>
          </w:tcPr>
          <w:p w14:paraId="2EBA4848" w14:textId="77777777" w:rsidR="00A70754" w:rsidRPr="00B351D4" w:rsidRDefault="00A70754" w:rsidP="00160E61">
            <w:pPr>
              <w:pStyle w:val="Normal-TableText"/>
              <w:spacing w:after="140" w:line="200" w:lineRule="exact"/>
              <w:rPr>
                <w:sz w:val="16"/>
                <w:szCs w:val="16"/>
              </w:rPr>
            </w:pPr>
            <w:r w:rsidRPr="00B351D4">
              <w:rPr>
                <w:sz w:val="16"/>
                <w:szCs w:val="16"/>
              </w:rPr>
              <w:t>Financial loss to any client of the service provider</w:t>
            </w:r>
            <w:r w:rsidRPr="00B351D4">
              <w:rPr>
                <w:rStyle w:val="FootnoteReference"/>
                <w:sz w:val="16"/>
                <w:szCs w:val="16"/>
              </w:rPr>
              <w:footnoteReference w:id="6"/>
            </w:r>
            <w:r w:rsidRPr="00B351D4">
              <w:rPr>
                <w:sz w:val="16"/>
                <w:szCs w:val="16"/>
              </w:rPr>
              <w:t xml:space="preserve"> or other third party</w:t>
            </w:r>
          </w:p>
        </w:tc>
        <w:tc>
          <w:tcPr>
            <w:tcW w:w="675" w:type="pct"/>
          </w:tcPr>
          <w:p w14:paraId="3B73CCD2" w14:textId="77777777" w:rsidR="00A70754" w:rsidRPr="00B351D4" w:rsidRDefault="00A70754" w:rsidP="00160E61">
            <w:pPr>
              <w:pStyle w:val="Normal-TableText"/>
              <w:spacing w:after="140" w:line="200" w:lineRule="exact"/>
              <w:rPr>
                <w:sz w:val="16"/>
                <w:szCs w:val="16"/>
              </w:rPr>
            </w:pPr>
            <w:r w:rsidRPr="00B351D4">
              <w:rPr>
                <w:sz w:val="16"/>
                <w:szCs w:val="16"/>
              </w:rPr>
              <w:t>No loss</w:t>
            </w:r>
          </w:p>
        </w:tc>
        <w:tc>
          <w:tcPr>
            <w:tcW w:w="597" w:type="pct"/>
          </w:tcPr>
          <w:p w14:paraId="648565E2" w14:textId="77777777" w:rsidR="00A70754" w:rsidRPr="00B351D4" w:rsidRDefault="00A70754" w:rsidP="00160E61">
            <w:pPr>
              <w:pStyle w:val="Normal-TableText"/>
              <w:spacing w:after="140" w:line="200" w:lineRule="exact"/>
              <w:rPr>
                <w:sz w:val="16"/>
                <w:szCs w:val="16"/>
              </w:rPr>
            </w:pPr>
            <w:r w:rsidRPr="00B351D4">
              <w:rPr>
                <w:sz w:val="16"/>
                <w:szCs w:val="16"/>
              </w:rPr>
              <w:t>Minimal</w:t>
            </w:r>
          </w:p>
        </w:tc>
        <w:tc>
          <w:tcPr>
            <w:tcW w:w="939" w:type="pct"/>
          </w:tcPr>
          <w:p w14:paraId="6CA287E2" w14:textId="77777777" w:rsidR="00A70754" w:rsidRPr="00B351D4" w:rsidRDefault="00A70754" w:rsidP="00160E61">
            <w:pPr>
              <w:pStyle w:val="Normal-TableText"/>
              <w:spacing w:after="140" w:line="200" w:lineRule="exact"/>
              <w:rPr>
                <w:sz w:val="16"/>
                <w:szCs w:val="16"/>
              </w:rPr>
            </w:pPr>
            <w:r w:rsidRPr="00B351D4">
              <w:rPr>
                <w:sz w:val="16"/>
                <w:szCs w:val="16"/>
              </w:rPr>
              <w:t>Minor</w:t>
            </w:r>
          </w:p>
        </w:tc>
        <w:tc>
          <w:tcPr>
            <w:tcW w:w="768" w:type="pct"/>
          </w:tcPr>
          <w:p w14:paraId="3243E1D0" w14:textId="77777777" w:rsidR="00A70754" w:rsidRPr="00B351D4" w:rsidRDefault="00A70754" w:rsidP="00160E61">
            <w:pPr>
              <w:pStyle w:val="Normal-TableText"/>
              <w:spacing w:after="140" w:line="200" w:lineRule="exact"/>
              <w:rPr>
                <w:sz w:val="16"/>
                <w:szCs w:val="16"/>
              </w:rPr>
            </w:pPr>
            <w:r w:rsidRPr="00B351D4">
              <w:rPr>
                <w:sz w:val="16"/>
                <w:szCs w:val="16"/>
              </w:rPr>
              <w:t>Significant</w:t>
            </w:r>
          </w:p>
        </w:tc>
        <w:tc>
          <w:tcPr>
            <w:tcW w:w="884" w:type="pct"/>
          </w:tcPr>
          <w:p w14:paraId="713AB403" w14:textId="77777777" w:rsidR="00A70754" w:rsidRPr="00B351D4" w:rsidRDefault="00A70754" w:rsidP="00160E61">
            <w:pPr>
              <w:pStyle w:val="Normal-TableText"/>
              <w:spacing w:after="140" w:line="200" w:lineRule="exact"/>
              <w:rPr>
                <w:sz w:val="16"/>
                <w:szCs w:val="16"/>
              </w:rPr>
            </w:pPr>
            <w:r w:rsidRPr="00B351D4">
              <w:rPr>
                <w:sz w:val="16"/>
                <w:szCs w:val="16"/>
              </w:rPr>
              <w:t>Substantial</w:t>
            </w:r>
          </w:p>
        </w:tc>
      </w:tr>
      <w:tr w:rsidR="00A70754" w:rsidRPr="00B351D4" w14:paraId="4659309A" w14:textId="77777777" w:rsidTr="00B351D4">
        <w:tc>
          <w:tcPr>
            <w:tcW w:w="1136" w:type="pct"/>
          </w:tcPr>
          <w:p w14:paraId="7786CFE2" w14:textId="77777777" w:rsidR="00A70754" w:rsidRPr="00B351D4" w:rsidRDefault="00A70754" w:rsidP="00160E61">
            <w:pPr>
              <w:pStyle w:val="Normal-TableText"/>
              <w:spacing w:after="140" w:line="200" w:lineRule="exact"/>
              <w:rPr>
                <w:sz w:val="16"/>
                <w:szCs w:val="16"/>
              </w:rPr>
            </w:pPr>
            <w:r w:rsidRPr="00B351D4">
              <w:rPr>
                <w:sz w:val="16"/>
                <w:szCs w:val="16"/>
              </w:rPr>
              <w:t xml:space="preserve">Financial loss to Agency / service provider </w:t>
            </w:r>
          </w:p>
        </w:tc>
        <w:tc>
          <w:tcPr>
            <w:tcW w:w="675" w:type="pct"/>
          </w:tcPr>
          <w:p w14:paraId="09E21880" w14:textId="77777777" w:rsidR="00A70754" w:rsidRPr="00B351D4" w:rsidRDefault="00A70754" w:rsidP="00160E61">
            <w:pPr>
              <w:pStyle w:val="Normal-TableText"/>
              <w:spacing w:after="140" w:line="200" w:lineRule="exact"/>
              <w:rPr>
                <w:sz w:val="16"/>
                <w:szCs w:val="16"/>
              </w:rPr>
            </w:pPr>
            <w:r w:rsidRPr="00B351D4">
              <w:rPr>
                <w:sz w:val="16"/>
                <w:szCs w:val="16"/>
              </w:rPr>
              <w:t>No loss</w:t>
            </w:r>
          </w:p>
        </w:tc>
        <w:tc>
          <w:tcPr>
            <w:tcW w:w="597" w:type="pct"/>
          </w:tcPr>
          <w:p w14:paraId="41D2A2AB" w14:textId="77777777" w:rsidR="00A70754" w:rsidRPr="00B351D4" w:rsidRDefault="00A70754" w:rsidP="00160E61">
            <w:pPr>
              <w:pStyle w:val="Normal-TableText"/>
              <w:spacing w:after="140" w:line="200" w:lineRule="exact"/>
              <w:rPr>
                <w:sz w:val="16"/>
                <w:szCs w:val="16"/>
              </w:rPr>
            </w:pPr>
            <w:r w:rsidRPr="00B351D4">
              <w:rPr>
                <w:sz w:val="16"/>
                <w:szCs w:val="16"/>
              </w:rPr>
              <w:t>Minimal</w:t>
            </w:r>
            <w:r w:rsidRPr="00B351D4">
              <w:rPr>
                <w:sz w:val="16"/>
                <w:szCs w:val="16"/>
              </w:rPr>
              <w:br/>
              <w:t>&lt; 2% of monthly agency budget</w:t>
            </w:r>
          </w:p>
        </w:tc>
        <w:tc>
          <w:tcPr>
            <w:tcW w:w="939" w:type="pct"/>
          </w:tcPr>
          <w:p w14:paraId="48B74E7D" w14:textId="77777777" w:rsidR="00A70754" w:rsidRPr="00B351D4" w:rsidRDefault="00A70754" w:rsidP="00160E61">
            <w:pPr>
              <w:pStyle w:val="Normal-TableText"/>
              <w:spacing w:after="140" w:line="200" w:lineRule="exact"/>
              <w:rPr>
                <w:sz w:val="16"/>
                <w:szCs w:val="16"/>
              </w:rPr>
            </w:pPr>
            <w:r w:rsidRPr="00B351D4">
              <w:rPr>
                <w:sz w:val="16"/>
                <w:szCs w:val="16"/>
              </w:rPr>
              <w:t>Minor</w:t>
            </w:r>
            <w:r w:rsidRPr="00B351D4">
              <w:rPr>
                <w:sz w:val="16"/>
                <w:szCs w:val="16"/>
              </w:rPr>
              <w:br/>
              <w:t>2% to &lt; 5% of monthly agency budget</w:t>
            </w:r>
          </w:p>
        </w:tc>
        <w:tc>
          <w:tcPr>
            <w:tcW w:w="768" w:type="pct"/>
          </w:tcPr>
          <w:p w14:paraId="3B4AFF7B" w14:textId="77777777" w:rsidR="00A70754" w:rsidRPr="00B351D4" w:rsidRDefault="00A70754" w:rsidP="00160E61">
            <w:pPr>
              <w:pStyle w:val="Normal-TableText"/>
              <w:spacing w:after="140" w:line="200" w:lineRule="exact"/>
              <w:rPr>
                <w:sz w:val="16"/>
                <w:szCs w:val="16"/>
              </w:rPr>
            </w:pPr>
            <w:r w:rsidRPr="00B351D4">
              <w:rPr>
                <w:sz w:val="16"/>
                <w:szCs w:val="16"/>
              </w:rPr>
              <w:t>Significant</w:t>
            </w:r>
            <w:r w:rsidRPr="00B351D4">
              <w:rPr>
                <w:sz w:val="16"/>
                <w:szCs w:val="16"/>
              </w:rPr>
              <w:br/>
              <w:t>5% to &lt; 10% of monthly agency budget</w:t>
            </w:r>
          </w:p>
        </w:tc>
        <w:tc>
          <w:tcPr>
            <w:tcW w:w="884" w:type="pct"/>
          </w:tcPr>
          <w:p w14:paraId="4737E501" w14:textId="77777777" w:rsidR="00A70754" w:rsidRPr="00B351D4" w:rsidRDefault="00A70754" w:rsidP="00160E61">
            <w:pPr>
              <w:pStyle w:val="Normal-TableText"/>
              <w:spacing w:after="140" w:line="200" w:lineRule="exact"/>
              <w:rPr>
                <w:sz w:val="16"/>
                <w:szCs w:val="16"/>
              </w:rPr>
            </w:pPr>
            <w:r w:rsidRPr="00B351D4">
              <w:rPr>
                <w:sz w:val="16"/>
                <w:szCs w:val="16"/>
              </w:rPr>
              <w:t>Substantial</w:t>
            </w:r>
            <w:r w:rsidRPr="00B351D4">
              <w:rPr>
                <w:sz w:val="16"/>
                <w:szCs w:val="16"/>
              </w:rPr>
              <w:br/>
              <w:t>≥ 10% of monthly agency budget</w:t>
            </w:r>
          </w:p>
        </w:tc>
      </w:tr>
      <w:tr w:rsidR="00A70754" w:rsidRPr="00B351D4" w14:paraId="3AF2DB4A" w14:textId="77777777" w:rsidTr="00B351D4">
        <w:tc>
          <w:tcPr>
            <w:tcW w:w="1136" w:type="pct"/>
          </w:tcPr>
          <w:p w14:paraId="66AA6A98" w14:textId="77777777" w:rsidR="00A70754" w:rsidRPr="00B351D4" w:rsidRDefault="00A70754" w:rsidP="00160E61">
            <w:pPr>
              <w:pStyle w:val="Normal-TableText"/>
              <w:spacing w:after="140" w:line="200" w:lineRule="exact"/>
              <w:rPr>
                <w:sz w:val="16"/>
                <w:szCs w:val="16"/>
              </w:rPr>
            </w:pPr>
            <w:r w:rsidRPr="00B351D4">
              <w:rPr>
                <w:sz w:val="16"/>
                <w:szCs w:val="16"/>
              </w:rPr>
              <w:t>Impact on government finances or economic and commercial interests</w:t>
            </w:r>
          </w:p>
        </w:tc>
        <w:tc>
          <w:tcPr>
            <w:tcW w:w="675" w:type="pct"/>
          </w:tcPr>
          <w:p w14:paraId="32C84394" w14:textId="77777777" w:rsidR="00A70754" w:rsidRPr="00B351D4" w:rsidRDefault="00A70754" w:rsidP="00160E61">
            <w:pPr>
              <w:pStyle w:val="Normal-TableText"/>
              <w:spacing w:after="140" w:line="200" w:lineRule="exact"/>
              <w:rPr>
                <w:sz w:val="16"/>
                <w:szCs w:val="16"/>
              </w:rPr>
            </w:pPr>
            <w:r w:rsidRPr="00B351D4">
              <w:rPr>
                <w:sz w:val="16"/>
                <w:szCs w:val="16"/>
              </w:rPr>
              <w:t>No impact</w:t>
            </w:r>
          </w:p>
        </w:tc>
        <w:tc>
          <w:tcPr>
            <w:tcW w:w="597" w:type="pct"/>
          </w:tcPr>
          <w:p w14:paraId="47D54FFE" w14:textId="77777777" w:rsidR="00A70754" w:rsidRPr="00B351D4" w:rsidRDefault="00A70754" w:rsidP="00160E61">
            <w:pPr>
              <w:pStyle w:val="Normal-TableText"/>
              <w:spacing w:after="140" w:line="200" w:lineRule="exact"/>
              <w:rPr>
                <w:sz w:val="16"/>
                <w:szCs w:val="16"/>
              </w:rPr>
            </w:pPr>
            <w:r w:rsidRPr="00B351D4">
              <w:rPr>
                <w:sz w:val="16"/>
                <w:szCs w:val="16"/>
              </w:rPr>
              <w:t>No impact</w:t>
            </w:r>
          </w:p>
        </w:tc>
        <w:tc>
          <w:tcPr>
            <w:tcW w:w="939" w:type="pct"/>
          </w:tcPr>
          <w:p w14:paraId="5D6AAB33" w14:textId="77777777" w:rsidR="00A70754" w:rsidRPr="00B351D4" w:rsidRDefault="00A70754" w:rsidP="00160E61">
            <w:pPr>
              <w:pStyle w:val="Normal-TableText"/>
              <w:spacing w:after="140" w:line="200" w:lineRule="exact"/>
              <w:rPr>
                <w:sz w:val="16"/>
                <w:szCs w:val="16"/>
              </w:rPr>
            </w:pPr>
            <w:r w:rsidRPr="00B351D4">
              <w:rPr>
                <w:sz w:val="16"/>
                <w:szCs w:val="16"/>
              </w:rPr>
              <w:t>Cause financial loss or loss of earning potential</w:t>
            </w:r>
          </w:p>
        </w:tc>
        <w:tc>
          <w:tcPr>
            <w:tcW w:w="768" w:type="pct"/>
          </w:tcPr>
          <w:p w14:paraId="60369AE4" w14:textId="77777777" w:rsidR="00A70754" w:rsidRPr="00B351D4" w:rsidRDefault="00A70754" w:rsidP="00160E61">
            <w:pPr>
              <w:pStyle w:val="Normal-TableText"/>
              <w:spacing w:after="140" w:line="200" w:lineRule="exact"/>
              <w:rPr>
                <w:sz w:val="16"/>
                <w:szCs w:val="16"/>
              </w:rPr>
            </w:pPr>
            <w:r w:rsidRPr="00B351D4">
              <w:rPr>
                <w:sz w:val="16"/>
                <w:szCs w:val="16"/>
              </w:rPr>
              <w:t>Work significantly against</w:t>
            </w:r>
          </w:p>
        </w:tc>
        <w:tc>
          <w:tcPr>
            <w:tcW w:w="884" w:type="pct"/>
          </w:tcPr>
          <w:p w14:paraId="29E11517" w14:textId="77777777" w:rsidR="00A70754" w:rsidRPr="00B351D4" w:rsidRDefault="00A70754" w:rsidP="00160E61">
            <w:pPr>
              <w:pStyle w:val="Normal-TableText"/>
              <w:spacing w:after="140" w:line="200" w:lineRule="exact"/>
              <w:rPr>
                <w:sz w:val="16"/>
                <w:szCs w:val="16"/>
              </w:rPr>
            </w:pPr>
            <w:r w:rsidRPr="00B351D4">
              <w:rPr>
                <w:sz w:val="16"/>
                <w:szCs w:val="16"/>
              </w:rPr>
              <w:t>Substantial Damage</w:t>
            </w:r>
          </w:p>
        </w:tc>
      </w:tr>
      <w:tr w:rsidR="00A70754" w:rsidRPr="00B351D4" w14:paraId="31B9F017" w14:textId="77777777" w:rsidTr="00B351D4">
        <w:tc>
          <w:tcPr>
            <w:tcW w:w="1136" w:type="pct"/>
          </w:tcPr>
          <w:p w14:paraId="11D367BF" w14:textId="77777777" w:rsidR="00A70754" w:rsidRPr="00B351D4" w:rsidRDefault="00A70754" w:rsidP="00160E61">
            <w:pPr>
              <w:pStyle w:val="Normal-TableText"/>
              <w:spacing w:after="140" w:line="200" w:lineRule="exact"/>
              <w:rPr>
                <w:sz w:val="16"/>
                <w:szCs w:val="16"/>
              </w:rPr>
            </w:pPr>
            <w:r w:rsidRPr="00B351D4">
              <w:rPr>
                <w:sz w:val="16"/>
                <w:szCs w:val="16"/>
              </w:rPr>
              <w:t>Damage to any party’s standing or reputation</w:t>
            </w:r>
          </w:p>
        </w:tc>
        <w:tc>
          <w:tcPr>
            <w:tcW w:w="675" w:type="pct"/>
          </w:tcPr>
          <w:p w14:paraId="763FD743" w14:textId="77777777" w:rsidR="00A70754" w:rsidRPr="00B351D4" w:rsidRDefault="00A70754" w:rsidP="00160E61">
            <w:pPr>
              <w:pStyle w:val="Normal-TableText"/>
              <w:spacing w:after="140" w:line="200" w:lineRule="exact"/>
              <w:rPr>
                <w:sz w:val="16"/>
                <w:szCs w:val="16"/>
              </w:rPr>
            </w:pPr>
            <w:r w:rsidRPr="00B351D4">
              <w:rPr>
                <w:sz w:val="16"/>
                <w:szCs w:val="16"/>
              </w:rPr>
              <w:t>No damage</w:t>
            </w:r>
          </w:p>
        </w:tc>
        <w:tc>
          <w:tcPr>
            <w:tcW w:w="597" w:type="pct"/>
          </w:tcPr>
          <w:p w14:paraId="0A320D1F" w14:textId="77777777" w:rsidR="00A70754" w:rsidRPr="00B351D4" w:rsidRDefault="00A70754" w:rsidP="00160E61">
            <w:pPr>
              <w:pStyle w:val="Normal-TableText"/>
              <w:spacing w:after="140" w:line="200" w:lineRule="exact"/>
              <w:rPr>
                <w:sz w:val="16"/>
                <w:szCs w:val="16"/>
              </w:rPr>
            </w:pPr>
            <w:r w:rsidRPr="00B351D4">
              <w:rPr>
                <w:sz w:val="16"/>
                <w:szCs w:val="16"/>
              </w:rPr>
              <w:t>No damage</w:t>
            </w:r>
          </w:p>
        </w:tc>
        <w:tc>
          <w:tcPr>
            <w:tcW w:w="939" w:type="pct"/>
          </w:tcPr>
          <w:p w14:paraId="3D2E0167" w14:textId="77777777" w:rsidR="00A70754" w:rsidRPr="00B351D4" w:rsidRDefault="00A70754" w:rsidP="00160E61">
            <w:pPr>
              <w:pStyle w:val="Normal-TableText"/>
              <w:spacing w:after="140" w:line="200" w:lineRule="exact"/>
              <w:rPr>
                <w:sz w:val="16"/>
                <w:szCs w:val="16"/>
              </w:rPr>
            </w:pPr>
            <w:r w:rsidRPr="00B351D4">
              <w:rPr>
                <w:sz w:val="16"/>
                <w:szCs w:val="16"/>
              </w:rPr>
              <w:t>Minor: short-term damage</w:t>
            </w:r>
          </w:p>
        </w:tc>
        <w:tc>
          <w:tcPr>
            <w:tcW w:w="768" w:type="pct"/>
          </w:tcPr>
          <w:p w14:paraId="28F8AD87" w14:textId="77777777" w:rsidR="00A70754" w:rsidRPr="00B351D4" w:rsidRDefault="00A70754" w:rsidP="00160E61">
            <w:pPr>
              <w:pStyle w:val="Normal-TableText"/>
              <w:spacing w:after="140" w:line="200" w:lineRule="exact"/>
              <w:rPr>
                <w:sz w:val="16"/>
                <w:szCs w:val="16"/>
              </w:rPr>
            </w:pPr>
            <w:r w:rsidRPr="00B351D4">
              <w:rPr>
                <w:sz w:val="16"/>
                <w:szCs w:val="16"/>
              </w:rPr>
              <w:t>Limited long-term damage</w:t>
            </w:r>
          </w:p>
        </w:tc>
        <w:tc>
          <w:tcPr>
            <w:tcW w:w="884" w:type="pct"/>
          </w:tcPr>
          <w:p w14:paraId="6725D71A" w14:textId="77777777" w:rsidR="00A70754" w:rsidRPr="00B351D4" w:rsidRDefault="00A70754" w:rsidP="00160E61">
            <w:pPr>
              <w:pStyle w:val="Normal-TableText"/>
              <w:spacing w:after="140" w:line="200" w:lineRule="exact"/>
              <w:rPr>
                <w:sz w:val="16"/>
                <w:szCs w:val="16"/>
              </w:rPr>
            </w:pPr>
            <w:r w:rsidRPr="00B351D4">
              <w:rPr>
                <w:sz w:val="16"/>
                <w:szCs w:val="16"/>
              </w:rPr>
              <w:t>Substantial long-term damage</w:t>
            </w:r>
          </w:p>
        </w:tc>
      </w:tr>
      <w:tr w:rsidR="00A70754" w:rsidRPr="00B351D4" w14:paraId="70DD2D04" w14:textId="77777777" w:rsidTr="00B351D4">
        <w:tc>
          <w:tcPr>
            <w:tcW w:w="1136" w:type="pct"/>
          </w:tcPr>
          <w:p w14:paraId="453C6E8F" w14:textId="77777777" w:rsidR="00A70754" w:rsidRPr="00B351D4" w:rsidRDefault="00A70754" w:rsidP="00160E61">
            <w:pPr>
              <w:pStyle w:val="Normal-TableText"/>
              <w:spacing w:after="140" w:line="200" w:lineRule="exact"/>
              <w:rPr>
                <w:sz w:val="16"/>
                <w:szCs w:val="16"/>
              </w:rPr>
            </w:pPr>
            <w:r w:rsidRPr="00B351D4">
              <w:rPr>
                <w:sz w:val="16"/>
                <w:szCs w:val="16"/>
              </w:rPr>
              <w:t>Distress caused to any party</w:t>
            </w:r>
          </w:p>
        </w:tc>
        <w:tc>
          <w:tcPr>
            <w:tcW w:w="675" w:type="pct"/>
          </w:tcPr>
          <w:p w14:paraId="3A6A3360" w14:textId="77777777" w:rsidR="00A70754" w:rsidRPr="00B351D4" w:rsidRDefault="00A70754" w:rsidP="00160E61">
            <w:pPr>
              <w:pStyle w:val="Normal-TableText"/>
              <w:spacing w:after="140" w:line="200" w:lineRule="exact"/>
              <w:rPr>
                <w:sz w:val="16"/>
                <w:szCs w:val="16"/>
              </w:rPr>
            </w:pPr>
            <w:r w:rsidRPr="00B351D4">
              <w:rPr>
                <w:sz w:val="16"/>
                <w:szCs w:val="16"/>
              </w:rPr>
              <w:t>No distress</w:t>
            </w:r>
          </w:p>
        </w:tc>
        <w:tc>
          <w:tcPr>
            <w:tcW w:w="597" w:type="pct"/>
          </w:tcPr>
          <w:p w14:paraId="1741B209" w14:textId="77777777" w:rsidR="00A70754" w:rsidRPr="00B351D4" w:rsidRDefault="00A70754" w:rsidP="00160E61">
            <w:pPr>
              <w:pStyle w:val="Normal-TableText"/>
              <w:spacing w:after="140" w:line="200" w:lineRule="exact"/>
              <w:rPr>
                <w:sz w:val="16"/>
                <w:szCs w:val="16"/>
              </w:rPr>
            </w:pPr>
            <w:r w:rsidRPr="00B351D4">
              <w:rPr>
                <w:sz w:val="16"/>
                <w:szCs w:val="16"/>
              </w:rPr>
              <w:t>No distress</w:t>
            </w:r>
          </w:p>
        </w:tc>
        <w:tc>
          <w:tcPr>
            <w:tcW w:w="939" w:type="pct"/>
          </w:tcPr>
          <w:p w14:paraId="4E57B3AC" w14:textId="77777777" w:rsidR="00A70754" w:rsidRPr="00B351D4" w:rsidRDefault="00A70754" w:rsidP="00160E61">
            <w:pPr>
              <w:pStyle w:val="Normal-TableText"/>
              <w:spacing w:after="140" w:line="200" w:lineRule="exact"/>
              <w:rPr>
                <w:sz w:val="16"/>
                <w:szCs w:val="16"/>
              </w:rPr>
            </w:pPr>
            <w:r w:rsidRPr="00B351D4">
              <w:rPr>
                <w:sz w:val="16"/>
                <w:szCs w:val="16"/>
              </w:rPr>
              <w:t>Minor: short-term distress</w:t>
            </w:r>
          </w:p>
        </w:tc>
        <w:tc>
          <w:tcPr>
            <w:tcW w:w="768" w:type="pct"/>
          </w:tcPr>
          <w:p w14:paraId="1594B45D" w14:textId="77777777" w:rsidR="00A70754" w:rsidRPr="00B351D4" w:rsidRDefault="00A70754" w:rsidP="00160E61">
            <w:pPr>
              <w:pStyle w:val="Normal-TableText"/>
              <w:spacing w:after="140" w:line="200" w:lineRule="exact"/>
              <w:rPr>
                <w:sz w:val="16"/>
                <w:szCs w:val="16"/>
              </w:rPr>
            </w:pPr>
            <w:r w:rsidRPr="00B351D4">
              <w:rPr>
                <w:sz w:val="16"/>
                <w:szCs w:val="16"/>
              </w:rPr>
              <w:t>Limited long-term distress</w:t>
            </w:r>
          </w:p>
        </w:tc>
        <w:tc>
          <w:tcPr>
            <w:tcW w:w="884" w:type="pct"/>
          </w:tcPr>
          <w:p w14:paraId="04D81653" w14:textId="77777777" w:rsidR="00A70754" w:rsidRPr="00B351D4" w:rsidRDefault="00A70754" w:rsidP="00160E61">
            <w:pPr>
              <w:pStyle w:val="Normal-TableText"/>
              <w:spacing w:after="140" w:line="200" w:lineRule="exact"/>
              <w:rPr>
                <w:sz w:val="16"/>
                <w:szCs w:val="16"/>
              </w:rPr>
            </w:pPr>
            <w:r w:rsidRPr="00B351D4">
              <w:rPr>
                <w:sz w:val="16"/>
                <w:szCs w:val="16"/>
              </w:rPr>
              <w:t>Substantial long-term distress</w:t>
            </w:r>
          </w:p>
        </w:tc>
      </w:tr>
      <w:tr w:rsidR="00A70754" w:rsidRPr="00B351D4" w14:paraId="1EFCF863" w14:textId="77777777" w:rsidTr="00B351D4">
        <w:tc>
          <w:tcPr>
            <w:tcW w:w="1136" w:type="pct"/>
          </w:tcPr>
          <w:p w14:paraId="7014DB80" w14:textId="77777777" w:rsidR="00A70754" w:rsidRPr="00B351D4" w:rsidRDefault="00A70754" w:rsidP="00160E61">
            <w:pPr>
              <w:pStyle w:val="Normal-TableText"/>
              <w:spacing w:after="140" w:line="200" w:lineRule="exact"/>
              <w:rPr>
                <w:sz w:val="16"/>
                <w:szCs w:val="16"/>
              </w:rPr>
            </w:pPr>
            <w:r w:rsidRPr="00B351D4">
              <w:rPr>
                <w:sz w:val="16"/>
                <w:szCs w:val="16"/>
              </w:rPr>
              <w:t>Threat to government agencies’ systems or capacity to conduct their business</w:t>
            </w:r>
          </w:p>
        </w:tc>
        <w:tc>
          <w:tcPr>
            <w:tcW w:w="675" w:type="pct"/>
          </w:tcPr>
          <w:p w14:paraId="6B35B0D0" w14:textId="77777777" w:rsidR="00A70754" w:rsidRPr="00B351D4" w:rsidRDefault="00A70754" w:rsidP="00160E61">
            <w:pPr>
              <w:pStyle w:val="Normal-TableText"/>
              <w:spacing w:after="140" w:line="200" w:lineRule="exact"/>
              <w:rPr>
                <w:sz w:val="16"/>
                <w:szCs w:val="16"/>
              </w:rPr>
            </w:pPr>
            <w:r w:rsidRPr="00B351D4">
              <w:rPr>
                <w:sz w:val="16"/>
                <w:szCs w:val="16"/>
              </w:rPr>
              <w:t xml:space="preserve">No threat </w:t>
            </w:r>
          </w:p>
        </w:tc>
        <w:tc>
          <w:tcPr>
            <w:tcW w:w="597" w:type="pct"/>
          </w:tcPr>
          <w:p w14:paraId="05CD0A63" w14:textId="77777777" w:rsidR="00A70754" w:rsidRPr="00B351D4" w:rsidRDefault="00A70754" w:rsidP="00160E61">
            <w:pPr>
              <w:pStyle w:val="Normal-TableText"/>
              <w:spacing w:after="140" w:line="200" w:lineRule="exact"/>
              <w:rPr>
                <w:sz w:val="16"/>
                <w:szCs w:val="16"/>
              </w:rPr>
            </w:pPr>
            <w:r w:rsidRPr="00B351D4">
              <w:rPr>
                <w:sz w:val="16"/>
                <w:szCs w:val="16"/>
              </w:rPr>
              <w:t xml:space="preserve">No threat </w:t>
            </w:r>
          </w:p>
        </w:tc>
        <w:tc>
          <w:tcPr>
            <w:tcW w:w="939" w:type="pct"/>
          </w:tcPr>
          <w:p w14:paraId="26141DF5" w14:textId="77777777" w:rsidR="00A70754" w:rsidRPr="00B351D4" w:rsidRDefault="00A70754" w:rsidP="00160E61">
            <w:pPr>
              <w:pStyle w:val="Normal-TableText"/>
              <w:spacing w:after="140" w:line="200" w:lineRule="exact"/>
              <w:rPr>
                <w:sz w:val="16"/>
                <w:szCs w:val="16"/>
              </w:rPr>
            </w:pPr>
            <w:r w:rsidRPr="00B351D4">
              <w:rPr>
                <w:sz w:val="16"/>
                <w:szCs w:val="16"/>
              </w:rPr>
              <w:t xml:space="preserve">No threat </w:t>
            </w:r>
          </w:p>
        </w:tc>
        <w:tc>
          <w:tcPr>
            <w:tcW w:w="768" w:type="pct"/>
          </w:tcPr>
          <w:p w14:paraId="6CCDF700" w14:textId="77777777" w:rsidR="00A70754" w:rsidRPr="00B351D4" w:rsidRDefault="00A70754" w:rsidP="00160E61">
            <w:pPr>
              <w:pStyle w:val="Normal-TableText"/>
              <w:spacing w:after="140" w:line="200" w:lineRule="exact"/>
              <w:rPr>
                <w:sz w:val="16"/>
                <w:szCs w:val="16"/>
              </w:rPr>
            </w:pPr>
            <w:r w:rsidRPr="00B351D4">
              <w:rPr>
                <w:sz w:val="16"/>
                <w:szCs w:val="16"/>
              </w:rPr>
              <w:t>Agency business or service delivery impaired in any way</w:t>
            </w:r>
          </w:p>
        </w:tc>
        <w:tc>
          <w:tcPr>
            <w:tcW w:w="884" w:type="pct"/>
          </w:tcPr>
          <w:p w14:paraId="3489A147" w14:textId="77777777" w:rsidR="00A70754" w:rsidRPr="00B351D4" w:rsidRDefault="00A70754" w:rsidP="00160E61">
            <w:pPr>
              <w:pStyle w:val="Normal-TableText"/>
              <w:spacing w:after="140" w:line="200" w:lineRule="exact"/>
              <w:rPr>
                <w:sz w:val="16"/>
                <w:szCs w:val="16"/>
              </w:rPr>
            </w:pPr>
            <w:r w:rsidRPr="00B351D4">
              <w:rPr>
                <w:sz w:val="16"/>
                <w:szCs w:val="16"/>
              </w:rPr>
              <w:t>Agency business halted or significantly impaired for a sustained period</w:t>
            </w:r>
            <w:r w:rsidRPr="00B351D4">
              <w:rPr>
                <w:rStyle w:val="FootnoteReference"/>
                <w:sz w:val="16"/>
                <w:szCs w:val="16"/>
              </w:rPr>
              <w:footnoteReference w:id="7"/>
            </w:r>
            <w:r w:rsidRPr="00B351D4">
              <w:rPr>
                <w:sz w:val="16"/>
                <w:szCs w:val="16"/>
              </w:rPr>
              <w:t xml:space="preserve"> </w:t>
            </w:r>
          </w:p>
        </w:tc>
      </w:tr>
      <w:tr w:rsidR="00A70754" w:rsidRPr="00B351D4" w14:paraId="6D327700" w14:textId="77777777" w:rsidTr="00B351D4">
        <w:tc>
          <w:tcPr>
            <w:tcW w:w="1136" w:type="pct"/>
          </w:tcPr>
          <w:p w14:paraId="69D1AE67" w14:textId="77777777" w:rsidR="00A70754" w:rsidRPr="00B351D4" w:rsidRDefault="00A70754" w:rsidP="00160E61">
            <w:pPr>
              <w:pStyle w:val="Normal-TableText"/>
              <w:spacing w:after="140" w:line="200" w:lineRule="exact"/>
              <w:rPr>
                <w:sz w:val="16"/>
                <w:szCs w:val="16"/>
              </w:rPr>
            </w:pPr>
            <w:r w:rsidRPr="00B351D4">
              <w:rPr>
                <w:sz w:val="16"/>
                <w:szCs w:val="16"/>
              </w:rPr>
              <w:t>Assistance to serious crime or hindrance of its detection</w:t>
            </w:r>
          </w:p>
        </w:tc>
        <w:tc>
          <w:tcPr>
            <w:tcW w:w="675" w:type="pct"/>
          </w:tcPr>
          <w:p w14:paraId="2C1C875A" w14:textId="77777777" w:rsidR="00A70754" w:rsidRPr="00B351D4" w:rsidRDefault="00A70754" w:rsidP="00160E61">
            <w:pPr>
              <w:pStyle w:val="Normal-TableText"/>
              <w:spacing w:after="140" w:line="200" w:lineRule="exact"/>
              <w:rPr>
                <w:sz w:val="16"/>
                <w:szCs w:val="16"/>
              </w:rPr>
            </w:pPr>
            <w:r w:rsidRPr="00B351D4">
              <w:rPr>
                <w:sz w:val="16"/>
                <w:szCs w:val="16"/>
              </w:rPr>
              <w:t>Would not assist in or hinder detection of unlawful activity</w:t>
            </w:r>
          </w:p>
        </w:tc>
        <w:tc>
          <w:tcPr>
            <w:tcW w:w="597" w:type="pct"/>
          </w:tcPr>
          <w:p w14:paraId="5D814AAE" w14:textId="77777777" w:rsidR="00A70754" w:rsidRPr="00B351D4" w:rsidRDefault="00A70754" w:rsidP="00160E61">
            <w:pPr>
              <w:pStyle w:val="Normal-TableText"/>
              <w:spacing w:after="140" w:line="200" w:lineRule="exact"/>
              <w:rPr>
                <w:sz w:val="16"/>
                <w:szCs w:val="16"/>
              </w:rPr>
            </w:pPr>
            <w:r w:rsidRPr="00B351D4">
              <w:rPr>
                <w:sz w:val="16"/>
                <w:szCs w:val="16"/>
              </w:rPr>
              <w:t>Would not assist in or hinder detection of unlawful activity</w:t>
            </w:r>
          </w:p>
        </w:tc>
        <w:tc>
          <w:tcPr>
            <w:tcW w:w="939" w:type="pct"/>
          </w:tcPr>
          <w:p w14:paraId="441ADDE3" w14:textId="77777777" w:rsidR="00A70754" w:rsidRPr="00B351D4" w:rsidRDefault="00A70754" w:rsidP="00160E61">
            <w:pPr>
              <w:pStyle w:val="Normal-TableText"/>
              <w:spacing w:after="140" w:line="200" w:lineRule="exact"/>
              <w:rPr>
                <w:sz w:val="16"/>
                <w:szCs w:val="16"/>
              </w:rPr>
            </w:pPr>
            <w:r w:rsidRPr="00B351D4">
              <w:rPr>
                <w:sz w:val="16"/>
                <w:szCs w:val="16"/>
              </w:rPr>
              <w:t>Prejudice investigation or facilitate commission of violations that will be subject to enforcement efforts</w:t>
            </w:r>
          </w:p>
        </w:tc>
        <w:tc>
          <w:tcPr>
            <w:tcW w:w="768" w:type="pct"/>
          </w:tcPr>
          <w:p w14:paraId="55BF1DC9" w14:textId="77777777" w:rsidR="00A70754" w:rsidRPr="00B351D4" w:rsidRDefault="00A70754" w:rsidP="00160E61">
            <w:pPr>
              <w:pStyle w:val="Normal-TableText"/>
              <w:spacing w:after="140" w:line="200" w:lineRule="exact"/>
              <w:rPr>
                <w:sz w:val="16"/>
                <w:szCs w:val="16"/>
              </w:rPr>
            </w:pPr>
            <w:r w:rsidRPr="00B351D4">
              <w:rPr>
                <w:sz w:val="16"/>
                <w:szCs w:val="16"/>
              </w:rPr>
              <w:t>Impede investigation or facilitate commission of serious crime</w:t>
            </w:r>
          </w:p>
        </w:tc>
        <w:tc>
          <w:tcPr>
            <w:tcW w:w="884" w:type="pct"/>
          </w:tcPr>
          <w:p w14:paraId="1FE69D6F" w14:textId="77777777" w:rsidR="00A70754" w:rsidRPr="00B351D4" w:rsidRDefault="00A70754" w:rsidP="00160E61">
            <w:pPr>
              <w:pStyle w:val="Normal-TableText"/>
              <w:spacing w:after="140" w:line="200" w:lineRule="exact"/>
              <w:rPr>
                <w:sz w:val="16"/>
                <w:szCs w:val="16"/>
              </w:rPr>
            </w:pPr>
            <w:r w:rsidRPr="00B351D4">
              <w:rPr>
                <w:sz w:val="16"/>
                <w:szCs w:val="16"/>
              </w:rPr>
              <w:t>Prevent investigation or directly allow commission of serious crime</w:t>
            </w:r>
          </w:p>
        </w:tc>
      </w:tr>
    </w:tbl>
    <w:p w14:paraId="440C265F" w14:textId="77777777" w:rsidR="00A70754" w:rsidRPr="00082988" w:rsidRDefault="00A70754" w:rsidP="00B351D4">
      <w:r w:rsidRPr="00082988">
        <w:t>Source:</w:t>
      </w:r>
      <w:r w:rsidRPr="00082988">
        <w:tab/>
        <w:t>AS/NZ 4360 – Risk Management</w:t>
      </w:r>
      <w:r>
        <w:t> 200</w:t>
      </w:r>
      <w:r w:rsidRPr="00082988">
        <w:t>4</w:t>
      </w:r>
    </w:p>
    <w:p w14:paraId="2128EF98" w14:textId="77777777" w:rsidR="00A70754" w:rsidRDefault="00A70754" w:rsidP="00B351D4">
      <w:r w:rsidRPr="003C27A4">
        <w:lastRenderedPageBreak/>
        <w:t xml:space="preserve">While the above process determines the consequences of getting </w:t>
      </w:r>
      <w:r w:rsidR="00BE178F">
        <w:t>e</w:t>
      </w:r>
      <w:r w:rsidR="00BE178F">
        <w:noBreakHyphen/>
      </w:r>
      <w:r>
        <w:t>A</w:t>
      </w:r>
      <w:r w:rsidRPr="003C27A4">
        <w:t>uthentication wrong, it is also necessary to map the likelihood of this occurring in order to finally determine the assurance level to be applied.</w:t>
      </w:r>
      <w:r>
        <w:t xml:space="preserve"> </w:t>
      </w:r>
      <w:r w:rsidRPr="003C27A4">
        <w:t xml:space="preserve">An indicative mapping of consequences versus likelihood is illustrated in </w:t>
      </w:r>
      <w:r w:rsidR="00C3702B">
        <w:fldChar w:fldCharType="begin" w:fldLock="1"/>
      </w:r>
      <w:r w:rsidR="00C3702B">
        <w:instrText xml:space="preserve"> REF _Ref430782332 \h </w:instrText>
      </w:r>
      <w:r w:rsidR="00C3702B">
        <w:fldChar w:fldCharType="separate"/>
      </w:r>
      <w:r w:rsidR="00933C42">
        <w:t xml:space="preserve">Table </w:t>
      </w:r>
      <w:r w:rsidR="00933C42">
        <w:rPr>
          <w:noProof/>
        </w:rPr>
        <w:t>4</w:t>
      </w:r>
      <w:r w:rsidR="00C3702B">
        <w:fldChar w:fldCharType="end"/>
      </w:r>
      <w:r w:rsidR="00C3702B">
        <w:t xml:space="preserve"> </w:t>
      </w:r>
      <w:r w:rsidRPr="003C27A4">
        <w:t>below.</w:t>
      </w:r>
    </w:p>
    <w:p w14:paraId="3A7C4EF8" w14:textId="77777777" w:rsidR="00B351D4" w:rsidRDefault="00B351D4" w:rsidP="00B351D4">
      <w:pPr>
        <w:pStyle w:val="Caption"/>
      </w:pPr>
      <w:bookmarkStart w:id="152" w:name="_Ref430782332"/>
      <w:bookmarkStart w:id="153" w:name="_Toc430770949"/>
      <w:r>
        <w:t xml:space="preserve">Table </w:t>
      </w:r>
      <w:fldSimple w:instr=" SEQ Table \* ARABIC " w:fldLock="1">
        <w:r w:rsidR="00933C42">
          <w:rPr>
            <w:noProof/>
          </w:rPr>
          <w:t>4</w:t>
        </w:r>
      </w:fldSimple>
      <w:bookmarkEnd w:id="152"/>
      <w:r>
        <w:t xml:space="preserve"> </w:t>
      </w:r>
      <w:r w:rsidRPr="00B351D4">
        <w:t>Indicative assurance level requirements based upon likelihood and consequences</w:t>
      </w:r>
      <w:bookmarkEnd w:id="153"/>
    </w:p>
    <w:tbl>
      <w:tblPr>
        <w:tblStyle w:val="DTOTable1"/>
        <w:tblW w:w="8529"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548"/>
        <w:gridCol w:w="1620"/>
        <w:gridCol w:w="1187"/>
        <w:gridCol w:w="1273"/>
        <w:gridCol w:w="1257"/>
        <w:gridCol w:w="1644"/>
      </w:tblGrid>
      <w:tr w:rsidR="00A70754" w:rsidRPr="00B41473" w14:paraId="31152386" w14:textId="77777777" w:rsidTr="00B41473">
        <w:trPr>
          <w:cnfStyle w:val="100000000000" w:firstRow="1" w:lastRow="0" w:firstColumn="0" w:lastColumn="0" w:oddVBand="0" w:evenVBand="0" w:oddHBand="0" w:evenHBand="0" w:firstRowFirstColumn="0" w:firstRowLastColumn="0" w:lastRowFirstColumn="0" w:lastRowLastColumn="0"/>
          <w:tblHeader/>
        </w:trPr>
        <w:tc>
          <w:tcPr>
            <w:tcW w:w="1548" w:type="dxa"/>
          </w:tcPr>
          <w:p w14:paraId="4DEE5523" w14:textId="77777777" w:rsidR="00A70754" w:rsidRPr="00B41473" w:rsidRDefault="00A70754" w:rsidP="00B41473">
            <w:pPr>
              <w:pStyle w:val="Normal-TableText"/>
            </w:pPr>
          </w:p>
        </w:tc>
        <w:tc>
          <w:tcPr>
            <w:tcW w:w="6981" w:type="dxa"/>
            <w:gridSpan w:val="5"/>
          </w:tcPr>
          <w:p w14:paraId="4B44FFC6" w14:textId="77777777" w:rsidR="00A70754" w:rsidRPr="00B41473" w:rsidRDefault="00A70754" w:rsidP="00B41473">
            <w:pPr>
              <w:pStyle w:val="Normal-TableText"/>
              <w:jc w:val="center"/>
            </w:pPr>
            <w:r w:rsidRPr="00B41473">
              <w:t>Consequences</w:t>
            </w:r>
          </w:p>
        </w:tc>
      </w:tr>
      <w:tr w:rsidR="00A70754" w:rsidRPr="00B41473" w14:paraId="517807F3" w14:textId="77777777" w:rsidTr="00B41473">
        <w:tc>
          <w:tcPr>
            <w:tcW w:w="1548" w:type="dxa"/>
          </w:tcPr>
          <w:p w14:paraId="1300A84B" w14:textId="77777777" w:rsidR="00A70754" w:rsidRPr="00B41473" w:rsidRDefault="00A70754" w:rsidP="00B41473">
            <w:pPr>
              <w:pStyle w:val="Normal-TableText"/>
            </w:pPr>
            <w:r w:rsidRPr="00B41473">
              <w:t>Likelihood</w:t>
            </w:r>
          </w:p>
        </w:tc>
        <w:tc>
          <w:tcPr>
            <w:tcW w:w="1620" w:type="dxa"/>
          </w:tcPr>
          <w:p w14:paraId="1B450C35" w14:textId="77777777" w:rsidR="00A70754" w:rsidRPr="00B41473" w:rsidRDefault="00A70754" w:rsidP="00B41473">
            <w:pPr>
              <w:pStyle w:val="Normal-TableText"/>
            </w:pPr>
            <w:r w:rsidRPr="00B41473">
              <w:t>Insignificant</w:t>
            </w:r>
          </w:p>
        </w:tc>
        <w:tc>
          <w:tcPr>
            <w:tcW w:w="1187" w:type="dxa"/>
          </w:tcPr>
          <w:p w14:paraId="42F20141" w14:textId="77777777" w:rsidR="00A70754" w:rsidRPr="00B41473" w:rsidRDefault="00A70754" w:rsidP="00B41473">
            <w:pPr>
              <w:pStyle w:val="Normal-TableText"/>
            </w:pPr>
            <w:r w:rsidRPr="00B41473">
              <w:t>Minor</w:t>
            </w:r>
          </w:p>
        </w:tc>
        <w:tc>
          <w:tcPr>
            <w:tcW w:w="1273" w:type="dxa"/>
          </w:tcPr>
          <w:p w14:paraId="5926F6B3" w14:textId="77777777" w:rsidR="00A70754" w:rsidRPr="00B41473" w:rsidRDefault="00A70754" w:rsidP="00B41473">
            <w:pPr>
              <w:pStyle w:val="Normal-TableText"/>
            </w:pPr>
            <w:r w:rsidRPr="00B41473">
              <w:t>Moderate</w:t>
            </w:r>
          </w:p>
        </w:tc>
        <w:tc>
          <w:tcPr>
            <w:tcW w:w="1257" w:type="dxa"/>
          </w:tcPr>
          <w:p w14:paraId="46D313EF" w14:textId="77777777" w:rsidR="00A70754" w:rsidRPr="00B41473" w:rsidRDefault="00A70754" w:rsidP="00B41473">
            <w:pPr>
              <w:pStyle w:val="Normal-TableText"/>
            </w:pPr>
            <w:r w:rsidRPr="00B41473">
              <w:t>Major</w:t>
            </w:r>
          </w:p>
        </w:tc>
        <w:tc>
          <w:tcPr>
            <w:tcW w:w="1644" w:type="dxa"/>
          </w:tcPr>
          <w:p w14:paraId="2AB088AC" w14:textId="77777777" w:rsidR="00A70754" w:rsidRPr="00B41473" w:rsidRDefault="00A70754" w:rsidP="00B41473">
            <w:pPr>
              <w:pStyle w:val="Normal-TableText"/>
            </w:pPr>
            <w:r w:rsidRPr="00B41473">
              <w:t>Severe</w:t>
            </w:r>
          </w:p>
        </w:tc>
      </w:tr>
      <w:tr w:rsidR="00A70754" w:rsidRPr="00B41473" w14:paraId="108C189A" w14:textId="77777777" w:rsidTr="00B41473">
        <w:tc>
          <w:tcPr>
            <w:tcW w:w="1548" w:type="dxa"/>
          </w:tcPr>
          <w:p w14:paraId="04D5CA7A" w14:textId="77777777" w:rsidR="00A70754" w:rsidRPr="00B41473" w:rsidRDefault="00A70754" w:rsidP="00B41473">
            <w:pPr>
              <w:pStyle w:val="Normal-TableText"/>
            </w:pPr>
            <w:r w:rsidRPr="00B41473">
              <w:t>Almost certain</w:t>
            </w:r>
          </w:p>
        </w:tc>
        <w:tc>
          <w:tcPr>
            <w:tcW w:w="1620" w:type="dxa"/>
          </w:tcPr>
          <w:p w14:paraId="18C54B97" w14:textId="77777777" w:rsidR="00A70754" w:rsidRPr="00B41473" w:rsidRDefault="00A70754" w:rsidP="00B41473">
            <w:pPr>
              <w:pStyle w:val="Normal-TableText"/>
            </w:pPr>
            <w:r w:rsidRPr="00B41473">
              <w:t>Nil</w:t>
            </w:r>
          </w:p>
        </w:tc>
        <w:tc>
          <w:tcPr>
            <w:tcW w:w="1187" w:type="dxa"/>
          </w:tcPr>
          <w:p w14:paraId="63F1AC35" w14:textId="77777777" w:rsidR="00A70754" w:rsidRPr="00B41473" w:rsidRDefault="00A70754" w:rsidP="00B41473">
            <w:pPr>
              <w:pStyle w:val="Normal-TableText"/>
            </w:pPr>
            <w:r w:rsidRPr="00B41473">
              <w:t>Low</w:t>
            </w:r>
          </w:p>
        </w:tc>
        <w:tc>
          <w:tcPr>
            <w:tcW w:w="1273" w:type="dxa"/>
          </w:tcPr>
          <w:p w14:paraId="49684A9D" w14:textId="77777777" w:rsidR="00A70754" w:rsidRPr="00B41473" w:rsidRDefault="00A70754" w:rsidP="00B41473">
            <w:pPr>
              <w:pStyle w:val="Normal-TableText"/>
            </w:pPr>
            <w:r w:rsidRPr="00B41473">
              <w:t>Moderate</w:t>
            </w:r>
          </w:p>
        </w:tc>
        <w:tc>
          <w:tcPr>
            <w:tcW w:w="1257" w:type="dxa"/>
          </w:tcPr>
          <w:p w14:paraId="41034F50" w14:textId="77777777" w:rsidR="00A70754" w:rsidRPr="00B41473" w:rsidRDefault="00A70754" w:rsidP="00B41473">
            <w:pPr>
              <w:pStyle w:val="Normal-TableText"/>
            </w:pPr>
            <w:r w:rsidRPr="00B41473">
              <w:t>High</w:t>
            </w:r>
          </w:p>
        </w:tc>
        <w:tc>
          <w:tcPr>
            <w:tcW w:w="1644" w:type="dxa"/>
          </w:tcPr>
          <w:p w14:paraId="37068794" w14:textId="77777777" w:rsidR="00A70754" w:rsidRPr="00B41473" w:rsidRDefault="00A70754" w:rsidP="00B41473">
            <w:pPr>
              <w:pStyle w:val="Normal-TableText"/>
            </w:pPr>
            <w:r w:rsidRPr="00B41473">
              <w:t>High</w:t>
            </w:r>
          </w:p>
        </w:tc>
      </w:tr>
      <w:tr w:rsidR="00A70754" w:rsidRPr="00B41473" w14:paraId="049192F9" w14:textId="77777777" w:rsidTr="00B41473">
        <w:tc>
          <w:tcPr>
            <w:tcW w:w="1548" w:type="dxa"/>
          </w:tcPr>
          <w:p w14:paraId="69988BA2" w14:textId="77777777" w:rsidR="00A70754" w:rsidRPr="00B41473" w:rsidRDefault="00A70754" w:rsidP="00B41473">
            <w:pPr>
              <w:pStyle w:val="Normal-TableText"/>
            </w:pPr>
            <w:r w:rsidRPr="00B41473">
              <w:t>Likely</w:t>
            </w:r>
          </w:p>
        </w:tc>
        <w:tc>
          <w:tcPr>
            <w:tcW w:w="1620" w:type="dxa"/>
          </w:tcPr>
          <w:p w14:paraId="1C31AED4" w14:textId="77777777" w:rsidR="00A70754" w:rsidRPr="00B41473" w:rsidRDefault="00A70754" w:rsidP="00B41473">
            <w:pPr>
              <w:pStyle w:val="Normal-TableText"/>
            </w:pPr>
            <w:r w:rsidRPr="00B41473">
              <w:t>Nil</w:t>
            </w:r>
          </w:p>
        </w:tc>
        <w:tc>
          <w:tcPr>
            <w:tcW w:w="1187" w:type="dxa"/>
          </w:tcPr>
          <w:p w14:paraId="390CC0D9" w14:textId="77777777" w:rsidR="00A70754" w:rsidRPr="00B41473" w:rsidRDefault="00A70754" w:rsidP="00B41473">
            <w:pPr>
              <w:pStyle w:val="Normal-TableText"/>
            </w:pPr>
            <w:r w:rsidRPr="00B41473">
              <w:t>Low</w:t>
            </w:r>
          </w:p>
        </w:tc>
        <w:tc>
          <w:tcPr>
            <w:tcW w:w="1273" w:type="dxa"/>
          </w:tcPr>
          <w:p w14:paraId="394F29C3" w14:textId="77777777" w:rsidR="00A70754" w:rsidRPr="00B41473" w:rsidRDefault="00A70754" w:rsidP="00B41473">
            <w:pPr>
              <w:pStyle w:val="Normal-TableText"/>
            </w:pPr>
            <w:r w:rsidRPr="00B41473">
              <w:t>Moderate</w:t>
            </w:r>
          </w:p>
        </w:tc>
        <w:tc>
          <w:tcPr>
            <w:tcW w:w="1257" w:type="dxa"/>
          </w:tcPr>
          <w:p w14:paraId="2D01EB04" w14:textId="77777777" w:rsidR="00A70754" w:rsidRPr="00B41473" w:rsidRDefault="00A70754" w:rsidP="00B41473">
            <w:pPr>
              <w:pStyle w:val="Normal-TableText"/>
            </w:pPr>
            <w:r w:rsidRPr="00B41473">
              <w:t>High</w:t>
            </w:r>
          </w:p>
        </w:tc>
        <w:tc>
          <w:tcPr>
            <w:tcW w:w="1644" w:type="dxa"/>
          </w:tcPr>
          <w:p w14:paraId="3DA1D5BD" w14:textId="77777777" w:rsidR="00A70754" w:rsidRPr="00B41473" w:rsidRDefault="00A70754" w:rsidP="00B41473">
            <w:pPr>
              <w:pStyle w:val="Normal-TableText"/>
            </w:pPr>
            <w:r w:rsidRPr="00B41473">
              <w:t>High</w:t>
            </w:r>
          </w:p>
        </w:tc>
      </w:tr>
      <w:tr w:rsidR="00A70754" w:rsidRPr="00B41473" w14:paraId="4C03984B" w14:textId="77777777" w:rsidTr="00B41473">
        <w:tc>
          <w:tcPr>
            <w:tcW w:w="1548" w:type="dxa"/>
          </w:tcPr>
          <w:p w14:paraId="5FC00FBB" w14:textId="77777777" w:rsidR="00A70754" w:rsidRPr="00B41473" w:rsidRDefault="00A70754" w:rsidP="00B41473">
            <w:pPr>
              <w:pStyle w:val="Normal-TableText"/>
            </w:pPr>
            <w:r w:rsidRPr="00B41473">
              <w:t>Possible</w:t>
            </w:r>
          </w:p>
        </w:tc>
        <w:tc>
          <w:tcPr>
            <w:tcW w:w="1620" w:type="dxa"/>
          </w:tcPr>
          <w:p w14:paraId="66285864" w14:textId="77777777" w:rsidR="00A70754" w:rsidRPr="00B41473" w:rsidRDefault="00A70754" w:rsidP="00B41473">
            <w:pPr>
              <w:pStyle w:val="Normal-TableText"/>
            </w:pPr>
            <w:r w:rsidRPr="00B41473">
              <w:t>Nil</w:t>
            </w:r>
          </w:p>
        </w:tc>
        <w:tc>
          <w:tcPr>
            <w:tcW w:w="1187" w:type="dxa"/>
          </w:tcPr>
          <w:p w14:paraId="34D3DDE7" w14:textId="77777777" w:rsidR="00A70754" w:rsidRPr="00B41473" w:rsidRDefault="00A70754" w:rsidP="00B41473">
            <w:pPr>
              <w:pStyle w:val="Normal-TableText"/>
            </w:pPr>
            <w:r w:rsidRPr="00B41473">
              <w:t>Minimal</w:t>
            </w:r>
          </w:p>
        </w:tc>
        <w:tc>
          <w:tcPr>
            <w:tcW w:w="1273" w:type="dxa"/>
          </w:tcPr>
          <w:p w14:paraId="3EF4BE23" w14:textId="77777777" w:rsidR="00A70754" w:rsidRPr="00B41473" w:rsidRDefault="00A70754" w:rsidP="00B41473">
            <w:pPr>
              <w:pStyle w:val="Normal-TableText"/>
            </w:pPr>
            <w:r w:rsidRPr="00B41473">
              <w:t>Low</w:t>
            </w:r>
          </w:p>
        </w:tc>
        <w:tc>
          <w:tcPr>
            <w:tcW w:w="1257" w:type="dxa"/>
          </w:tcPr>
          <w:p w14:paraId="4E2F08AD" w14:textId="77777777" w:rsidR="00A70754" w:rsidRPr="00B41473" w:rsidRDefault="00A70754" w:rsidP="00B41473">
            <w:pPr>
              <w:pStyle w:val="Normal-TableText"/>
            </w:pPr>
            <w:r w:rsidRPr="00B41473">
              <w:t>Moderate</w:t>
            </w:r>
          </w:p>
        </w:tc>
        <w:tc>
          <w:tcPr>
            <w:tcW w:w="1644" w:type="dxa"/>
          </w:tcPr>
          <w:p w14:paraId="7D6CA504" w14:textId="77777777" w:rsidR="00A70754" w:rsidRPr="00B41473" w:rsidRDefault="00A70754" w:rsidP="00B41473">
            <w:pPr>
              <w:pStyle w:val="Normal-TableText"/>
            </w:pPr>
            <w:r w:rsidRPr="00B41473">
              <w:t>High</w:t>
            </w:r>
          </w:p>
        </w:tc>
      </w:tr>
      <w:tr w:rsidR="00A70754" w:rsidRPr="00B41473" w14:paraId="423E1559" w14:textId="77777777" w:rsidTr="00B41473">
        <w:tc>
          <w:tcPr>
            <w:tcW w:w="1548" w:type="dxa"/>
          </w:tcPr>
          <w:p w14:paraId="40F6493E" w14:textId="77777777" w:rsidR="00A70754" w:rsidRPr="00B41473" w:rsidRDefault="00A70754" w:rsidP="00B41473">
            <w:pPr>
              <w:pStyle w:val="Normal-TableText"/>
            </w:pPr>
            <w:r w:rsidRPr="00B41473">
              <w:t>Unlikely</w:t>
            </w:r>
          </w:p>
        </w:tc>
        <w:tc>
          <w:tcPr>
            <w:tcW w:w="1620" w:type="dxa"/>
          </w:tcPr>
          <w:p w14:paraId="43649AC0" w14:textId="77777777" w:rsidR="00A70754" w:rsidRPr="00B41473" w:rsidRDefault="00A70754" w:rsidP="00B41473">
            <w:pPr>
              <w:pStyle w:val="Normal-TableText"/>
            </w:pPr>
            <w:r w:rsidRPr="00B41473">
              <w:t>Nil</w:t>
            </w:r>
          </w:p>
        </w:tc>
        <w:tc>
          <w:tcPr>
            <w:tcW w:w="1187" w:type="dxa"/>
          </w:tcPr>
          <w:p w14:paraId="05919FAE" w14:textId="77777777" w:rsidR="00A70754" w:rsidRPr="00B41473" w:rsidRDefault="00A70754" w:rsidP="00B41473">
            <w:pPr>
              <w:pStyle w:val="Normal-TableText"/>
            </w:pPr>
            <w:r w:rsidRPr="00B41473">
              <w:t>Minimal</w:t>
            </w:r>
          </w:p>
        </w:tc>
        <w:tc>
          <w:tcPr>
            <w:tcW w:w="1273" w:type="dxa"/>
          </w:tcPr>
          <w:p w14:paraId="3EA78737" w14:textId="77777777" w:rsidR="00A70754" w:rsidRPr="00B41473" w:rsidRDefault="00A70754" w:rsidP="00B41473">
            <w:pPr>
              <w:pStyle w:val="Normal-TableText"/>
            </w:pPr>
            <w:r w:rsidRPr="00B41473">
              <w:t>Low</w:t>
            </w:r>
          </w:p>
        </w:tc>
        <w:tc>
          <w:tcPr>
            <w:tcW w:w="1257" w:type="dxa"/>
          </w:tcPr>
          <w:p w14:paraId="3BFB1AE1" w14:textId="77777777" w:rsidR="00A70754" w:rsidRPr="00B41473" w:rsidRDefault="00A70754" w:rsidP="00B41473">
            <w:pPr>
              <w:pStyle w:val="Normal-TableText"/>
            </w:pPr>
            <w:r w:rsidRPr="00B41473">
              <w:t>Moderate</w:t>
            </w:r>
          </w:p>
        </w:tc>
        <w:tc>
          <w:tcPr>
            <w:tcW w:w="1644" w:type="dxa"/>
          </w:tcPr>
          <w:p w14:paraId="2B42F1AC" w14:textId="77777777" w:rsidR="00A70754" w:rsidRPr="00B41473" w:rsidRDefault="00A70754" w:rsidP="00B41473">
            <w:pPr>
              <w:pStyle w:val="Normal-TableText"/>
            </w:pPr>
            <w:r w:rsidRPr="00B41473">
              <w:t>Moderate</w:t>
            </w:r>
          </w:p>
        </w:tc>
      </w:tr>
      <w:tr w:rsidR="00A70754" w:rsidRPr="00B41473" w14:paraId="19EE5AD3" w14:textId="77777777" w:rsidTr="00B41473">
        <w:tc>
          <w:tcPr>
            <w:tcW w:w="1548" w:type="dxa"/>
          </w:tcPr>
          <w:p w14:paraId="62C5C435" w14:textId="77777777" w:rsidR="00A70754" w:rsidRPr="00B41473" w:rsidRDefault="00A70754" w:rsidP="00B41473">
            <w:pPr>
              <w:pStyle w:val="Normal-TableText"/>
            </w:pPr>
            <w:r w:rsidRPr="00B41473">
              <w:t>Rare</w:t>
            </w:r>
          </w:p>
        </w:tc>
        <w:tc>
          <w:tcPr>
            <w:tcW w:w="1620" w:type="dxa"/>
          </w:tcPr>
          <w:p w14:paraId="58050D07" w14:textId="77777777" w:rsidR="00A70754" w:rsidRPr="00B41473" w:rsidRDefault="00A70754" w:rsidP="00B41473">
            <w:pPr>
              <w:pStyle w:val="Normal-TableText"/>
            </w:pPr>
            <w:r w:rsidRPr="00B41473">
              <w:t>Nil</w:t>
            </w:r>
          </w:p>
        </w:tc>
        <w:tc>
          <w:tcPr>
            <w:tcW w:w="1187" w:type="dxa"/>
          </w:tcPr>
          <w:p w14:paraId="54D1B556" w14:textId="77777777" w:rsidR="00A70754" w:rsidRPr="00B41473" w:rsidRDefault="00A70754" w:rsidP="00B41473">
            <w:pPr>
              <w:pStyle w:val="Normal-TableText"/>
            </w:pPr>
            <w:r w:rsidRPr="00B41473">
              <w:t>Minimal</w:t>
            </w:r>
          </w:p>
        </w:tc>
        <w:tc>
          <w:tcPr>
            <w:tcW w:w="1273" w:type="dxa"/>
          </w:tcPr>
          <w:p w14:paraId="0C267E62" w14:textId="77777777" w:rsidR="00A70754" w:rsidRPr="00B41473" w:rsidRDefault="00A70754" w:rsidP="00B41473">
            <w:pPr>
              <w:pStyle w:val="Normal-TableText"/>
            </w:pPr>
            <w:r w:rsidRPr="00B41473">
              <w:t>Low</w:t>
            </w:r>
          </w:p>
        </w:tc>
        <w:tc>
          <w:tcPr>
            <w:tcW w:w="1257" w:type="dxa"/>
          </w:tcPr>
          <w:p w14:paraId="3BCB3CC9" w14:textId="77777777" w:rsidR="00A70754" w:rsidRPr="00B41473" w:rsidRDefault="00A70754" w:rsidP="00B41473">
            <w:pPr>
              <w:pStyle w:val="Normal-TableText"/>
            </w:pPr>
            <w:r w:rsidRPr="00B41473">
              <w:t>Moderate</w:t>
            </w:r>
          </w:p>
        </w:tc>
        <w:tc>
          <w:tcPr>
            <w:tcW w:w="1644" w:type="dxa"/>
          </w:tcPr>
          <w:p w14:paraId="7EE7B3EC" w14:textId="77777777" w:rsidR="00A70754" w:rsidRPr="00B41473" w:rsidRDefault="00A70754" w:rsidP="00B41473">
            <w:pPr>
              <w:pStyle w:val="Normal-TableText"/>
            </w:pPr>
            <w:r w:rsidRPr="00B41473">
              <w:t>Moderate</w:t>
            </w:r>
          </w:p>
        </w:tc>
      </w:tr>
    </w:tbl>
    <w:p w14:paraId="0A752613" w14:textId="77777777" w:rsidR="00A70754" w:rsidRDefault="00A70754" w:rsidP="00B41473">
      <w:r w:rsidRPr="003C27A4">
        <w:t>The information security classification level associated with the information that will be “exchanged” during the transaction (agencies are referred to the PSM and ISM for authoritative policies in this regard) will be a consideration in assessing the consequences of a particular threat being realised.</w:t>
      </w:r>
    </w:p>
    <w:p w14:paraId="4B4268EA" w14:textId="60961539" w:rsidR="00A70754" w:rsidRPr="00B41473" w:rsidRDefault="00A70754" w:rsidP="00B41473">
      <w:r w:rsidRPr="00B41473">
        <w:t xml:space="preserve">Information classified at “X-in-Confidence” and above can only be transmitted across an unclassified network such as the internet under certain circumstances. Further guidance on this matter can be found in the ISM available at </w:t>
      </w:r>
      <w:r w:rsidR="003D72AF" w:rsidRPr="003D72AF">
        <w:t>http://www.asd.gov.au/infosec/ism/index.htm</w:t>
      </w:r>
    </w:p>
    <w:p w14:paraId="4DBFB3D2" w14:textId="77777777" w:rsidR="00A70754" w:rsidRDefault="00A70754" w:rsidP="00B41473">
      <w:r w:rsidRPr="003C27A4">
        <w:t xml:space="preserve">While the adoption of higher-assurance </w:t>
      </w:r>
      <w:r w:rsidR="00BE178F">
        <w:t>e</w:t>
      </w:r>
      <w:r w:rsidR="00BE178F">
        <w:noBreakHyphen/>
      </w:r>
      <w:r>
        <w:t>A</w:t>
      </w:r>
      <w:r w:rsidRPr="003C27A4">
        <w:t>uthentication solutions may represent one solution to mitigate threats in relation to classified information the application of alternative risk mitigation approaches will need to be considered.</w:t>
      </w:r>
    </w:p>
    <w:p w14:paraId="4E625ED2" w14:textId="77777777" w:rsidR="00A70754" w:rsidRPr="003C27A4" w:rsidRDefault="00A70754" w:rsidP="00B41473">
      <w:r w:rsidRPr="003C27A4">
        <w:t>These could take the form of increased levels of application-based access control, or the limitation of the nature of sensitive information revealed or exchanged, or the exclusion of categories of “at risk” users from the proposed online community.</w:t>
      </w:r>
    </w:p>
    <w:p w14:paraId="2EDC8ED5" w14:textId="77777777" w:rsidR="00A70754" w:rsidRPr="003C27A4" w:rsidRDefault="00A70754" w:rsidP="00B41473">
      <w:r w:rsidRPr="003C27A4">
        <w:t>At the completion of this step agencies should revisit the risk management plan for possible decision points.</w:t>
      </w:r>
      <w:r>
        <w:t xml:space="preserve"> </w:t>
      </w:r>
      <w:r w:rsidRPr="003C27A4">
        <w:t>Questions to ask include:</w:t>
      </w:r>
    </w:p>
    <w:p w14:paraId="5E605479" w14:textId="77777777" w:rsidR="00A70754" w:rsidRDefault="00A70754" w:rsidP="00B41473">
      <w:pPr>
        <w:pStyle w:val="Bullet1"/>
      </w:pPr>
      <w:r w:rsidRPr="003C27A4">
        <w:t>Are existing information security strategies adequate to mitigate identified risks?</w:t>
      </w:r>
    </w:p>
    <w:p w14:paraId="309590A8" w14:textId="77777777" w:rsidR="00A70754" w:rsidRDefault="00A70754" w:rsidP="00B41473">
      <w:pPr>
        <w:pStyle w:val="Bullet1"/>
      </w:pPr>
      <w:r w:rsidRPr="003C27A4">
        <w:t>Are the identified risks acceptable in terms of the agency’s “risk appetite”?</w:t>
      </w:r>
    </w:p>
    <w:p w14:paraId="74DB49AE" w14:textId="77777777" w:rsidR="00A70754" w:rsidRDefault="00A70754" w:rsidP="00B41473">
      <w:pPr>
        <w:pStyle w:val="Bullet1"/>
      </w:pPr>
      <w:r w:rsidRPr="003C27A4">
        <w:t xml:space="preserve">Is an </w:t>
      </w:r>
      <w:r w:rsidR="00BE178F">
        <w:t>e</w:t>
      </w:r>
      <w:r w:rsidR="00BE178F">
        <w:noBreakHyphen/>
      </w:r>
      <w:r>
        <w:t>A</w:t>
      </w:r>
      <w:r w:rsidRPr="003C27A4">
        <w:t>uthentication solution still appropriate?</w:t>
      </w:r>
    </w:p>
    <w:p w14:paraId="1BA69173" w14:textId="77777777" w:rsidR="00A70754" w:rsidRPr="003C27A4" w:rsidRDefault="00A70754" w:rsidP="00B41473">
      <w:r w:rsidRPr="003C27A4">
        <w:t xml:space="preserve">If the determination is made to continue with the development of an </w:t>
      </w:r>
      <w:r w:rsidR="00BE178F">
        <w:t>e</w:t>
      </w:r>
      <w:r w:rsidR="00BE178F">
        <w:noBreakHyphen/>
      </w:r>
      <w:r>
        <w:t>A</w:t>
      </w:r>
      <w:r w:rsidRPr="003C27A4">
        <w:t>uthentication solution then the next stage in the process is to determine the nature of the registration process to be implemented.</w:t>
      </w:r>
    </w:p>
    <w:p w14:paraId="6026985B" w14:textId="61A528BE" w:rsidR="00A70754" w:rsidRPr="003C27A4" w:rsidRDefault="00A70754" w:rsidP="00AE7A40">
      <w:pPr>
        <w:pStyle w:val="Heading2"/>
      </w:pPr>
      <w:bookmarkStart w:id="154" w:name="_Toc430770916"/>
      <w:bookmarkStart w:id="155" w:name="_Ref430782576"/>
      <w:bookmarkStart w:id="156" w:name="_Ref430782743"/>
      <w:bookmarkStart w:id="157" w:name="_Toc205367712"/>
      <w:bookmarkStart w:id="158" w:name="_Ref436730492"/>
      <w:r w:rsidRPr="003C27A4">
        <w:lastRenderedPageBreak/>
        <w:t>Step 3: Select the registration approach</w:t>
      </w:r>
      <w:bookmarkEnd w:id="154"/>
      <w:bookmarkEnd w:id="155"/>
      <w:bookmarkEnd w:id="156"/>
      <w:bookmarkEnd w:id="158"/>
    </w:p>
    <w:p w14:paraId="43AFC203" w14:textId="77777777" w:rsidR="00A70754" w:rsidRPr="003C27A4" w:rsidRDefault="00A70754" w:rsidP="00AE7A40">
      <w:pPr>
        <w:keepNext/>
      </w:pPr>
      <w:r w:rsidRPr="003C27A4">
        <w:t>The registration approach will be determined by:</w:t>
      </w:r>
    </w:p>
    <w:p w14:paraId="48B2B698" w14:textId="77777777" w:rsidR="00A70754" w:rsidRPr="003C27A4" w:rsidRDefault="00A70754" w:rsidP="00AE7A40">
      <w:pPr>
        <w:pStyle w:val="Bullet1"/>
        <w:keepNext/>
      </w:pPr>
      <w:r w:rsidRPr="003C27A4">
        <w:t>the nature of the assertion to be authenticated</w:t>
      </w:r>
    </w:p>
    <w:p w14:paraId="0B13C654" w14:textId="77777777" w:rsidR="00A70754" w:rsidRPr="003C27A4" w:rsidRDefault="00A70754" w:rsidP="00AE7A40">
      <w:pPr>
        <w:pStyle w:val="Bullet1"/>
        <w:keepNext/>
      </w:pPr>
      <w:r w:rsidRPr="003C27A4">
        <w:t>the assurance level required</w:t>
      </w:r>
    </w:p>
    <w:p w14:paraId="10AC4794" w14:textId="77777777" w:rsidR="00A70754" w:rsidRPr="003C27A4" w:rsidRDefault="00A70754" w:rsidP="00AE7A40">
      <w:pPr>
        <w:pStyle w:val="Bullet1"/>
        <w:keepNext/>
      </w:pPr>
      <w:r w:rsidRPr="003C27A4">
        <w:t>whether the subscriber is already a known customer of the agency; two variations emerge:</w:t>
      </w:r>
    </w:p>
    <w:p w14:paraId="3C42C20C" w14:textId="77777777" w:rsidR="00A70754" w:rsidRPr="003C27A4" w:rsidRDefault="00A70754" w:rsidP="00B41473">
      <w:pPr>
        <w:pStyle w:val="Bullet2"/>
        <w:rPr>
          <w:rFonts w:eastAsia="Gulim" w:cs="Gulim"/>
        </w:rPr>
      </w:pPr>
      <w:r w:rsidRPr="003C27A4">
        <w:t>the subscriber is a known customer but has no pr</w:t>
      </w:r>
      <w:r w:rsidR="00BE178F">
        <w:t>e</w:t>
      </w:r>
      <w:r w:rsidR="00BE178F">
        <w:noBreakHyphen/>
      </w:r>
      <w:r w:rsidRPr="003C27A4">
        <w:t xml:space="preserve">existing </w:t>
      </w:r>
      <w:r w:rsidR="00BE178F">
        <w:t>e</w:t>
      </w:r>
      <w:r w:rsidR="00BE178F">
        <w:noBreakHyphen/>
      </w:r>
      <w:r>
        <w:t>Authentication</w:t>
      </w:r>
      <w:r w:rsidRPr="003C27A4">
        <w:t xml:space="preserve"> credential</w:t>
      </w:r>
    </w:p>
    <w:p w14:paraId="681B128F" w14:textId="77777777" w:rsidR="00A70754" w:rsidRPr="003C27A4" w:rsidRDefault="00A70754" w:rsidP="00B41473">
      <w:pPr>
        <w:pStyle w:val="Bullet2"/>
        <w:rPr>
          <w:rFonts w:eastAsia="Gulim" w:cs="Gulim"/>
        </w:rPr>
      </w:pPr>
      <w:r w:rsidRPr="003C27A4">
        <w:t>the subscriber is a known customer and has a pr</w:t>
      </w:r>
      <w:r w:rsidR="00BE178F">
        <w:t>e</w:t>
      </w:r>
      <w:r w:rsidR="00BE178F">
        <w:noBreakHyphen/>
      </w:r>
      <w:r w:rsidRPr="003C27A4">
        <w:t xml:space="preserve">existing </w:t>
      </w:r>
      <w:r w:rsidR="00BE178F">
        <w:t>e</w:t>
      </w:r>
      <w:r w:rsidR="00BE178F">
        <w:noBreakHyphen/>
      </w:r>
      <w:r>
        <w:t>Authentication</w:t>
      </w:r>
      <w:r w:rsidRPr="003C27A4">
        <w:t xml:space="preserve"> credential</w:t>
      </w:r>
    </w:p>
    <w:p w14:paraId="71A3EDBC" w14:textId="77777777" w:rsidR="00A70754" w:rsidRPr="003C27A4" w:rsidRDefault="00A70754" w:rsidP="00B41473">
      <w:pPr>
        <w:pStyle w:val="Bullet1"/>
      </w:pPr>
      <w:r w:rsidRPr="003C27A4">
        <w:t>whether the subscriber has already been issued a credential by another government agency, in</w:t>
      </w:r>
      <w:r w:rsidR="00061CE2">
        <w:t> </w:t>
      </w:r>
      <w:r w:rsidRPr="003C27A4">
        <w:t>which case a range of additional factors will have to be considered including:</w:t>
      </w:r>
    </w:p>
    <w:p w14:paraId="38E433D1" w14:textId="77777777" w:rsidR="00A70754" w:rsidRPr="003C27A4" w:rsidRDefault="00A70754" w:rsidP="00B41473">
      <w:pPr>
        <w:pStyle w:val="Bullet2"/>
      </w:pPr>
      <w:r w:rsidRPr="003C27A4">
        <w:t>the registration process used by that agency</w:t>
      </w:r>
    </w:p>
    <w:p w14:paraId="25A4AFC5" w14:textId="77777777" w:rsidR="00A70754" w:rsidRPr="003C27A4" w:rsidRDefault="00A70754" w:rsidP="00B41473">
      <w:pPr>
        <w:pStyle w:val="Bullet2"/>
      </w:pPr>
      <w:r w:rsidRPr="003C27A4">
        <w:t>the credential lifecycle management process employed by that agency</w:t>
      </w:r>
    </w:p>
    <w:p w14:paraId="39F7E00C" w14:textId="77777777" w:rsidR="00A70754" w:rsidRPr="003C27A4" w:rsidRDefault="00A70754" w:rsidP="00B41473">
      <w:pPr>
        <w:pStyle w:val="Bullet1"/>
      </w:pPr>
      <w:r w:rsidRPr="003C27A4">
        <w:t>the nature and significance of privacy and other public policy issues identified during Step 1.</w:t>
      </w:r>
    </w:p>
    <w:p w14:paraId="755B1123" w14:textId="23BF29E7" w:rsidR="00A70754" w:rsidRPr="003C27A4" w:rsidRDefault="00A70754" w:rsidP="00B41473">
      <w:r w:rsidRPr="003C27A4">
        <w:t xml:space="preserve">Further detail is contained in </w:t>
      </w:r>
      <w:r w:rsidR="00C3702B">
        <w:fldChar w:fldCharType="begin" w:fldLock="1"/>
      </w:r>
      <w:r w:rsidR="00C3702B">
        <w:instrText xml:space="preserve"> REF _Ref430782450 \h </w:instrText>
      </w:r>
      <w:r w:rsidR="00C3702B">
        <w:fldChar w:fldCharType="separate"/>
      </w:r>
      <w:r w:rsidR="00F415A3">
        <w:t>Schedule A</w:t>
      </w:r>
      <w:r w:rsidR="00C3702B">
        <w:fldChar w:fldCharType="end"/>
      </w:r>
      <w:r w:rsidR="00C3702B">
        <w:t xml:space="preserve"> </w:t>
      </w:r>
      <w:r>
        <w:t>of</w:t>
      </w:r>
      <w:r w:rsidRPr="003C27A4">
        <w:t xml:space="preserve"> this document</w:t>
      </w:r>
      <w:r w:rsidRPr="001A34D1">
        <w:rPr>
          <w:rStyle w:val="Emphasis"/>
        </w:rPr>
        <w:t>.</w:t>
      </w:r>
    </w:p>
    <w:bookmarkEnd w:id="157"/>
    <w:p w14:paraId="41AD5151" w14:textId="77777777" w:rsidR="00A70754" w:rsidRPr="003C27A4" w:rsidRDefault="00A70754" w:rsidP="00B41473">
      <w:r w:rsidRPr="003C27A4">
        <w:t>Registration involves verifying the subscriber’s identity or other attribute to an understood assurance</w:t>
      </w:r>
      <w:r w:rsidR="00061CE2">
        <w:t> </w:t>
      </w:r>
      <w:r w:rsidRPr="003C27A4">
        <w:t xml:space="preserve">level prior to creating an </w:t>
      </w:r>
      <w:r w:rsidR="00BE178F">
        <w:t>e</w:t>
      </w:r>
      <w:r w:rsidR="00BE178F">
        <w:noBreakHyphen/>
      </w:r>
      <w:r>
        <w:t>Authentication</w:t>
      </w:r>
      <w:r w:rsidRPr="003C27A4">
        <w:t xml:space="preserve"> credential.</w:t>
      </w:r>
    </w:p>
    <w:p w14:paraId="311575F4" w14:textId="77777777" w:rsidR="00A70754" w:rsidRPr="003C27A4" w:rsidRDefault="00A70754" w:rsidP="00B41473">
      <w:r w:rsidRPr="003C27A4">
        <w:t>The approach to registration will depend upon the nature of the assertion to be authenticated.</w:t>
      </w:r>
      <w:r>
        <w:t xml:space="preserve"> </w:t>
      </w:r>
      <w:r w:rsidRPr="003C27A4">
        <w:t>The</w:t>
      </w:r>
      <w:r w:rsidR="00061CE2">
        <w:t> </w:t>
      </w:r>
      <w:r w:rsidRPr="003C27A4">
        <w:t>most common instances are:</w:t>
      </w:r>
    </w:p>
    <w:p w14:paraId="1F5AF034" w14:textId="77777777" w:rsidR="00A70754" w:rsidRPr="003C27A4" w:rsidRDefault="00A70754" w:rsidP="00B41473">
      <w:pPr>
        <w:pStyle w:val="Bullet1"/>
      </w:pPr>
      <w:r w:rsidRPr="003C27A4">
        <w:t>registration of individuals (as themselves)</w:t>
      </w:r>
    </w:p>
    <w:p w14:paraId="7EBDB734" w14:textId="77777777" w:rsidR="00A70754" w:rsidRPr="003C27A4" w:rsidRDefault="00A70754" w:rsidP="00B41473">
      <w:pPr>
        <w:pStyle w:val="Bullet1"/>
      </w:pPr>
      <w:r w:rsidRPr="003C27A4">
        <w:t>registration of individuals as representatives of businesses</w:t>
      </w:r>
      <w:r>
        <w:t>; and</w:t>
      </w:r>
    </w:p>
    <w:p w14:paraId="4F2A4E8F" w14:textId="77777777" w:rsidR="00A70754" w:rsidRPr="003C27A4" w:rsidRDefault="00A70754" w:rsidP="00B41473">
      <w:pPr>
        <w:pStyle w:val="Bullet1"/>
      </w:pPr>
      <w:r w:rsidRPr="003C27A4">
        <w:t>registration of individuals as representatives</w:t>
      </w:r>
      <w:r w:rsidRPr="001A34D1">
        <w:rPr>
          <w:rStyle w:val="FootnoteReference"/>
        </w:rPr>
        <w:footnoteReference w:id="8"/>
      </w:r>
      <w:r w:rsidRPr="003C27A4">
        <w:t xml:space="preserve"> of other individuals.</w:t>
      </w:r>
    </w:p>
    <w:p w14:paraId="2514A9C7" w14:textId="77777777" w:rsidR="00A70754" w:rsidRPr="003C27A4" w:rsidRDefault="00A70754" w:rsidP="00B41473">
      <w:r w:rsidRPr="003C27A4">
        <w:t>Three approaches are most commonly used:</w:t>
      </w:r>
    </w:p>
    <w:p w14:paraId="24C20B5D" w14:textId="77777777" w:rsidR="00A70754" w:rsidRPr="003C27A4" w:rsidRDefault="00A70754" w:rsidP="00B41473">
      <w:pPr>
        <w:pStyle w:val="Bullet1"/>
      </w:pPr>
      <w:r w:rsidRPr="003326A8">
        <w:rPr>
          <w:rStyle w:val="Strong"/>
        </w:rPr>
        <w:t>Evidence of identity</w:t>
      </w:r>
      <w:r w:rsidRPr="003C27A4">
        <w:t xml:space="preserve"> </w:t>
      </w:r>
      <w:r w:rsidRPr="003326A8">
        <w:rPr>
          <w:rStyle w:val="Strong"/>
        </w:rPr>
        <w:t>(EoI)</w:t>
      </w:r>
      <w:r w:rsidRPr="003C27A4">
        <w:t xml:space="preserve"> basis, which requires individuals to present a range of documentation to validate their claim to identity. </w:t>
      </w:r>
      <w:r>
        <w:t>R</w:t>
      </w:r>
      <w:r w:rsidRPr="003C27A4">
        <w:t xml:space="preserve">ecommendations regarding the number and types of documents are contained in a range of authoritative government identification schemes, including those associated with the National Identity </w:t>
      </w:r>
      <w:smartTag w:uri="urn:schemas-microsoft-com:office:smarttags" w:element="PersonName">
        <w:r w:rsidRPr="003C27A4">
          <w:t>Security</w:t>
        </w:r>
      </w:smartTag>
      <w:r w:rsidRPr="003C27A4">
        <w:t xml:space="preserve"> Strategy (NISS), and the </w:t>
      </w:r>
      <w:smartTag w:uri="urn:schemas-microsoft-com:office:smarttags" w:element="PersonName">
        <w:r w:rsidRPr="003C27A4">
          <w:t>Gatekeeper</w:t>
        </w:r>
      </w:smartTag>
      <w:r w:rsidRPr="003C27A4">
        <w:t xml:space="preserve"> PKI Framework.</w:t>
      </w:r>
      <w:r w:rsidRPr="001A34D1">
        <w:rPr>
          <w:rStyle w:val="FootnoteReference"/>
        </w:rPr>
        <w:footnoteReference w:id="9"/>
      </w:r>
      <w:r>
        <w:t xml:space="preserve"> </w:t>
      </w:r>
      <w:r w:rsidRPr="003C27A4">
        <w:t>Agency risk management strategies should contain contingencies to cover the “failure” of EoI approaches.</w:t>
      </w:r>
    </w:p>
    <w:p w14:paraId="433AC0FB" w14:textId="77777777" w:rsidR="00A70754" w:rsidRPr="003C27A4" w:rsidRDefault="00A70754" w:rsidP="00B41473">
      <w:pPr>
        <w:pStyle w:val="Bullet1"/>
      </w:pPr>
      <w:r w:rsidRPr="003326A8">
        <w:rPr>
          <w:rStyle w:val="Strong"/>
        </w:rPr>
        <w:t>Evidence of relationship (EoR), or “known customer”</w:t>
      </w:r>
      <w:r w:rsidRPr="003C27A4">
        <w:t xml:space="preserve"> basis, which requires individuals to establish they have an existing relationship with the agency. In most circumstances, the establishment of the original relationship would have encompassed an EoI process. This approach to registration usually involves the presentation of documentary or knowledg</w:t>
      </w:r>
      <w:r w:rsidR="00BE178F">
        <w:t>e</w:t>
      </w:r>
      <w:r w:rsidR="00BE178F">
        <w:noBreakHyphen/>
      </w:r>
      <w:r w:rsidRPr="003C27A4">
        <w:t>based evidence that relates to the context of the relationship between the subscriber and the relying party.</w:t>
      </w:r>
    </w:p>
    <w:p w14:paraId="400A40FD" w14:textId="77777777" w:rsidR="00A70754" w:rsidRPr="003C27A4" w:rsidRDefault="00A70754" w:rsidP="00B41473">
      <w:pPr>
        <w:pStyle w:val="Bullet1"/>
      </w:pPr>
      <w:r w:rsidRPr="003C27A4">
        <w:t>A further option is that an individual may present to an agency with a credential issued by another agency</w:t>
      </w:r>
      <w:r w:rsidRPr="001A34D1">
        <w:rPr>
          <w:rStyle w:val="FootnoteReference"/>
        </w:rPr>
        <w:footnoteReference w:id="10"/>
      </w:r>
      <w:r w:rsidRPr="003C27A4">
        <w:t xml:space="preserve"> – in other words the individual is “known” to that second agency.</w:t>
      </w:r>
      <w:r>
        <w:t xml:space="preserve"> </w:t>
      </w:r>
      <w:r w:rsidRPr="003C27A4">
        <w:t xml:space="preserve">This is an important </w:t>
      </w:r>
      <w:r w:rsidRPr="003C27A4">
        <w:lastRenderedPageBreak/>
        <w:t>consideration from the perspective of credential r</w:t>
      </w:r>
      <w:r w:rsidR="00BE178F">
        <w:t>e</w:t>
      </w:r>
      <w:r w:rsidR="00BE178F">
        <w:noBreakHyphen/>
      </w:r>
      <w:r w:rsidRPr="003C27A4">
        <w:t>use which can deliver efficiency gains to both agencies and end-users.</w:t>
      </w:r>
    </w:p>
    <w:p w14:paraId="646C01A6" w14:textId="77777777" w:rsidR="00A70754" w:rsidRPr="003C27A4" w:rsidRDefault="00A70754" w:rsidP="00B41473">
      <w:pPr>
        <w:pStyle w:val="Bullet1"/>
      </w:pPr>
      <w:r w:rsidRPr="003326A8">
        <w:rPr>
          <w:rStyle w:val="Strong"/>
        </w:rPr>
        <w:t>Pseudonymous registration</w:t>
      </w:r>
      <w:r w:rsidRPr="003C27A4">
        <w:t>,</w:t>
      </w:r>
      <w:r w:rsidRPr="003326A8">
        <w:rPr>
          <w:rStyle w:val="Strong"/>
        </w:rPr>
        <w:t xml:space="preserve"> </w:t>
      </w:r>
      <w:r w:rsidRPr="003C27A4">
        <w:t>which</w:t>
      </w:r>
      <w:r w:rsidRPr="003326A8">
        <w:rPr>
          <w:rStyle w:val="Strong"/>
        </w:rPr>
        <w:t xml:space="preserve"> </w:t>
      </w:r>
      <w:r w:rsidRPr="003C27A4">
        <w:t xml:space="preserve">does not require a user to go through either an EoI or EoR process to obtain an </w:t>
      </w:r>
      <w:r w:rsidR="00BE178F">
        <w:t>e</w:t>
      </w:r>
      <w:r w:rsidR="00BE178F">
        <w:noBreakHyphen/>
      </w:r>
      <w:r>
        <w:t>Authentication</w:t>
      </w:r>
      <w:r w:rsidRPr="003C27A4">
        <w:t xml:space="preserve"> credential.</w:t>
      </w:r>
      <w:r>
        <w:t xml:space="preserve"> </w:t>
      </w:r>
      <w:r w:rsidRPr="003C27A4">
        <w:t>Two variants of this approach exist:</w:t>
      </w:r>
    </w:p>
    <w:p w14:paraId="1E88320C" w14:textId="77777777" w:rsidR="00A70754" w:rsidRPr="003C27A4" w:rsidRDefault="00A70754" w:rsidP="00B41473">
      <w:pPr>
        <w:pStyle w:val="Bullet2"/>
      </w:pPr>
      <w:r w:rsidRPr="003C27A4">
        <w:t xml:space="preserve">Those in which a pseudonymous </w:t>
      </w:r>
      <w:r w:rsidR="00BE178F">
        <w:t>e</w:t>
      </w:r>
      <w:r w:rsidR="00BE178F">
        <w:noBreakHyphen/>
      </w:r>
      <w:r>
        <w:t>Authentication</w:t>
      </w:r>
      <w:r w:rsidRPr="003C27A4">
        <w:t xml:space="preserve"> credential having been created is then linked through an EoR enrolment process to known instances of the user with one or more agencies e.g. AGOSP and DHS’s </w:t>
      </w:r>
      <w:r w:rsidRPr="003326A8">
        <w:rPr>
          <w:rStyle w:val="Emphasis"/>
        </w:rPr>
        <w:t>myaccount</w:t>
      </w:r>
      <w:r w:rsidRPr="003C27A4">
        <w:t>.</w:t>
      </w:r>
    </w:p>
    <w:p w14:paraId="69F4A9AF" w14:textId="77777777" w:rsidR="00A70754" w:rsidRPr="003C27A4" w:rsidRDefault="00A70754" w:rsidP="00B41473">
      <w:pPr>
        <w:pStyle w:val="Bullet2"/>
      </w:pPr>
      <w:r w:rsidRPr="003C27A4">
        <w:t xml:space="preserve">Those in which the pseudonymous </w:t>
      </w:r>
      <w:r w:rsidR="00BE178F">
        <w:t>e</w:t>
      </w:r>
      <w:r w:rsidR="00BE178F">
        <w:noBreakHyphen/>
      </w:r>
      <w:r>
        <w:t>Authentication</w:t>
      </w:r>
      <w:r w:rsidRPr="003C27A4">
        <w:t xml:space="preserve"> credential is not linked with pr</w:t>
      </w:r>
      <w:r w:rsidR="00BE178F">
        <w:t>e</w:t>
      </w:r>
      <w:r w:rsidR="00BE178F">
        <w:noBreakHyphen/>
      </w:r>
      <w:r w:rsidRPr="003C27A4">
        <w:t>existing instances of the user on the agency’s system. Here the purpose of the credential is to enable a</w:t>
      </w:r>
      <w:r w:rsidR="00061CE2">
        <w:t> </w:t>
      </w:r>
      <w:r w:rsidRPr="003C27A4">
        <w:t>persistent conversation between the user and the agency; for example, for purposes of completing a passport application.</w:t>
      </w:r>
    </w:p>
    <w:p w14:paraId="6A1E88AC" w14:textId="77777777" w:rsidR="00A70754" w:rsidRPr="003C27A4" w:rsidRDefault="00A70754" w:rsidP="00B41473">
      <w:pPr>
        <w:pStyle w:val="Heading2"/>
      </w:pPr>
      <w:bookmarkStart w:id="159" w:name="_Toc430770917"/>
      <w:bookmarkStart w:id="160" w:name="_Ref430782588"/>
      <w:bookmarkStart w:id="161" w:name="_Ref430782755"/>
      <w:r w:rsidRPr="003C27A4">
        <w:t xml:space="preserve">Step 4: Select the </w:t>
      </w:r>
      <w:r w:rsidR="00BE178F">
        <w:t>e</w:t>
      </w:r>
      <w:r w:rsidR="00BE178F">
        <w:noBreakHyphen/>
      </w:r>
      <w:r>
        <w:t>Authentication</w:t>
      </w:r>
      <w:r w:rsidRPr="003C27A4">
        <w:t xml:space="preserve"> mechanism</w:t>
      </w:r>
      <w:bookmarkEnd w:id="159"/>
      <w:bookmarkEnd w:id="160"/>
      <w:bookmarkEnd w:id="161"/>
    </w:p>
    <w:p w14:paraId="306E101E" w14:textId="77777777" w:rsidR="00A70754" w:rsidRDefault="00A70754" w:rsidP="00B41473">
      <w:r w:rsidRPr="003C27A4">
        <w:t xml:space="preserve">The strength, or assurance level, of an </w:t>
      </w:r>
      <w:r w:rsidR="00BE178F">
        <w:t>e</w:t>
      </w:r>
      <w:r w:rsidR="00BE178F">
        <w:noBreakHyphen/>
      </w:r>
      <w:r>
        <w:t>Authentication</w:t>
      </w:r>
      <w:r w:rsidRPr="003C27A4">
        <w:t xml:space="preserve"> solution depends upon</w:t>
      </w:r>
    </w:p>
    <w:p w14:paraId="096D1C61" w14:textId="77777777" w:rsidR="00A70754" w:rsidRPr="003C27A4" w:rsidRDefault="00A70754" w:rsidP="00B41473">
      <w:pPr>
        <w:pStyle w:val="Bullet1"/>
      </w:pPr>
      <w:r w:rsidRPr="003C27A4">
        <w:t>the stren</w:t>
      </w:r>
      <w:r>
        <w:t>gth of the registration process; and</w:t>
      </w:r>
    </w:p>
    <w:p w14:paraId="39E661AC" w14:textId="77777777" w:rsidR="00A70754" w:rsidRPr="003C27A4" w:rsidRDefault="00A70754" w:rsidP="00B41473">
      <w:pPr>
        <w:pStyle w:val="Bullet1"/>
      </w:pPr>
      <w:r w:rsidRPr="003C27A4">
        <w:t xml:space="preserve">the strength of the </w:t>
      </w:r>
      <w:r w:rsidR="00BE178F">
        <w:t>e</w:t>
      </w:r>
      <w:r w:rsidR="00BE178F">
        <w:noBreakHyphen/>
      </w:r>
      <w:r>
        <w:t>Authentication</w:t>
      </w:r>
      <w:r w:rsidRPr="003C27A4">
        <w:t xml:space="preserve"> mechanism, which, in turn, depends upon</w:t>
      </w:r>
      <w:r>
        <w:t>:</w:t>
      </w:r>
    </w:p>
    <w:p w14:paraId="563DD24F" w14:textId="77777777" w:rsidR="00A70754" w:rsidRPr="003C27A4" w:rsidRDefault="00A70754" w:rsidP="00B41473">
      <w:pPr>
        <w:pStyle w:val="Bullet2"/>
      </w:pPr>
      <w:r w:rsidRPr="003C27A4">
        <w:t>the strength of the credential type</w:t>
      </w:r>
    </w:p>
    <w:p w14:paraId="1CB9FDD6" w14:textId="77777777" w:rsidR="00A70754" w:rsidRDefault="00A70754" w:rsidP="00B41473">
      <w:pPr>
        <w:pStyle w:val="Bullet2"/>
      </w:pPr>
      <w:r w:rsidRPr="003C27A4">
        <w:t>the credential management and usage strength.</w:t>
      </w:r>
    </w:p>
    <w:p w14:paraId="264BCC1E" w14:textId="77777777" w:rsidR="00A70754" w:rsidRDefault="00A70754" w:rsidP="00B41473">
      <w:r w:rsidRPr="003C27A4">
        <w:t xml:space="preserve">This is illustrated in figure </w:t>
      </w:r>
      <w:r>
        <w:t>3 be</w:t>
      </w:r>
      <w:r w:rsidRPr="003C27A4">
        <w:t>low.</w:t>
      </w:r>
    </w:p>
    <w:p w14:paraId="44E2586A" w14:textId="10C9F155" w:rsidR="00A70754" w:rsidRPr="00B41473" w:rsidRDefault="00A70754" w:rsidP="003326A8">
      <w:pPr>
        <w:pStyle w:val="Caption"/>
      </w:pPr>
      <w:bookmarkStart w:id="162" w:name="_Toc430770945"/>
      <w:r w:rsidRPr="00B41473">
        <w:t xml:space="preserve">Figure </w:t>
      </w:r>
      <w:fldSimple w:instr=" SEQ Figure \* ARABIC " w:fldLock="1">
        <w:r w:rsidR="00933C42">
          <w:rPr>
            <w:noProof/>
          </w:rPr>
          <w:t>3</w:t>
        </w:r>
      </w:fldSimple>
      <w:r w:rsidRPr="00B41473">
        <w:t xml:space="preserve">: </w:t>
      </w:r>
      <w:r w:rsidR="00BE178F">
        <w:t>e</w:t>
      </w:r>
      <w:r w:rsidR="00BE178F">
        <w:noBreakHyphen/>
      </w:r>
      <w:r w:rsidRPr="00B41473">
        <w:t>Authentication solution components</w:t>
      </w:r>
      <w:bookmarkEnd w:id="162"/>
    </w:p>
    <w:p w14:paraId="3A66B938" w14:textId="77777777" w:rsidR="00A70754" w:rsidRPr="003C27A4" w:rsidRDefault="00A70754" w:rsidP="00B41473">
      <w:pPr>
        <w:jc w:val="center"/>
      </w:pPr>
      <w:r>
        <w:rPr>
          <w:noProof/>
          <w:lang w:eastAsia="en-AU"/>
        </w:rPr>
        <w:drawing>
          <wp:inline distT="0" distB="0" distL="0" distR="0" wp14:anchorId="21BCF15A" wp14:editId="6883C603">
            <wp:extent cx="3949700" cy="3502025"/>
            <wp:effectExtent l="0" t="0" r="0" b="3175"/>
            <wp:docPr id="9" name="Picture 9" descr="This diagram is explained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his diagram is explained in the following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00" cy="3502025"/>
                    </a:xfrm>
                    <a:prstGeom prst="rect">
                      <a:avLst/>
                    </a:prstGeom>
                    <a:noFill/>
                    <a:ln>
                      <a:noFill/>
                    </a:ln>
                  </pic:spPr>
                </pic:pic>
              </a:graphicData>
            </a:graphic>
          </wp:inline>
        </w:drawing>
      </w:r>
    </w:p>
    <w:p w14:paraId="11DC639A" w14:textId="77777777" w:rsidR="00A70754" w:rsidRPr="003C27A4" w:rsidRDefault="00A70754" w:rsidP="00160E61">
      <w:pPr>
        <w:keepNext/>
      </w:pPr>
      <w:r w:rsidRPr="003C27A4">
        <w:lastRenderedPageBreak/>
        <w:t>Authentication mechanisms are the means by which subscribers authenticate themselves electronically.</w:t>
      </w:r>
    </w:p>
    <w:p w14:paraId="4EE5BEA5" w14:textId="77777777" w:rsidR="00A70754" w:rsidRPr="003C27A4" w:rsidRDefault="00A70754" w:rsidP="00160E61">
      <w:pPr>
        <w:keepNext/>
      </w:pPr>
      <w:r w:rsidRPr="003C27A4">
        <w:t>Components that define an authentication mechanism are:</w:t>
      </w:r>
    </w:p>
    <w:p w14:paraId="5ECFA684" w14:textId="77777777" w:rsidR="00A70754" w:rsidRPr="003C27A4" w:rsidRDefault="00A70754" w:rsidP="00B41473">
      <w:pPr>
        <w:pStyle w:val="Bullet1"/>
      </w:pPr>
      <w:r w:rsidRPr="003C27A4">
        <w:t>An authentication credential (the Credential), which is something tangible controlled by the subscriber that could incorporate one or a combination of attributes:</w:t>
      </w:r>
    </w:p>
    <w:p w14:paraId="5F340957" w14:textId="77777777" w:rsidR="00A70754" w:rsidRDefault="00A70754" w:rsidP="00B41473">
      <w:pPr>
        <w:pStyle w:val="Bullet2"/>
      </w:pPr>
      <w:r w:rsidRPr="003C27A4">
        <w:t>something the subscriber knows</w:t>
      </w:r>
    </w:p>
    <w:p w14:paraId="6A574451" w14:textId="77777777" w:rsidR="00A70754" w:rsidRDefault="00A70754" w:rsidP="00B41473">
      <w:pPr>
        <w:pStyle w:val="Bullet2"/>
      </w:pPr>
      <w:r w:rsidRPr="003C27A4">
        <w:t>something the subscriber has in their possession</w:t>
      </w:r>
    </w:p>
    <w:p w14:paraId="30E4BEFA" w14:textId="77777777" w:rsidR="00A70754" w:rsidRDefault="00A70754" w:rsidP="00B41473">
      <w:pPr>
        <w:pStyle w:val="Bullet2"/>
      </w:pPr>
      <w:r w:rsidRPr="003C27A4">
        <w:t>something the subscriber is.</w:t>
      </w:r>
    </w:p>
    <w:p w14:paraId="527F57B5" w14:textId="77777777" w:rsidR="00A70754" w:rsidRPr="003C27A4" w:rsidRDefault="00A70754" w:rsidP="00B41473">
      <w:r w:rsidRPr="003C27A4">
        <w:t>These attributes are termed “factors”.</w:t>
      </w:r>
    </w:p>
    <w:p w14:paraId="7A54A141" w14:textId="77777777" w:rsidR="00A70754" w:rsidRPr="003C27A4" w:rsidRDefault="00A70754" w:rsidP="00B41473">
      <w:pPr>
        <w:pStyle w:val="Bullet1"/>
      </w:pPr>
      <w:r w:rsidRPr="003C27A4">
        <w:t>The methods of management and usage of the credential over its life time.</w:t>
      </w:r>
    </w:p>
    <w:p w14:paraId="1BBB2709" w14:textId="77777777" w:rsidR="00A70754" w:rsidRPr="003C27A4" w:rsidRDefault="00A70754" w:rsidP="00B41473">
      <w:r>
        <w:t>T</w:t>
      </w:r>
      <w:r w:rsidRPr="003C27A4">
        <w:t>hese methods will incorporate processes around generation of the credential, its distribution to the subscriber, its activation and its ultimate usage within a broader authentication protocol established between the subscriber and a relying party.</w:t>
      </w:r>
    </w:p>
    <w:p w14:paraId="75D557D0" w14:textId="77777777" w:rsidR="00A70754" w:rsidRPr="003C27A4" w:rsidRDefault="00A70754" w:rsidP="00B41473">
      <w:r w:rsidRPr="003C27A4">
        <w:t>A description of common credential types and factors influencing their inherent strength is at Schedule</w:t>
      </w:r>
      <w:r w:rsidR="00061CE2">
        <w:t> </w:t>
      </w:r>
      <w:r w:rsidRPr="003C27A4">
        <w:t>B, later in this document.</w:t>
      </w:r>
    </w:p>
    <w:p w14:paraId="1496B4B6" w14:textId="77777777" w:rsidR="00A70754" w:rsidRPr="003C27A4" w:rsidRDefault="00A70754" w:rsidP="00B41473">
      <w:r w:rsidRPr="003C27A4">
        <w:t>In selecting an authentication mechanism agencies should consider the following.</w:t>
      </w:r>
    </w:p>
    <w:p w14:paraId="749F5E31" w14:textId="77777777" w:rsidR="00A70754" w:rsidRDefault="00A70754" w:rsidP="00B41473">
      <w:pPr>
        <w:pStyle w:val="Bullet1"/>
      </w:pPr>
      <w:r w:rsidRPr="003C27A4">
        <w:t>As an “authentication mechanism”</w:t>
      </w:r>
      <w:r>
        <w:t xml:space="preserve"> </w:t>
      </w:r>
      <w:r w:rsidRPr="003C27A4">
        <w:t xml:space="preserve">is an amalgam of the credential type and the credential management approach, it is necessary to select the appropriate strength of each of these in order to meet the </w:t>
      </w:r>
      <w:r w:rsidR="00BE178F">
        <w:t>e</w:t>
      </w:r>
      <w:r w:rsidR="00BE178F">
        <w:noBreakHyphen/>
      </w:r>
      <w:r>
        <w:t>A</w:t>
      </w:r>
      <w:r w:rsidRPr="003C27A4">
        <w:t>uthentication assurance level required:</w:t>
      </w:r>
    </w:p>
    <w:p w14:paraId="20ED60DC" w14:textId="77777777" w:rsidR="00A70754" w:rsidRPr="003C27A4" w:rsidRDefault="00A70754" w:rsidP="00B41473">
      <w:pPr>
        <w:pStyle w:val="Bullet2"/>
      </w:pPr>
      <w:r w:rsidRPr="003C27A4">
        <w:t>lifecycle management of the credential may also be interpreted to include the registration business processes</w:t>
      </w:r>
    </w:p>
    <w:p w14:paraId="4DA9907E" w14:textId="77777777" w:rsidR="00A70754" w:rsidRPr="003C27A4" w:rsidRDefault="00A70754" w:rsidP="00B41473">
      <w:pPr>
        <w:pStyle w:val="Bullet2"/>
      </w:pPr>
      <w:r w:rsidRPr="003C27A4">
        <w:t>care should be taken to ensure that, in determining the appropriate authentication mechanism, a full assessment of the strengths and weaknesses of the solution is undertaken including, as</w:t>
      </w:r>
      <w:r w:rsidR="00061CE2">
        <w:t> </w:t>
      </w:r>
      <w:r w:rsidRPr="003C27A4">
        <w:t>appropriate, risks arising from the behaviour of the credential holder.</w:t>
      </w:r>
    </w:p>
    <w:p w14:paraId="7D1910EE" w14:textId="77777777" w:rsidR="00A70754" w:rsidRPr="003C27A4" w:rsidRDefault="00A70754" w:rsidP="00B41473">
      <w:pPr>
        <w:pStyle w:val="Bullet1"/>
      </w:pPr>
      <w:r w:rsidRPr="003C27A4">
        <w:t>Existing authentication mechanisms/schemes.</w:t>
      </w:r>
    </w:p>
    <w:p w14:paraId="45AB6E86" w14:textId="77777777" w:rsidR="00A70754" w:rsidRPr="00B41473" w:rsidRDefault="00A70754" w:rsidP="00B41473">
      <w:pPr>
        <w:pStyle w:val="Heading3"/>
      </w:pPr>
      <w:bookmarkStart w:id="163" w:name="_Toc205539462"/>
      <w:bookmarkStart w:id="164" w:name="_Toc205912069"/>
      <w:bookmarkStart w:id="165" w:name="_Toc205912255"/>
      <w:r w:rsidRPr="00B41473">
        <w:t>Selecting a credential</w:t>
      </w:r>
      <w:bookmarkEnd w:id="163"/>
      <w:bookmarkEnd w:id="164"/>
      <w:bookmarkEnd w:id="165"/>
    </w:p>
    <w:p w14:paraId="5CBBF274" w14:textId="77777777" w:rsidR="00A70754" w:rsidRPr="00B41473" w:rsidRDefault="00A70754" w:rsidP="00B41473">
      <w:pPr>
        <w:pStyle w:val="Heading4"/>
      </w:pPr>
      <w:r w:rsidRPr="00B41473">
        <w:t>Credential types</w:t>
      </w:r>
    </w:p>
    <w:p w14:paraId="31513BEF" w14:textId="77777777" w:rsidR="00A70754" w:rsidRDefault="00A70754" w:rsidP="00B41473">
      <w:r w:rsidRPr="003C27A4">
        <w:t>Credentials may be categorised as:</w:t>
      </w:r>
    </w:p>
    <w:p w14:paraId="147519F7" w14:textId="77777777" w:rsidR="00A70754" w:rsidRDefault="00A70754" w:rsidP="00B41473">
      <w:pPr>
        <w:pStyle w:val="Bullet1"/>
      </w:pPr>
      <w:r w:rsidRPr="003326A8">
        <w:rPr>
          <w:rStyle w:val="Strong"/>
        </w:rPr>
        <w:t>singl</w:t>
      </w:r>
      <w:r w:rsidR="00BE178F">
        <w:rPr>
          <w:rStyle w:val="Strong"/>
        </w:rPr>
        <w:t>e</w:t>
      </w:r>
      <w:r w:rsidR="00BE178F">
        <w:rPr>
          <w:rStyle w:val="Strong"/>
        </w:rPr>
        <w:noBreakHyphen/>
      </w:r>
      <w:r w:rsidRPr="003326A8">
        <w:rPr>
          <w:rStyle w:val="Strong"/>
        </w:rPr>
        <w:t>factor</w:t>
      </w:r>
      <w:r w:rsidRPr="003C27A4">
        <w:t>, such as a password, an unprotected on</w:t>
      </w:r>
      <w:r w:rsidR="00BE178F">
        <w:t>e</w:t>
      </w:r>
      <w:r w:rsidR="00BE178F">
        <w:noBreakHyphen/>
      </w:r>
      <w:r w:rsidRPr="003C27A4">
        <w:t>time password (OTP) device, or a simple code book</w:t>
      </w:r>
      <w:r>
        <w:t>; and</w:t>
      </w:r>
    </w:p>
    <w:p w14:paraId="6B71DFE9" w14:textId="77777777" w:rsidR="00A70754" w:rsidRPr="003C27A4" w:rsidRDefault="00A70754" w:rsidP="00B41473">
      <w:pPr>
        <w:pStyle w:val="Bullet1"/>
      </w:pPr>
      <w:r w:rsidRPr="003326A8">
        <w:rPr>
          <w:rStyle w:val="Strong"/>
        </w:rPr>
        <w:t>multi</w:t>
      </w:r>
      <w:r w:rsidRPr="003C27A4">
        <w:t>-</w:t>
      </w:r>
      <w:r w:rsidRPr="003326A8">
        <w:rPr>
          <w:rStyle w:val="Strong"/>
        </w:rPr>
        <w:t xml:space="preserve">factor </w:t>
      </w:r>
      <w:r w:rsidRPr="003C27A4">
        <w:t>(i.e. two or more), such as a PIN-protected smartcard or PIN-protected OTP device, password-protected digital certificate or a biometric protected token.</w:t>
      </w:r>
      <w:r>
        <w:t xml:space="preserve"> </w:t>
      </w:r>
      <w:r w:rsidRPr="003C27A4">
        <w:t>A multi-factor credential requires multiple factors of different types (something you know, something you have, or something you are) to be present in order to generate an authentication code which is presented to the relying party for verification.</w:t>
      </w:r>
    </w:p>
    <w:p w14:paraId="0AA7DCEB" w14:textId="77777777" w:rsidR="00A70754" w:rsidRPr="003C27A4" w:rsidRDefault="00A70754" w:rsidP="00B41473">
      <w:r w:rsidRPr="003C27A4">
        <w:t>The selection of a credential type should take into consideration the following:</w:t>
      </w:r>
    </w:p>
    <w:p w14:paraId="64D2CCCE" w14:textId="77777777" w:rsidR="00A70754" w:rsidRPr="003C27A4" w:rsidRDefault="00A70754" w:rsidP="00B41473">
      <w:pPr>
        <w:pStyle w:val="Bullet1"/>
      </w:pPr>
      <w:r w:rsidRPr="003C27A4">
        <w:t xml:space="preserve">the strengths (and weaknesses) of particular credential types relative to the level of assurance required (see Schedule B1, </w:t>
      </w:r>
      <w:r>
        <w:t xml:space="preserve">of </w:t>
      </w:r>
      <w:r w:rsidRPr="003C27A4">
        <w:t>this document)</w:t>
      </w:r>
    </w:p>
    <w:p w14:paraId="0607E5D6" w14:textId="77777777" w:rsidR="00A70754" w:rsidRPr="003C27A4" w:rsidRDefault="00A70754" w:rsidP="00B41473">
      <w:pPr>
        <w:pStyle w:val="Bullet1"/>
      </w:pPr>
      <w:r w:rsidRPr="003C27A4">
        <w:t>the ease of use of the credential by the intended client group (if the credential type is not easy to use then the intended objective of increasing community tak</w:t>
      </w:r>
      <w:r w:rsidR="00BE178F">
        <w:t>e</w:t>
      </w:r>
      <w:r w:rsidR="00BE178F">
        <w:noBreakHyphen/>
      </w:r>
      <w:r w:rsidRPr="003C27A4">
        <w:t>up of electronic transactions will not be achieved; thus, a balance between identity assurance and ease of use is a major consideration in the selection of the authentication solution)</w:t>
      </w:r>
    </w:p>
    <w:p w14:paraId="780904E7" w14:textId="77777777" w:rsidR="00A70754" w:rsidRPr="003C27A4" w:rsidRDefault="00A70754" w:rsidP="00B41473">
      <w:pPr>
        <w:pStyle w:val="Bullet1"/>
      </w:pPr>
      <w:r w:rsidRPr="003C27A4">
        <w:lastRenderedPageBreak/>
        <w:t>whether a pr</w:t>
      </w:r>
      <w:r w:rsidR="00BE178F">
        <w:t>e</w:t>
      </w:r>
      <w:r w:rsidR="00BE178F">
        <w:noBreakHyphen/>
      </w:r>
      <w:r w:rsidRPr="003C27A4">
        <w:t>existing credential is already in the hands of the intended subscriber base (this may be a credential already issued by the agency or a credential issued by another organisation)</w:t>
      </w:r>
      <w:r>
        <w:t>; and</w:t>
      </w:r>
    </w:p>
    <w:p w14:paraId="0D0DFAAC" w14:textId="19A2CB67" w:rsidR="00A70754" w:rsidRDefault="00A70754" w:rsidP="00B41473">
      <w:pPr>
        <w:pStyle w:val="Bullet1"/>
      </w:pPr>
      <w:r w:rsidRPr="003C27A4">
        <w:t xml:space="preserve">if required, the capacity of the credential selected to meet the additional requirements (e.g. transaction confidentiality and/or non-repudiation) identified in </w:t>
      </w:r>
      <w:r w:rsidR="00D05D05">
        <w:fldChar w:fldCharType="begin" w:fldLock="1"/>
      </w:r>
      <w:r w:rsidR="00D05D05">
        <w:instrText xml:space="preserve"> REF _Ref430782514 \h </w:instrText>
      </w:r>
      <w:r w:rsidR="00D05D05">
        <w:fldChar w:fldCharType="separate"/>
      </w:r>
      <w:r w:rsidR="000365F3">
        <w:t>Step 1</w:t>
      </w:r>
      <w:r w:rsidR="00D05D05">
        <w:fldChar w:fldCharType="end"/>
      </w:r>
      <w:r w:rsidRPr="003C27A4">
        <w:t xml:space="preserve"> (above).</w:t>
      </w:r>
      <w:r>
        <w:t xml:space="preserve"> </w:t>
      </w:r>
      <w:r w:rsidRPr="003C27A4">
        <w:t xml:space="preserve">Note that other complementary technological and/or process approaches (e.g. </w:t>
      </w:r>
      <w:proofErr w:type="spellStart"/>
      <w:r w:rsidRPr="003C27A4">
        <w:t>VANguard</w:t>
      </w:r>
      <w:proofErr w:type="spellEnd"/>
      <w:r w:rsidRPr="003C27A4">
        <w:t xml:space="preserve">, see </w:t>
      </w:r>
      <w:r w:rsidR="00D05D05">
        <w:fldChar w:fldCharType="begin" w:fldLock="1"/>
      </w:r>
      <w:r w:rsidR="00D05D05">
        <w:instrText xml:space="preserve"> REF _Ref430782536 \h </w:instrText>
      </w:r>
      <w:r w:rsidR="00D05D05">
        <w:fldChar w:fldCharType="separate"/>
      </w:r>
      <w:r w:rsidR="000365F3">
        <w:t>Appendix C</w:t>
      </w:r>
      <w:r w:rsidR="00D05D05">
        <w:fldChar w:fldCharType="end"/>
      </w:r>
      <w:r w:rsidRPr="003C27A4">
        <w:t>) may be more appropriate to meet these additional requirements.</w:t>
      </w:r>
    </w:p>
    <w:p w14:paraId="6C56498F" w14:textId="77777777" w:rsidR="00A70754" w:rsidRPr="00B41473" w:rsidRDefault="00A70754" w:rsidP="00B41473">
      <w:pPr>
        <w:pStyle w:val="Heading4"/>
      </w:pPr>
      <w:bookmarkStart w:id="166" w:name="_Toc205539463"/>
      <w:r w:rsidRPr="00B41473">
        <w:t>Credential management</w:t>
      </w:r>
      <w:bookmarkEnd w:id="166"/>
    </w:p>
    <w:p w14:paraId="4550F22D" w14:textId="77777777" w:rsidR="00A70754" w:rsidRPr="003C27A4" w:rsidRDefault="00A70754" w:rsidP="00B41473">
      <w:r w:rsidRPr="003C27A4">
        <w:t>In addition to the intrinsic credential characteristics the strength of an authentication mechanism depends on the management and usage of the credential.</w:t>
      </w:r>
      <w:r>
        <w:t xml:space="preserve"> </w:t>
      </w:r>
      <w:r w:rsidRPr="003C27A4">
        <w:t>Credential management processes affect authentication mechanism strength and would typically be documented in arrangements between credential issuers and relying parties.</w:t>
      </w:r>
    </w:p>
    <w:p w14:paraId="4D6792AC" w14:textId="77777777" w:rsidR="00A70754" w:rsidRPr="003C27A4" w:rsidRDefault="00A70754" w:rsidP="00B41473">
      <w:r w:rsidRPr="003C27A4">
        <w:t>It should be noted that the behaviour of the credential holder has the potential to adversely affect the strength of the assurance provided by the credential itself as well as agency-based management processes. These threats need to be factored into many decision-making process</w:t>
      </w:r>
      <w:r>
        <w:t>es</w:t>
      </w:r>
      <w:r w:rsidRPr="003C27A4">
        <w:t xml:space="preserve"> regarding the choice of authentication mechanism.</w:t>
      </w:r>
    </w:p>
    <w:p w14:paraId="1972A0A9" w14:textId="77777777" w:rsidR="00A70754" w:rsidRPr="003C27A4" w:rsidRDefault="00A70754" w:rsidP="00B41473">
      <w:r w:rsidRPr="003C27A4">
        <w:t>End users should be provided with adequate information (and training, if necessary) regarding use and procedures to safeguard their credential to minimise the risk of fraudulent use.</w:t>
      </w:r>
    </w:p>
    <w:p w14:paraId="5D8A3481" w14:textId="77777777" w:rsidR="00A70754" w:rsidRPr="003C27A4" w:rsidRDefault="00A70754" w:rsidP="00B41473">
      <w:r w:rsidRPr="003C27A4">
        <w:t>The strengths and weaknesses of an authentication mechanism determine its suitability for use within various contexts.</w:t>
      </w:r>
    </w:p>
    <w:p w14:paraId="1A0D3326" w14:textId="77777777" w:rsidR="00A70754" w:rsidRPr="003C27A4" w:rsidRDefault="00A70754" w:rsidP="00B41473">
      <w:r w:rsidRPr="003C27A4">
        <w:t>Factors to be considered and resolved in this step are:</w:t>
      </w:r>
    </w:p>
    <w:p w14:paraId="076FFD11" w14:textId="77777777" w:rsidR="00A70754" w:rsidRPr="003C27A4" w:rsidRDefault="00A70754" w:rsidP="00B41473">
      <w:pPr>
        <w:pStyle w:val="Bullet1"/>
      </w:pPr>
      <w:r w:rsidRPr="003C27A4">
        <w:t>credential generation</w:t>
      </w:r>
    </w:p>
    <w:p w14:paraId="6E4C3ADB" w14:textId="77777777" w:rsidR="00A70754" w:rsidRPr="003C27A4" w:rsidRDefault="00A70754" w:rsidP="00B41473">
      <w:pPr>
        <w:pStyle w:val="Bullet1"/>
      </w:pPr>
      <w:r w:rsidRPr="003C27A4">
        <w:t>credential issuance and activation</w:t>
      </w:r>
    </w:p>
    <w:p w14:paraId="7D7AE0E9" w14:textId="77777777" w:rsidR="00A70754" w:rsidRPr="003C27A4" w:rsidRDefault="00A70754" w:rsidP="00B41473">
      <w:pPr>
        <w:pStyle w:val="Bullet1"/>
      </w:pPr>
      <w:r w:rsidRPr="003C27A4">
        <w:t>ease of use by credential holders, including possible inappropriate credential holder behaviours</w:t>
      </w:r>
    </w:p>
    <w:p w14:paraId="6E134680" w14:textId="77777777" w:rsidR="00A70754" w:rsidRPr="00527473" w:rsidRDefault="00A70754" w:rsidP="00B41473">
      <w:pPr>
        <w:pStyle w:val="Bullet1"/>
      </w:pPr>
      <w:r w:rsidRPr="00527473">
        <w:t>activated credential management, including r</w:t>
      </w:r>
      <w:r w:rsidR="00BE178F">
        <w:t>e</w:t>
      </w:r>
      <w:r w:rsidR="00BE178F">
        <w:noBreakHyphen/>
      </w:r>
      <w:r w:rsidRPr="00527473">
        <w:t>activation</w:t>
      </w:r>
    </w:p>
    <w:p w14:paraId="74848014" w14:textId="77777777" w:rsidR="00A70754" w:rsidRPr="00527473" w:rsidRDefault="00A70754" w:rsidP="00B41473">
      <w:pPr>
        <w:pStyle w:val="Bullet1"/>
      </w:pPr>
      <w:r w:rsidRPr="00527473">
        <w:t>credential verification</w:t>
      </w:r>
      <w:r>
        <w:t>; and</w:t>
      </w:r>
    </w:p>
    <w:p w14:paraId="1A32688B" w14:textId="77777777" w:rsidR="00A70754" w:rsidRPr="00527473" w:rsidRDefault="00A70754" w:rsidP="00B41473">
      <w:pPr>
        <w:pStyle w:val="Bullet1"/>
      </w:pPr>
      <w:r w:rsidRPr="00527473">
        <w:t>authentication event logging.</w:t>
      </w:r>
    </w:p>
    <w:p w14:paraId="1AE157EB" w14:textId="77777777" w:rsidR="00A70754" w:rsidRPr="00527473" w:rsidRDefault="00A70754" w:rsidP="00B41473">
      <w:r w:rsidRPr="00527473">
        <w:t>If reliance is placed on a credential issued by another agency then consideration will have to be given to the strengths and weaknesses of the lifecycle management processes in place within that agency.</w:t>
      </w:r>
    </w:p>
    <w:p w14:paraId="51F6876B" w14:textId="77777777" w:rsidR="00A70754" w:rsidRPr="00527473" w:rsidRDefault="00A70754" w:rsidP="00B41473">
      <w:r w:rsidRPr="00527473">
        <w:t>Table 5 below maps the inherent strength of the credential against the strength of the lifecycle management process.</w:t>
      </w:r>
      <w:r>
        <w:t xml:space="preserve"> </w:t>
      </w:r>
      <w:r w:rsidRPr="00527473">
        <w:t>Note that the assurance levels reflected in the table are indicative only.</w:t>
      </w:r>
    </w:p>
    <w:p w14:paraId="79B604C9" w14:textId="77777777" w:rsidR="00B41473" w:rsidRDefault="00B41473" w:rsidP="00B41473">
      <w:pPr>
        <w:pStyle w:val="Caption"/>
      </w:pPr>
      <w:bookmarkStart w:id="167" w:name="_Toc430770950"/>
      <w:r>
        <w:lastRenderedPageBreak/>
        <w:t xml:space="preserve">Table </w:t>
      </w:r>
      <w:fldSimple w:instr=" SEQ Table \* ARABIC " w:fldLock="1">
        <w:r w:rsidR="00933C42">
          <w:rPr>
            <w:noProof/>
          </w:rPr>
          <w:t>5</w:t>
        </w:r>
      </w:fldSimple>
      <w:r>
        <w:t xml:space="preserve"> </w:t>
      </w:r>
      <w:r w:rsidRPr="00B41473">
        <w:t>Authentication mechanism attributes to meet assurance level</w:t>
      </w:r>
      <w:bookmarkEnd w:id="167"/>
    </w:p>
    <w:p w14:paraId="56E288F5" w14:textId="77777777" w:rsidR="00A70754" w:rsidRDefault="00A70754" w:rsidP="00B41473">
      <w:pPr>
        <w:jc w:val="center"/>
      </w:pPr>
      <w:r>
        <w:rPr>
          <w:noProof/>
          <w:lang w:eastAsia="en-AU"/>
        </w:rPr>
        <w:drawing>
          <wp:inline distT="0" distB="0" distL="0" distR="0" wp14:anchorId="22504366" wp14:editId="7C365F84">
            <wp:extent cx="4747365" cy="2727097"/>
            <wp:effectExtent l="0" t="0" r="0" b="0"/>
            <wp:docPr id="8" name="Picture 8" descr="This matrix shows how the relationship between the strength of credentials and the strength of credential management lead to an assurance level ranging from minimum to low, moderate and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his matrix shows how the relationship between the strength of credentials and the strength of credential management lead to an assurance level ranging from minimum to low, moderate and hig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699" cy="2729586"/>
                    </a:xfrm>
                    <a:prstGeom prst="rect">
                      <a:avLst/>
                    </a:prstGeom>
                    <a:noFill/>
                    <a:ln>
                      <a:noFill/>
                    </a:ln>
                  </pic:spPr>
                </pic:pic>
              </a:graphicData>
            </a:graphic>
          </wp:inline>
        </w:drawing>
      </w:r>
    </w:p>
    <w:p w14:paraId="4BACF53F" w14:textId="77777777" w:rsidR="00A70754" w:rsidRPr="003C27A4" w:rsidRDefault="00A70754" w:rsidP="00B41473">
      <w:pPr>
        <w:pStyle w:val="Heading2"/>
      </w:pPr>
      <w:bookmarkStart w:id="168" w:name="_Toc430770918"/>
      <w:bookmarkStart w:id="169" w:name="_Ref430782766"/>
      <w:r w:rsidRPr="003C27A4">
        <w:t>Step 5: Select an implementation model (see</w:t>
      </w:r>
      <w:r w:rsidR="00B41473">
        <w:t> </w:t>
      </w:r>
      <w:r w:rsidRPr="003C27A4">
        <w:t>Better Practice Guidelines Vol 3)</w:t>
      </w:r>
      <w:bookmarkEnd w:id="168"/>
      <w:bookmarkEnd w:id="169"/>
    </w:p>
    <w:p w14:paraId="45494E59" w14:textId="77777777" w:rsidR="00A70754" w:rsidRDefault="00A70754" w:rsidP="00B41473">
      <w:r w:rsidRPr="003C27A4">
        <w:t xml:space="preserve">A spectrum of </w:t>
      </w:r>
      <w:r w:rsidR="00BE178F">
        <w:t>e</w:t>
      </w:r>
      <w:r w:rsidR="00BE178F">
        <w:noBreakHyphen/>
      </w:r>
      <w:r>
        <w:t>Authentication</w:t>
      </w:r>
      <w:r w:rsidRPr="003C27A4">
        <w:t xml:space="preserve"> implementation approaches are possible, ranging from agency or application-centric approaches to centralised whol</w:t>
      </w:r>
      <w:r w:rsidR="00BE178F">
        <w:t>e</w:t>
      </w:r>
      <w:r w:rsidR="00BE178F">
        <w:noBreakHyphen/>
      </w:r>
      <w:r w:rsidRPr="003C27A4">
        <w:t>of-government or whol</w:t>
      </w:r>
      <w:r w:rsidR="00BE178F">
        <w:t>e</w:t>
      </w:r>
      <w:r w:rsidR="00BE178F">
        <w:noBreakHyphen/>
      </w:r>
      <w:r w:rsidRPr="003C27A4">
        <w:t>of-sector schemes.</w:t>
      </w:r>
    </w:p>
    <w:p w14:paraId="284F8BB8" w14:textId="77777777" w:rsidR="00A70754" w:rsidRPr="003C27A4" w:rsidRDefault="00A70754" w:rsidP="00B41473">
      <w:r w:rsidRPr="003C27A4">
        <w:t>This requires agencies to determine whether and how the models/schemes will fit with the:</w:t>
      </w:r>
    </w:p>
    <w:p w14:paraId="0EAFCE17" w14:textId="2EB752D2" w:rsidR="00A70754" w:rsidRPr="003C27A4" w:rsidRDefault="00A70754" w:rsidP="00B41473">
      <w:pPr>
        <w:pStyle w:val="Bullet1"/>
      </w:pPr>
      <w:r w:rsidRPr="003C27A4">
        <w:t xml:space="preserve">assurance levels determined in </w:t>
      </w:r>
      <w:r w:rsidR="00D05D05">
        <w:fldChar w:fldCharType="begin" w:fldLock="1"/>
      </w:r>
      <w:r w:rsidR="00D05D05">
        <w:instrText xml:space="preserve"> REF _Ref430782561 \h </w:instrText>
      </w:r>
      <w:r w:rsidR="00D05D05">
        <w:fldChar w:fldCharType="separate"/>
      </w:r>
      <w:r w:rsidR="000365F3">
        <w:t>Step 2</w:t>
      </w:r>
      <w:r w:rsidR="00D05D05">
        <w:fldChar w:fldCharType="end"/>
      </w:r>
      <w:r w:rsidR="00D05D05">
        <w:t xml:space="preserve"> </w:t>
      </w:r>
      <w:r w:rsidRPr="003C27A4">
        <w:t>(above)</w:t>
      </w:r>
    </w:p>
    <w:p w14:paraId="0981FD55" w14:textId="7FFDF07D" w:rsidR="00A70754" w:rsidRPr="003C27A4" w:rsidRDefault="00A70754" w:rsidP="000365F3">
      <w:pPr>
        <w:pStyle w:val="Bullet1"/>
      </w:pPr>
      <w:r w:rsidRPr="003C27A4">
        <w:t xml:space="preserve">registration approach/s determined in </w:t>
      </w:r>
      <w:r w:rsidR="00D05D05">
        <w:fldChar w:fldCharType="begin" w:fldLock="1"/>
      </w:r>
      <w:r w:rsidR="00D05D05">
        <w:instrText xml:space="preserve"> REF _Ref430782576 \h </w:instrText>
      </w:r>
      <w:r w:rsidR="00D05D05">
        <w:fldChar w:fldCharType="separate"/>
      </w:r>
      <w:r w:rsidR="00933C42" w:rsidRPr="003C27A4">
        <w:t>Step 3</w:t>
      </w:r>
      <w:r w:rsidR="00D05D05">
        <w:fldChar w:fldCharType="end"/>
      </w:r>
      <w:r w:rsidRPr="003C27A4">
        <w:t xml:space="preserve"> (above)</w:t>
      </w:r>
      <w:r>
        <w:t>; and</w:t>
      </w:r>
    </w:p>
    <w:p w14:paraId="5AE06977" w14:textId="4C695340" w:rsidR="00A70754" w:rsidRPr="003C27A4" w:rsidRDefault="00BE178F" w:rsidP="00B41473">
      <w:pPr>
        <w:pStyle w:val="Bullet1"/>
      </w:pPr>
      <w:r>
        <w:t>e</w:t>
      </w:r>
      <w:r>
        <w:noBreakHyphen/>
      </w:r>
      <w:r w:rsidR="00A70754">
        <w:t>A</w:t>
      </w:r>
      <w:r w:rsidR="00A70754" w:rsidRPr="003C27A4">
        <w:t xml:space="preserve">uthentication credential and credential management solutions identified in </w:t>
      </w:r>
      <w:r w:rsidR="00D05D05">
        <w:fldChar w:fldCharType="begin" w:fldLock="1"/>
      </w:r>
      <w:r w:rsidR="00D05D05">
        <w:instrText xml:space="preserve"> REF _Ref430782588 \h </w:instrText>
      </w:r>
      <w:r w:rsidR="00D05D05">
        <w:fldChar w:fldCharType="separate"/>
      </w:r>
      <w:r w:rsidR="000365F3">
        <w:t>Step 4</w:t>
      </w:r>
      <w:r w:rsidR="00D05D05">
        <w:fldChar w:fldCharType="end"/>
      </w:r>
      <w:r w:rsidR="00D05D05">
        <w:t xml:space="preserve"> </w:t>
      </w:r>
      <w:r w:rsidR="00A70754" w:rsidRPr="003C27A4">
        <w:t>(above).</w:t>
      </w:r>
    </w:p>
    <w:p w14:paraId="6E3ACDEC" w14:textId="77777777" w:rsidR="00A70754" w:rsidRDefault="00A70754" w:rsidP="00B41473">
      <w:r w:rsidRPr="003C27A4">
        <w:t>This step should also consider the extent to which r</w:t>
      </w:r>
      <w:r w:rsidR="00BE178F">
        <w:t>e</w:t>
      </w:r>
      <w:r w:rsidR="00BE178F">
        <w:noBreakHyphen/>
      </w:r>
      <w:r w:rsidRPr="003C27A4">
        <w:t>use of existing credentials and infrastructure is appropriate for the agency’s particular requirements</w:t>
      </w:r>
    </w:p>
    <w:p w14:paraId="60FAD2D0" w14:textId="63E0DA3A" w:rsidR="00A70754" w:rsidRPr="003C27A4" w:rsidRDefault="00A70754" w:rsidP="00B41473">
      <w:r w:rsidRPr="003C27A4">
        <w:t>This step should also include consideration of the use of intermediating trust-broker services (e.g.</w:t>
      </w:r>
      <w:r w:rsidR="00061CE2">
        <w:t> </w:t>
      </w:r>
      <w:proofErr w:type="spellStart"/>
      <w:r w:rsidRPr="003C27A4">
        <w:t>VANguard</w:t>
      </w:r>
      <w:proofErr w:type="spellEnd"/>
      <w:r w:rsidRPr="003C27A4">
        <w:t xml:space="preserve">, see </w:t>
      </w:r>
      <w:r w:rsidR="00D05D05">
        <w:fldChar w:fldCharType="begin" w:fldLock="1"/>
      </w:r>
      <w:r w:rsidR="00D05D05">
        <w:instrText xml:space="preserve"> REF _Ref430782619 \h </w:instrText>
      </w:r>
      <w:r w:rsidR="00D05D05">
        <w:fldChar w:fldCharType="separate"/>
      </w:r>
      <w:r w:rsidR="000365F3">
        <w:t>Appendix C</w:t>
      </w:r>
      <w:r w:rsidR="00D05D05">
        <w:fldChar w:fldCharType="end"/>
      </w:r>
      <w:r w:rsidRPr="003C27A4">
        <w:t>).</w:t>
      </w:r>
    </w:p>
    <w:p w14:paraId="11766DFA" w14:textId="77777777" w:rsidR="00A70754" w:rsidRDefault="00A70754" w:rsidP="00B41473">
      <w:r w:rsidRPr="003C27A4">
        <w:t>Authentication implementation models are differentiated by a range of factors, including functional distribution across participants, privacy environments, legal frameworks and governance models.</w:t>
      </w:r>
    </w:p>
    <w:p w14:paraId="0765BF54" w14:textId="77777777" w:rsidR="00A70754" w:rsidRPr="00B41473" w:rsidRDefault="00A70754" w:rsidP="00B41473">
      <w:pPr>
        <w:pStyle w:val="Heading3"/>
      </w:pPr>
      <w:r w:rsidRPr="00B41473">
        <w:t>Emerging implementation contexts and service delivery models</w:t>
      </w:r>
    </w:p>
    <w:p w14:paraId="6569B322" w14:textId="77777777" w:rsidR="00A70754" w:rsidRPr="003C27A4" w:rsidRDefault="00BE178F" w:rsidP="00B41473">
      <w:r>
        <w:t>e</w:t>
      </w:r>
      <w:r>
        <w:noBreakHyphen/>
      </w:r>
      <w:r w:rsidR="00A70754" w:rsidRPr="003C27A4">
        <w:t>Authentication</w:t>
      </w:r>
      <w:r w:rsidR="00A70754">
        <w:t xml:space="preserve"> </w:t>
      </w:r>
      <w:r w:rsidR="00A70754" w:rsidRPr="003C27A4">
        <w:t>implementation models are required to address the emerging needs of a range of government service delivery models that are aimed at:</w:t>
      </w:r>
    </w:p>
    <w:p w14:paraId="230A1358" w14:textId="77777777" w:rsidR="00A70754" w:rsidRPr="003C27A4" w:rsidRDefault="00A70754" w:rsidP="00B41473">
      <w:pPr>
        <w:pStyle w:val="Bullet1"/>
      </w:pPr>
      <w:r w:rsidRPr="003C27A4">
        <w:t xml:space="preserve">enabling increased user-centricity – allowing users greater choice in relation to the number of </w:t>
      </w:r>
      <w:r w:rsidR="00BE178F">
        <w:t>e</w:t>
      </w:r>
      <w:r w:rsidR="00BE178F">
        <w:noBreakHyphen/>
      </w:r>
      <w:r>
        <w:t>Authentication</w:t>
      </w:r>
      <w:r w:rsidRPr="003C27A4">
        <w:t xml:space="preserve"> credentials they choose to hold and (subject to agency requirements) how they choose to use these credentials</w:t>
      </w:r>
    </w:p>
    <w:p w14:paraId="5494D156" w14:textId="77777777" w:rsidR="00A70754" w:rsidRDefault="00A70754" w:rsidP="00B41473">
      <w:pPr>
        <w:pStyle w:val="Bullet1"/>
      </w:pPr>
      <w:r w:rsidRPr="003C27A4">
        <w:t>efficiency improvements in the delivery of government services electronically through r</w:t>
      </w:r>
      <w:r w:rsidR="00BE178F">
        <w:t>e</w:t>
      </w:r>
      <w:r w:rsidR="00BE178F">
        <w:noBreakHyphen/>
      </w:r>
      <w:r w:rsidRPr="003C27A4">
        <w:t>use of core infrastructure</w:t>
      </w:r>
    </w:p>
    <w:p w14:paraId="6C2FBD30" w14:textId="77777777" w:rsidR="00A70754" w:rsidRPr="003C27A4" w:rsidRDefault="00A70754" w:rsidP="00B41473">
      <w:pPr>
        <w:pStyle w:val="Bullet1"/>
      </w:pPr>
      <w:r w:rsidRPr="003C27A4">
        <w:t>promoting agencies’ abilities to implement a risk-based approach to user authentication</w:t>
      </w:r>
      <w:r>
        <w:t>; and</w:t>
      </w:r>
    </w:p>
    <w:p w14:paraId="7E79B852" w14:textId="77777777" w:rsidR="00A70754" w:rsidRPr="003C27A4" w:rsidRDefault="00A70754" w:rsidP="00B41473">
      <w:pPr>
        <w:pStyle w:val="Bullet1"/>
      </w:pPr>
      <w:r w:rsidRPr="003C27A4">
        <w:t>decreasing users’ need for awareness of the distribution of various business support functions across government agencies, and changes in this distribution over time.</w:t>
      </w:r>
    </w:p>
    <w:p w14:paraId="1EA1128F" w14:textId="77777777" w:rsidR="00A70754" w:rsidRPr="00B41473" w:rsidRDefault="00A70754" w:rsidP="00B41473">
      <w:pPr>
        <w:pStyle w:val="Heading3"/>
      </w:pPr>
      <w:r w:rsidRPr="00B41473">
        <w:lastRenderedPageBreak/>
        <w:t>NeAF and implementation models</w:t>
      </w:r>
    </w:p>
    <w:p w14:paraId="2451B9AA" w14:textId="77777777" w:rsidR="00A70754" w:rsidRDefault="00A70754" w:rsidP="00B41473">
      <w:r w:rsidRPr="003C27A4">
        <w:t xml:space="preserve">The application of the NeAF principles across government will result in the broad alignment of </w:t>
      </w:r>
      <w:r w:rsidR="00BE178F">
        <w:t>e</w:t>
      </w:r>
      <w:r w:rsidR="00BE178F">
        <w:noBreakHyphen/>
      </w:r>
      <w:r>
        <w:t>Authentication</w:t>
      </w:r>
      <w:r w:rsidRPr="003C27A4">
        <w:t xml:space="preserve"> approaches. This will provide consistency across participating agencies of:</w:t>
      </w:r>
    </w:p>
    <w:p w14:paraId="6E4C6DB2" w14:textId="77777777" w:rsidR="00A70754" w:rsidRPr="003C27A4" w:rsidRDefault="00A70754" w:rsidP="00B41473">
      <w:pPr>
        <w:pStyle w:val="Bullet1"/>
      </w:pPr>
      <w:r w:rsidRPr="003C27A4">
        <w:t>the treatment of application assurance needs and associated authentication risk mitigation approaches across agencies</w:t>
      </w:r>
    </w:p>
    <w:p w14:paraId="051935B0" w14:textId="77777777" w:rsidR="00A70754" w:rsidRPr="003C27A4" w:rsidRDefault="00A70754" w:rsidP="00B41473">
      <w:pPr>
        <w:pStyle w:val="Bullet1"/>
      </w:pPr>
      <w:r w:rsidRPr="003C27A4">
        <w:t>implementation of end-user registration and credential-provisioning processes, for various assurance levels across agencies and across user segments</w:t>
      </w:r>
      <w:r>
        <w:t>; and</w:t>
      </w:r>
    </w:p>
    <w:p w14:paraId="332D4355" w14:textId="77777777" w:rsidR="00A70754" w:rsidRPr="003C27A4" w:rsidRDefault="00A70754" w:rsidP="00B41473">
      <w:pPr>
        <w:pStyle w:val="Bullet1"/>
      </w:pPr>
      <w:r w:rsidRPr="003C27A4">
        <w:t xml:space="preserve">selection and utilisation of </w:t>
      </w:r>
      <w:r w:rsidR="00BE178F">
        <w:t>e</w:t>
      </w:r>
      <w:r w:rsidR="00BE178F">
        <w:noBreakHyphen/>
      </w:r>
      <w:r>
        <w:t>Authentication</w:t>
      </w:r>
      <w:r w:rsidRPr="003C27A4">
        <w:t xml:space="preserve"> credentials and </w:t>
      </w:r>
      <w:r w:rsidR="00BE178F">
        <w:t>e</w:t>
      </w:r>
      <w:r w:rsidR="00BE178F">
        <w:noBreakHyphen/>
      </w:r>
      <w:r>
        <w:t>Authentication</w:t>
      </w:r>
      <w:r w:rsidRPr="003C27A4">
        <w:t xml:space="preserve"> mechanisms for various assurance levels as required by application systems.</w:t>
      </w:r>
    </w:p>
    <w:p w14:paraId="6A7CD5AA" w14:textId="77777777" w:rsidR="00A70754" w:rsidRPr="003C27A4" w:rsidRDefault="00A70754" w:rsidP="00B41473">
      <w:r w:rsidRPr="003C27A4">
        <w:t xml:space="preserve">Consistency of approach and implementation will open up opportunities for cross-agency </w:t>
      </w:r>
      <w:r w:rsidR="00BE178F">
        <w:t>e</w:t>
      </w:r>
      <w:r w:rsidR="00BE178F">
        <w:noBreakHyphen/>
      </w:r>
      <w:r>
        <w:t>Authentication</w:t>
      </w:r>
      <w:r w:rsidRPr="003C27A4">
        <w:t xml:space="preserve"> “schemes” to provide more convenient outcomes for individuals and businesses and</w:t>
      </w:r>
      <w:r w:rsidR="00061CE2">
        <w:t> </w:t>
      </w:r>
      <w:r w:rsidRPr="003C27A4">
        <w:t>more effective utilisation of resources by participating agencies.</w:t>
      </w:r>
    </w:p>
    <w:p w14:paraId="521DC707" w14:textId="77777777" w:rsidR="00A70754" w:rsidRPr="00B41473" w:rsidRDefault="00A70754" w:rsidP="00B41473">
      <w:pPr>
        <w:pStyle w:val="Heading3"/>
      </w:pPr>
      <w:r w:rsidRPr="00B41473">
        <w:t>Identity authentication implementation model components</w:t>
      </w:r>
    </w:p>
    <w:p w14:paraId="5B694370" w14:textId="77777777" w:rsidR="00A70754" w:rsidRPr="003C27A4" w:rsidRDefault="00A70754" w:rsidP="00B41473">
      <w:r w:rsidRPr="003C27A4">
        <w:t>Contemporary identity authentication implementation models are described by and differentiated by a range of factors including:</w:t>
      </w:r>
    </w:p>
    <w:p w14:paraId="704D0F1A" w14:textId="77777777" w:rsidR="00A70754" w:rsidRPr="003C27A4" w:rsidRDefault="00A70754" w:rsidP="00B41473">
      <w:pPr>
        <w:pStyle w:val="Bullet1"/>
      </w:pPr>
      <w:r w:rsidRPr="003C27A4">
        <w:t>the distribution of the authentication-related roles and functions across the various operating participants</w:t>
      </w:r>
    </w:p>
    <w:p w14:paraId="57495C78" w14:textId="77777777" w:rsidR="00A70754" w:rsidRPr="003C27A4" w:rsidRDefault="00A70754" w:rsidP="00B41473">
      <w:pPr>
        <w:pStyle w:val="Bullet1"/>
      </w:pPr>
      <w:r w:rsidRPr="003C27A4">
        <w:t>the treatment of identifiers within the models and the related privacy implications and controls (for example, some models mandate the use of a single identifier linked to the authentication credential to be used for access to all applications and agencies, whereas other models enable discrete application or agency specific identifiers to be linked to a credential)</w:t>
      </w:r>
      <w:r>
        <w:t>; and</w:t>
      </w:r>
    </w:p>
    <w:p w14:paraId="346D4388" w14:textId="77777777" w:rsidR="00A70754" w:rsidRPr="003C27A4" w:rsidRDefault="00A70754" w:rsidP="00B41473">
      <w:pPr>
        <w:pStyle w:val="Bullet1"/>
      </w:pPr>
      <w:r w:rsidRPr="003C27A4">
        <w:t>the legal frameworks and governance regimes which underpin the models.</w:t>
      </w:r>
    </w:p>
    <w:p w14:paraId="5EC48D60" w14:textId="77777777" w:rsidR="00A70754" w:rsidRPr="00B41473" w:rsidRDefault="00A70754" w:rsidP="00B41473">
      <w:pPr>
        <w:pStyle w:val="Heading3"/>
      </w:pPr>
      <w:r w:rsidRPr="00B41473">
        <w:t>Trust-broker services</w:t>
      </w:r>
    </w:p>
    <w:p w14:paraId="357074F7" w14:textId="36B3522A" w:rsidR="00A70754" w:rsidRPr="00E363B8" w:rsidRDefault="00A70754" w:rsidP="00B41473">
      <w:r w:rsidRPr="003C27A4">
        <w:t xml:space="preserve">While both the federated and centralised </w:t>
      </w:r>
      <w:r w:rsidR="00BE178F">
        <w:t>e</w:t>
      </w:r>
      <w:r w:rsidR="00BE178F">
        <w:noBreakHyphen/>
      </w:r>
      <w:r>
        <w:t>Authentication</w:t>
      </w:r>
      <w:r w:rsidRPr="003C27A4">
        <w:t xml:space="preserve"> implementation models may be characterised as providing “trust-broker” services, such services may be </w:t>
      </w:r>
      <w:r w:rsidRPr="00E363B8">
        <w:t>provided independently of the</w:t>
      </w:r>
      <w:r w:rsidR="00061CE2">
        <w:t> </w:t>
      </w:r>
      <w:r w:rsidRPr="00E363B8">
        <w:t xml:space="preserve">implementation model/scheme and may therefore be available as a verifier service between the credential issuer and the relying party (see </w:t>
      </w:r>
      <w:r w:rsidR="00D05D05">
        <w:fldChar w:fldCharType="begin" w:fldLock="1"/>
      </w:r>
      <w:r w:rsidR="00D05D05">
        <w:instrText xml:space="preserve"> REF _Ref430782619 \h </w:instrText>
      </w:r>
      <w:r w:rsidR="00D05D05">
        <w:fldChar w:fldCharType="separate"/>
      </w:r>
      <w:r w:rsidR="000365F3">
        <w:t>Appendix C</w:t>
      </w:r>
      <w:r w:rsidR="00D05D05">
        <w:fldChar w:fldCharType="end"/>
      </w:r>
      <w:r w:rsidRPr="00E363B8">
        <w:t>).</w:t>
      </w:r>
    </w:p>
    <w:p w14:paraId="36440072" w14:textId="77777777" w:rsidR="00A70754" w:rsidRDefault="00A70754" w:rsidP="00B41473">
      <w:pPr>
        <w:pStyle w:val="Heading2"/>
      </w:pPr>
      <w:bookmarkStart w:id="170" w:name="_Toc430770919"/>
      <w:r w:rsidRPr="00E363B8">
        <w:t>Step 6: Assess the business</w:t>
      </w:r>
      <w:r>
        <w:t xml:space="preserve"> case and feasibility of the </w:t>
      </w:r>
      <w:r w:rsidR="00BE178F">
        <w:t>e</w:t>
      </w:r>
      <w:r w:rsidR="00BE178F">
        <w:noBreakHyphen/>
      </w:r>
      <w:r>
        <w:t>A</w:t>
      </w:r>
      <w:r w:rsidRPr="00E363B8">
        <w:t>uthentication model</w:t>
      </w:r>
      <w:bookmarkEnd w:id="170"/>
    </w:p>
    <w:p w14:paraId="69D1F1A6" w14:textId="77777777" w:rsidR="00A70754" w:rsidRPr="00E363B8" w:rsidRDefault="00A70754" w:rsidP="00B41473">
      <w:r w:rsidRPr="00E363B8">
        <w:t xml:space="preserve">This involves using ICT business case guide and tools to model costs and benefits to financially justify the implementation of the </w:t>
      </w:r>
      <w:r w:rsidR="00BE178F">
        <w:t>e</w:t>
      </w:r>
      <w:r w:rsidR="00BE178F">
        <w:noBreakHyphen/>
      </w:r>
      <w:r>
        <w:t>A</w:t>
      </w:r>
      <w:r w:rsidRPr="00E363B8">
        <w:t>uthentication approach.</w:t>
      </w:r>
      <w:r>
        <w:t xml:space="preserve"> </w:t>
      </w:r>
      <w:r w:rsidRPr="00E363B8">
        <w:t>A thre</w:t>
      </w:r>
      <w:r w:rsidR="00BE178F">
        <w:t>e</w:t>
      </w:r>
      <w:r w:rsidR="00BE178F">
        <w:noBreakHyphen/>
      </w:r>
      <w:r w:rsidRPr="00E363B8">
        <w:t>step approach is recommended:</w:t>
      </w:r>
    </w:p>
    <w:p w14:paraId="36305E26" w14:textId="77777777" w:rsidR="00A70754" w:rsidRDefault="00A70754" w:rsidP="000445B6">
      <w:r w:rsidRPr="00E363B8">
        <w:t>Step 1:</w:t>
      </w:r>
      <w:r w:rsidRPr="00E363B8">
        <w:tab/>
        <w:t>Review the environment and identify business need</w:t>
      </w:r>
    </w:p>
    <w:p w14:paraId="7898A068" w14:textId="77777777" w:rsidR="00A70754" w:rsidRPr="00E363B8" w:rsidRDefault="00A70754" w:rsidP="000445B6">
      <w:r w:rsidRPr="00E363B8">
        <w:t>Step 2:</w:t>
      </w:r>
      <w:r>
        <w:tab/>
      </w:r>
      <w:r w:rsidRPr="00E363B8">
        <w:t>Carry out a high-level options analysis</w:t>
      </w:r>
    </w:p>
    <w:p w14:paraId="124EB65C" w14:textId="77777777" w:rsidR="00A70754" w:rsidRPr="00E363B8" w:rsidRDefault="00A70754" w:rsidP="000445B6">
      <w:r w:rsidRPr="00E363B8">
        <w:t>Step 3:</w:t>
      </w:r>
      <w:r w:rsidRPr="00E363B8">
        <w:tab/>
        <w:t>Carry out a detailed options analysis.</w:t>
      </w:r>
    </w:p>
    <w:p w14:paraId="70B6B592" w14:textId="77777777" w:rsidR="00A70754" w:rsidRPr="00E363B8" w:rsidRDefault="00A70754" w:rsidP="000445B6">
      <w:pPr>
        <w:pStyle w:val="Heading2"/>
      </w:pPr>
      <w:bookmarkStart w:id="171" w:name="_Toc430770920"/>
      <w:r w:rsidRPr="00E363B8">
        <w:lastRenderedPageBreak/>
        <w:t xml:space="preserve">Step 7: Review the </w:t>
      </w:r>
      <w:r w:rsidR="00BE178F">
        <w:t>e</w:t>
      </w:r>
      <w:r w:rsidR="00BE178F">
        <w:noBreakHyphen/>
      </w:r>
      <w:r>
        <w:t>A</w:t>
      </w:r>
      <w:r w:rsidRPr="00E363B8">
        <w:t>uthentication solution</w:t>
      </w:r>
      <w:bookmarkEnd w:id="171"/>
    </w:p>
    <w:p w14:paraId="2C608D30" w14:textId="77777777" w:rsidR="00A70754" w:rsidRDefault="00A70754" w:rsidP="00B91B23">
      <w:pPr>
        <w:keepNext/>
      </w:pPr>
      <w:r w:rsidRPr="00E363B8">
        <w:t xml:space="preserve">Once an </w:t>
      </w:r>
      <w:r w:rsidR="00BE178F">
        <w:t>e</w:t>
      </w:r>
      <w:r w:rsidR="00BE178F">
        <w:noBreakHyphen/>
      </w:r>
      <w:r>
        <w:t>Authentication</w:t>
      </w:r>
      <w:r w:rsidRPr="00E363B8">
        <w:t xml:space="preserve"> solution has been selected, it is necessary to validate it.</w:t>
      </w:r>
    </w:p>
    <w:p w14:paraId="0F153AB0" w14:textId="77777777" w:rsidR="00A70754" w:rsidRPr="00E363B8" w:rsidRDefault="00A70754" w:rsidP="00B91B23">
      <w:pPr>
        <w:keepNext/>
      </w:pPr>
      <w:r w:rsidRPr="00E363B8">
        <w:t>Validation should encompass:</w:t>
      </w:r>
    </w:p>
    <w:p w14:paraId="3C793A05" w14:textId="4CA87B9A" w:rsidR="00A70754" w:rsidRPr="00E363B8" w:rsidRDefault="00A70754" w:rsidP="000445B6">
      <w:pPr>
        <w:pStyle w:val="Bullet1"/>
      </w:pPr>
      <w:r w:rsidRPr="00E363B8">
        <w:t>consideration of whether the selected registration approach and authentication me</w:t>
      </w:r>
      <w:r>
        <w:t xml:space="preserve">chanism provide the required </w:t>
      </w:r>
      <w:r w:rsidR="00BE178F">
        <w:t>e</w:t>
      </w:r>
      <w:r w:rsidR="00BE178F">
        <w:noBreakHyphen/>
      </w:r>
      <w:r>
        <w:t>A</w:t>
      </w:r>
      <w:r w:rsidRPr="00E363B8">
        <w:t xml:space="preserve">uthentication assurance level as illustrated in </w:t>
      </w:r>
      <w:r w:rsidR="00D05D05">
        <w:fldChar w:fldCharType="begin" w:fldLock="1"/>
      </w:r>
      <w:r w:rsidR="00D05D05">
        <w:instrText xml:space="preserve"> REF _Ref430782682 \h </w:instrText>
      </w:r>
      <w:r w:rsidR="00D05D05">
        <w:fldChar w:fldCharType="separate"/>
      </w:r>
      <w:r w:rsidR="00933C42">
        <w:t xml:space="preserve">Table </w:t>
      </w:r>
      <w:r w:rsidR="00933C42">
        <w:rPr>
          <w:noProof/>
        </w:rPr>
        <w:t>6</w:t>
      </w:r>
      <w:r w:rsidR="00D05D05">
        <w:fldChar w:fldCharType="end"/>
      </w:r>
      <w:r w:rsidR="00D05D05">
        <w:t xml:space="preserve"> </w:t>
      </w:r>
      <w:r w:rsidRPr="00E363B8">
        <w:t>below</w:t>
      </w:r>
      <w:r>
        <w:t>; and</w:t>
      </w:r>
    </w:p>
    <w:p w14:paraId="11B3A19E" w14:textId="77777777" w:rsidR="00A70754" w:rsidRPr="00E93486" w:rsidRDefault="00A70754" w:rsidP="000445B6">
      <w:pPr>
        <w:pStyle w:val="Bullet1"/>
      </w:pPr>
      <w:r w:rsidRPr="00E93486">
        <w:t xml:space="preserve">consideration of whether the proposed solution meets the 10 principles detailed in Section </w:t>
      </w:r>
      <w:r>
        <w:t>1.8</w:t>
      </w:r>
      <w:r w:rsidRPr="00E93486">
        <w:t xml:space="preserve"> of this document.</w:t>
      </w:r>
    </w:p>
    <w:p w14:paraId="334BEF09" w14:textId="77777777" w:rsidR="00A70754" w:rsidRPr="00E93486" w:rsidRDefault="00A70754" w:rsidP="000445B6">
      <w:r>
        <w:t xml:space="preserve">In addition, where the </w:t>
      </w:r>
      <w:r w:rsidR="00BE178F">
        <w:t>e</w:t>
      </w:r>
      <w:r w:rsidR="00BE178F">
        <w:noBreakHyphen/>
      </w:r>
      <w:r>
        <w:t>A</w:t>
      </w:r>
      <w:r w:rsidRPr="00E93486">
        <w:t>uthentication solution includes the use of a pr</w:t>
      </w:r>
      <w:r w:rsidR="00BE178F">
        <w:t>e</w:t>
      </w:r>
      <w:r w:rsidR="00BE178F">
        <w:noBreakHyphen/>
      </w:r>
      <w:r w:rsidRPr="00E93486">
        <w:t>existing credential it will be necessary to analyse the legal, process, technology and cost issues associated with the necessary implementation and operational model.</w:t>
      </w:r>
    </w:p>
    <w:p w14:paraId="031DEE6F" w14:textId="77777777" w:rsidR="000445B6" w:rsidRDefault="000445B6" w:rsidP="000445B6">
      <w:pPr>
        <w:pStyle w:val="Caption"/>
      </w:pPr>
      <w:bookmarkStart w:id="172" w:name="_Toc430770951"/>
      <w:bookmarkStart w:id="173" w:name="_Ref430782682"/>
      <w:r>
        <w:t xml:space="preserve">Table </w:t>
      </w:r>
      <w:fldSimple w:instr=" SEQ Table \* ARABIC " w:fldLock="1">
        <w:r w:rsidR="00933C42">
          <w:rPr>
            <w:noProof/>
          </w:rPr>
          <w:t>6</w:t>
        </w:r>
      </w:fldSimple>
      <w:r>
        <w:t xml:space="preserve"> </w:t>
      </w:r>
      <w:r w:rsidRPr="000445B6">
        <w:t>NeAF – solution element-mapping for assurance levels</w:t>
      </w:r>
      <w:bookmarkEnd w:id="172"/>
      <w:bookmarkEnd w:id="173"/>
    </w:p>
    <w:p w14:paraId="2E50DAB6" w14:textId="77777777" w:rsidR="00A70754" w:rsidRDefault="00A70754" w:rsidP="000445B6">
      <w:pPr>
        <w:jc w:val="center"/>
      </w:pPr>
      <w:r>
        <w:rPr>
          <w:noProof/>
          <w:lang w:eastAsia="en-AU"/>
        </w:rPr>
        <w:drawing>
          <wp:inline distT="0" distB="0" distL="0" distR="0" wp14:anchorId="4CFB4563" wp14:editId="5EA1B94F">
            <wp:extent cx="5671220" cy="3093928"/>
            <wp:effectExtent l="0" t="0" r="5715" b="0"/>
            <wp:docPr id="7" name="Picture 7" descr="This figure maps the inherent strength of the credential against the strength of the lifecycle management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his figure maps the inherent strength of the credential against the strength of the lifecycle management proces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4824" cy="3101349"/>
                    </a:xfrm>
                    <a:prstGeom prst="rect">
                      <a:avLst/>
                    </a:prstGeom>
                    <a:noFill/>
                    <a:ln>
                      <a:noFill/>
                    </a:ln>
                  </pic:spPr>
                </pic:pic>
              </a:graphicData>
            </a:graphic>
          </wp:inline>
        </w:drawing>
      </w:r>
    </w:p>
    <w:p w14:paraId="6EE34F69" w14:textId="1316A6ED" w:rsidR="00A70754" w:rsidRPr="00DF35D8" w:rsidRDefault="00A70754" w:rsidP="000445B6">
      <w:pPr>
        <w:pStyle w:val="Heading1Numbered"/>
      </w:pPr>
      <w:bookmarkStart w:id="174" w:name="_Toc206064754"/>
      <w:bookmarkStart w:id="175" w:name="_Toc206065823"/>
      <w:bookmarkStart w:id="176" w:name="_Toc206065911"/>
      <w:bookmarkStart w:id="177" w:name="_Toc206065998"/>
      <w:bookmarkStart w:id="178" w:name="_Toc206064757"/>
      <w:bookmarkStart w:id="179" w:name="_Toc206065826"/>
      <w:bookmarkStart w:id="180" w:name="_Toc206065914"/>
      <w:bookmarkStart w:id="181" w:name="_Toc206066001"/>
      <w:bookmarkStart w:id="182" w:name="_Risk_Assessment"/>
      <w:bookmarkStart w:id="183" w:name="_Toc205176103"/>
      <w:bookmarkStart w:id="184" w:name="_Toc205176158"/>
      <w:bookmarkStart w:id="185" w:name="_Toc205176104"/>
      <w:bookmarkStart w:id="186" w:name="_Information_security_classification"/>
      <w:bookmarkStart w:id="187" w:name="_Toc205176111"/>
      <w:bookmarkStart w:id="188" w:name="_Toc205176121"/>
      <w:bookmarkStart w:id="189" w:name="_Toc206064758"/>
      <w:bookmarkStart w:id="190" w:name="_Toc206065827"/>
      <w:bookmarkStart w:id="191" w:name="_Toc206065915"/>
      <w:bookmarkStart w:id="192" w:name="_Toc206066002"/>
      <w:bookmarkStart w:id="193" w:name="_Toc206064759"/>
      <w:bookmarkStart w:id="194" w:name="_Toc206065828"/>
      <w:bookmarkStart w:id="195" w:name="_Toc206065916"/>
      <w:bookmarkStart w:id="196" w:name="_Toc206066003"/>
      <w:bookmarkStart w:id="197" w:name="_Toc189558848"/>
      <w:bookmarkStart w:id="198" w:name="_Toc190518108"/>
      <w:bookmarkStart w:id="199" w:name="_Toc430770921"/>
      <w:bookmarkEnd w:id="142"/>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DF35D8">
        <w:lastRenderedPageBreak/>
        <w:t>Authentication of government websites</w:t>
      </w:r>
      <w:bookmarkEnd w:id="197"/>
      <w:bookmarkEnd w:id="198"/>
      <w:r w:rsidRPr="00DF35D8">
        <w:t xml:space="preserve"> (see Better Practice Guidelines Vol 2)</w:t>
      </w:r>
      <w:bookmarkEnd w:id="199"/>
    </w:p>
    <w:p w14:paraId="216A5114" w14:textId="77777777" w:rsidR="00A70754" w:rsidRPr="00DF35D8" w:rsidRDefault="00A70754" w:rsidP="000445B6">
      <w:pPr>
        <w:pStyle w:val="Heading2Numbered"/>
      </w:pPr>
      <w:bookmarkStart w:id="200" w:name="_Toc430770922"/>
      <w:r w:rsidRPr="00DF35D8">
        <w:t>Rationale</w:t>
      </w:r>
      <w:bookmarkEnd w:id="200"/>
    </w:p>
    <w:p w14:paraId="06B52F55" w14:textId="77777777" w:rsidR="00A70754" w:rsidRDefault="00A70754" w:rsidP="000445B6">
      <w:r w:rsidRPr="00DF35D8">
        <w:t>Authentication of government websites will increase trust levels for individuals and businesses dealing electronically with government.</w:t>
      </w:r>
    </w:p>
    <w:p w14:paraId="6FE572CB" w14:textId="77777777" w:rsidR="00A70754" w:rsidRPr="00DF35D8" w:rsidRDefault="00A70754" w:rsidP="000445B6">
      <w:r w:rsidRPr="00DF35D8">
        <w:t>The capacity to authenticate a government website becomes increasingly important as electronic services are developed using a servic</w:t>
      </w:r>
      <w:r w:rsidR="00BE178F">
        <w:t>e</w:t>
      </w:r>
      <w:r w:rsidR="00BE178F">
        <w:noBreakHyphen/>
      </w:r>
      <w:r w:rsidRPr="00DF35D8">
        <w:t>oriented architecture (SOA) approach, particularly where there is a reliance upon locating and utilising web services through service instance directories.</w:t>
      </w:r>
    </w:p>
    <w:p w14:paraId="5071C850" w14:textId="77777777" w:rsidR="00A70754" w:rsidRPr="00DF35D8" w:rsidRDefault="00A70754" w:rsidP="000445B6">
      <w:pPr>
        <w:pStyle w:val="Heading2Numbered"/>
      </w:pPr>
      <w:bookmarkStart w:id="201" w:name="_Toc430770923"/>
      <w:r w:rsidRPr="00DF35D8">
        <w:t>Website authentication planning principles</w:t>
      </w:r>
      <w:bookmarkEnd w:id="201"/>
    </w:p>
    <w:p w14:paraId="381E7490" w14:textId="270028E2" w:rsidR="00A70754" w:rsidRPr="00D05D05" w:rsidRDefault="00A70754" w:rsidP="000445B6">
      <w:r w:rsidRPr="00D05D05">
        <w:t>The following is adapted from a range of vendor-developed (e.g. Google and Microsoft) position papers submitted to the World Wide Web Consortium (W3C, see &lt;</w:t>
      </w:r>
      <w:hyperlink r:id="rId15" w:tooltip="World Wide Web Consortium website" w:history="1">
        <w:r w:rsidRPr="00D05D05">
          <w:rPr>
            <w:rStyle w:val="Hyperlink"/>
          </w:rPr>
          <w:t>www.w3.org</w:t>
        </w:r>
      </w:hyperlink>
      <w:r w:rsidRPr="00D05D05">
        <w:t>&gt;) and from prior documents developed for AGIMO.</w:t>
      </w:r>
    </w:p>
    <w:p w14:paraId="036A8771" w14:textId="77777777" w:rsidR="00A70754" w:rsidRPr="000445B6" w:rsidRDefault="00A70754" w:rsidP="000445B6">
      <w:pPr>
        <w:rPr>
          <w:rStyle w:val="Strong"/>
        </w:rPr>
      </w:pPr>
      <w:r w:rsidRPr="000445B6">
        <w:rPr>
          <w:rStyle w:val="Strong"/>
        </w:rPr>
        <w:t>Web server authentication</w:t>
      </w:r>
    </w:p>
    <w:p w14:paraId="28DAA656" w14:textId="77777777" w:rsidR="00A70754" w:rsidRPr="00271719" w:rsidRDefault="00A70754" w:rsidP="000445B6">
      <w:r w:rsidRPr="00271719">
        <w:t>A user should authenticate a government website/server, since an unauthenticated website/server can ask for confidential information from the user for unknown purposes.</w:t>
      </w:r>
    </w:p>
    <w:p w14:paraId="672BF221" w14:textId="77777777" w:rsidR="00A70754" w:rsidRPr="000445B6" w:rsidRDefault="00A70754" w:rsidP="000445B6">
      <w:pPr>
        <w:rPr>
          <w:rStyle w:val="Strong"/>
        </w:rPr>
      </w:pPr>
      <w:r w:rsidRPr="000445B6">
        <w:rPr>
          <w:rStyle w:val="Strong"/>
        </w:rPr>
        <w:t>User involvement in website authentication</w:t>
      </w:r>
    </w:p>
    <w:p w14:paraId="1BF4C15E" w14:textId="77777777" w:rsidR="00A70754" w:rsidRDefault="00A70754" w:rsidP="000445B6">
      <w:r w:rsidRPr="00271719">
        <w:t>Many solutions to website authentication rely on user involvement to distinguish between trusted or untrusted sites.</w:t>
      </w:r>
      <w:r>
        <w:t xml:space="preserve"> </w:t>
      </w:r>
      <w:r w:rsidRPr="00271719">
        <w:t>Some users (unsophisticated or unmotivated) cannot be relied upon for this purpose.</w:t>
      </w:r>
    </w:p>
    <w:p w14:paraId="17AB03C6" w14:textId="77777777" w:rsidR="00A70754" w:rsidRPr="00271719" w:rsidRDefault="00A70754" w:rsidP="000445B6">
      <w:r w:rsidRPr="00271719">
        <w:t>Website authentication solutions should extend beyond technology to include user education, and agency detection and prevention initiatives aimed at reducing reliance on user involvement.</w:t>
      </w:r>
      <w:r>
        <w:t xml:space="preserve"> </w:t>
      </w:r>
      <w:r w:rsidRPr="00271719">
        <w:t>(These extensions may be best performed on a government-wide basis.)</w:t>
      </w:r>
    </w:p>
    <w:p w14:paraId="16BC877E" w14:textId="77777777" w:rsidR="00A70754" w:rsidRPr="000445B6" w:rsidRDefault="00A70754" w:rsidP="000445B6">
      <w:pPr>
        <w:rPr>
          <w:rStyle w:val="Strong"/>
        </w:rPr>
      </w:pPr>
      <w:r w:rsidRPr="000445B6">
        <w:rPr>
          <w:rStyle w:val="Strong"/>
        </w:rPr>
        <w:t>Mutual authentication</w:t>
      </w:r>
    </w:p>
    <w:p w14:paraId="59A6A7F7" w14:textId="77777777" w:rsidR="00A70754" w:rsidRDefault="00A70754" w:rsidP="000445B6">
      <w:r w:rsidRPr="00271719">
        <w:t>Where user authentication is required by the government website, website authentication solutions should ideally integrate with user-authentication mechanisms so that users are trained to use a single mutual-authentication mechanism.</w:t>
      </w:r>
    </w:p>
    <w:p w14:paraId="69869B99" w14:textId="77777777" w:rsidR="00A70754" w:rsidRPr="000445B6" w:rsidRDefault="00A70754" w:rsidP="000445B6">
      <w:pPr>
        <w:rPr>
          <w:rStyle w:val="Strong"/>
        </w:rPr>
      </w:pPr>
      <w:r w:rsidRPr="000445B6">
        <w:rPr>
          <w:rStyle w:val="Strong"/>
        </w:rPr>
        <w:t>User credentials</w:t>
      </w:r>
    </w:p>
    <w:p w14:paraId="6C0C39DC" w14:textId="77777777" w:rsidR="00A70754" w:rsidRDefault="00A70754" w:rsidP="000445B6">
      <w:r w:rsidRPr="00271719">
        <w:t>Any user credentials used should be fit for purpose for the website application.</w:t>
      </w:r>
    </w:p>
    <w:p w14:paraId="2C14A1BD" w14:textId="77777777" w:rsidR="00A70754" w:rsidRPr="000445B6" w:rsidRDefault="00A70754" w:rsidP="000445B6">
      <w:pPr>
        <w:rPr>
          <w:rStyle w:val="Strong"/>
        </w:rPr>
      </w:pPr>
      <w:r w:rsidRPr="000445B6">
        <w:rPr>
          <w:rStyle w:val="Strong"/>
        </w:rPr>
        <w:t>Website credentials</w:t>
      </w:r>
    </w:p>
    <w:p w14:paraId="2E8D8A08" w14:textId="77777777" w:rsidR="00A70754" w:rsidRPr="00271719" w:rsidRDefault="00A70754" w:rsidP="000445B6">
      <w:r w:rsidRPr="00271719">
        <w:t>Gatekeeper compliant device certificates should be considered as the base level for any use of digital certificates for identifying government websites.</w:t>
      </w:r>
    </w:p>
    <w:p w14:paraId="06F51B7E" w14:textId="77777777" w:rsidR="00A70754" w:rsidRPr="000445B6" w:rsidRDefault="00A70754" w:rsidP="00B91B23">
      <w:pPr>
        <w:keepNext/>
        <w:rPr>
          <w:rStyle w:val="Strong"/>
        </w:rPr>
      </w:pPr>
      <w:r w:rsidRPr="000445B6">
        <w:rPr>
          <w:rStyle w:val="Strong"/>
        </w:rPr>
        <w:lastRenderedPageBreak/>
        <w:t>Authentication techniques</w:t>
      </w:r>
    </w:p>
    <w:p w14:paraId="042C684D" w14:textId="77777777" w:rsidR="00A70754" w:rsidRPr="00271719" w:rsidRDefault="00A70754" w:rsidP="000445B6">
      <w:r w:rsidRPr="00271719">
        <w:t>The authentication mechanism used should be fit for purpose for the website application.</w:t>
      </w:r>
      <w:r>
        <w:t xml:space="preserve"> </w:t>
      </w:r>
      <w:r w:rsidRPr="00271719">
        <w:t>If a federated model for authentication is adopted, authentication mechanisms may need to reflect the requirements of the website requiring the highest protection.</w:t>
      </w:r>
    </w:p>
    <w:p w14:paraId="36A9F5F0" w14:textId="77777777" w:rsidR="00A70754" w:rsidRPr="000445B6" w:rsidRDefault="00A70754" w:rsidP="000445B6">
      <w:pPr>
        <w:rPr>
          <w:rStyle w:val="Strong"/>
        </w:rPr>
      </w:pPr>
      <w:r w:rsidRPr="000445B6">
        <w:rPr>
          <w:rStyle w:val="Strong"/>
        </w:rPr>
        <w:t>Trusted channels</w:t>
      </w:r>
    </w:p>
    <w:p w14:paraId="314CD939" w14:textId="77777777" w:rsidR="00A70754" w:rsidRPr="00271719" w:rsidRDefault="00A70754" w:rsidP="000445B6">
      <w:r w:rsidRPr="00271719">
        <w:t xml:space="preserve">Use of channels such as SSL/TLS should use a </w:t>
      </w:r>
      <w:smartTag w:uri="urn:schemas-microsoft-com:office:smarttags" w:element="PersonName">
        <w:r>
          <w:t>G</w:t>
        </w:r>
        <w:r w:rsidRPr="00271719">
          <w:t>atekeeper</w:t>
        </w:r>
      </w:smartTag>
      <w:r w:rsidRPr="00271719">
        <w:t>-compliant device certificate at the web server, combined with user training on certificate verification.</w:t>
      </w:r>
      <w:r>
        <w:t xml:space="preserve"> </w:t>
      </w:r>
      <w:r w:rsidRPr="00271719">
        <w:t>In order to protect authenticating credentials against human man-in-th</w:t>
      </w:r>
      <w:r w:rsidR="00BE178F">
        <w:t>e</w:t>
      </w:r>
      <w:r w:rsidR="00BE178F">
        <w:noBreakHyphen/>
      </w:r>
      <w:r w:rsidRPr="00271719">
        <w:t>middle attacks, strong cryptography should be an element of any solution. Trusted user interfaces for authentication should be at least based on a shared secret, communicated out of band, since all user interfaces are spoof</w:t>
      </w:r>
      <w:r>
        <w:t xml:space="preserve"> </w:t>
      </w:r>
      <w:r w:rsidRPr="00271719">
        <w:t xml:space="preserve">able (i.e. where an entity </w:t>
      </w:r>
      <w:r w:rsidRPr="00271719">
        <w:rPr>
          <w:lang w:val="en"/>
        </w:rPr>
        <w:t>successfully masquerades as another by falsifying data and thereby gaining an illegitimate advantage</w:t>
      </w:r>
      <w:r w:rsidRPr="00271719">
        <w:t>).</w:t>
      </w:r>
    </w:p>
    <w:p w14:paraId="6C361BCC" w14:textId="77777777" w:rsidR="00A70754" w:rsidRPr="000445B6" w:rsidRDefault="00A70754" w:rsidP="000445B6">
      <w:pPr>
        <w:rPr>
          <w:rStyle w:val="Strong"/>
        </w:rPr>
      </w:pPr>
      <w:r w:rsidRPr="000445B6">
        <w:rPr>
          <w:rStyle w:val="Strong"/>
        </w:rPr>
        <w:t>Client-side active content</w:t>
      </w:r>
    </w:p>
    <w:p w14:paraId="72D554DF" w14:textId="77777777" w:rsidR="00A70754" w:rsidRPr="00271719" w:rsidRDefault="00A70754" w:rsidP="000445B6">
      <w:r w:rsidRPr="00271719">
        <w:t>The risks and benefits of active content technology on the client-side should be carefully assessed before it is implemented.</w:t>
      </w:r>
      <w:r>
        <w:t xml:space="preserve"> </w:t>
      </w:r>
      <w:r w:rsidRPr="00271719">
        <w:t>User input should be validated at the web server, even if already validated by the active content of the user’s browser.</w:t>
      </w:r>
    </w:p>
    <w:p w14:paraId="7D25E146" w14:textId="77777777" w:rsidR="00A70754" w:rsidRPr="000445B6" w:rsidRDefault="00A70754" w:rsidP="000445B6">
      <w:pPr>
        <w:rPr>
          <w:rStyle w:val="Strong"/>
        </w:rPr>
      </w:pPr>
      <w:r w:rsidRPr="000445B6">
        <w:rPr>
          <w:rStyle w:val="Strong"/>
        </w:rPr>
        <w:t>Website content</w:t>
      </w:r>
    </w:p>
    <w:p w14:paraId="31403AC8" w14:textId="77777777" w:rsidR="00A70754" w:rsidRDefault="00A70754" w:rsidP="000445B6">
      <w:r w:rsidRPr="00271719">
        <w:t>The content published by public government websites should be formally justified (e.g. by the “need to know” of the intended audience), formally approved, and formally managed.</w:t>
      </w:r>
    </w:p>
    <w:p w14:paraId="081BEA58" w14:textId="77777777" w:rsidR="00A70754" w:rsidRPr="00DF35D8" w:rsidRDefault="00A70754" w:rsidP="000445B6">
      <w:pPr>
        <w:pStyle w:val="Heading2Numbered"/>
      </w:pPr>
      <w:bookmarkStart w:id="202" w:name="_Toc189558849"/>
      <w:bookmarkStart w:id="203" w:name="_Toc190518109"/>
      <w:bookmarkStart w:id="204" w:name="_Toc430770924"/>
      <w:r w:rsidRPr="00DF35D8">
        <w:t>Website authentication framework</w:t>
      </w:r>
      <w:bookmarkEnd w:id="202"/>
      <w:bookmarkEnd w:id="203"/>
      <w:bookmarkEnd w:id="204"/>
    </w:p>
    <w:p w14:paraId="31F9E3B9" w14:textId="77777777" w:rsidR="00A70754" w:rsidRPr="00271719" w:rsidRDefault="00A70754" w:rsidP="000445B6">
      <w:r w:rsidRPr="00271719">
        <w:t>The application of the NeAF approach requires that:</w:t>
      </w:r>
    </w:p>
    <w:p w14:paraId="5AA1FB0F" w14:textId="77777777" w:rsidR="00A70754" w:rsidRPr="00271719" w:rsidRDefault="00A70754" w:rsidP="000445B6">
      <w:pPr>
        <w:pStyle w:val="Bullet1"/>
      </w:pPr>
      <w:r>
        <w:t>a</w:t>
      </w:r>
      <w:r w:rsidRPr="00271719">
        <w:t>gencies determine the assertion that the individual or business would be seeking to authenticate.</w:t>
      </w:r>
      <w:r>
        <w:t xml:space="preserve"> </w:t>
      </w:r>
      <w:r w:rsidRPr="00271719">
        <w:t>In most cases this would be the identity of the agency, but other possibilities could include the “role” or “function” of the agency or the authenticity of a particular web-service instance (e.g.</w:t>
      </w:r>
      <w:r w:rsidR="00061CE2">
        <w:t> </w:t>
      </w:r>
      <w:r w:rsidRPr="00271719">
        <w:t xml:space="preserve">“customer eligibility checking” service) </w:t>
      </w:r>
      <w:r>
        <w:t>posted on the agencies’ website</w:t>
      </w:r>
    </w:p>
    <w:p w14:paraId="132959E6" w14:textId="77777777" w:rsidR="00A70754" w:rsidRPr="00271719" w:rsidRDefault="00A70754" w:rsidP="000445B6">
      <w:pPr>
        <w:pStyle w:val="Bullet1"/>
      </w:pPr>
      <w:r>
        <w:t>a</w:t>
      </w:r>
      <w:r w:rsidRPr="00271719">
        <w:t>gencies determine the assurance level required. The tests would apply the amended NeAF criteria, that is:</w:t>
      </w:r>
    </w:p>
    <w:p w14:paraId="346A922A" w14:textId="77777777" w:rsidR="00A70754" w:rsidRPr="00271719" w:rsidRDefault="00A70754" w:rsidP="000445B6">
      <w:pPr>
        <w:pStyle w:val="Bullet2"/>
      </w:pPr>
      <w:r w:rsidRPr="00271719">
        <w:t>degree of inconvenience to any party</w:t>
      </w:r>
    </w:p>
    <w:p w14:paraId="77762547" w14:textId="77777777" w:rsidR="00A70754" w:rsidRPr="00271719" w:rsidRDefault="00A70754" w:rsidP="000445B6">
      <w:pPr>
        <w:pStyle w:val="Bullet2"/>
      </w:pPr>
      <w:r w:rsidRPr="00271719">
        <w:t>degree of risk to any party’s personal safety</w:t>
      </w:r>
    </w:p>
    <w:p w14:paraId="0A8114B3" w14:textId="77777777" w:rsidR="00A70754" w:rsidRPr="00271719" w:rsidRDefault="00A70754" w:rsidP="000445B6">
      <w:pPr>
        <w:pStyle w:val="Bullet2"/>
      </w:pPr>
      <w:r w:rsidRPr="00271719">
        <w:t>possibility of releasing of personally or commercially sensitive data to third parties</w:t>
      </w:r>
    </w:p>
    <w:p w14:paraId="1503CCE7" w14:textId="77777777" w:rsidR="00A70754" w:rsidRPr="00271719" w:rsidRDefault="00A70754" w:rsidP="000445B6">
      <w:pPr>
        <w:pStyle w:val="Bullet2"/>
      </w:pPr>
      <w:r w:rsidRPr="00271719">
        <w:t>degree of financial loss to any party</w:t>
      </w:r>
    </w:p>
    <w:p w14:paraId="4DD88465" w14:textId="77777777" w:rsidR="00A70754" w:rsidRPr="00271719" w:rsidRDefault="00A70754" w:rsidP="000445B6">
      <w:pPr>
        <w:pStyle w:val="Bullet2"/>
      </w:pPr>
      <w:r w:rsidRPr="00271719">
        <w:t>degree of damage to any party’s standing or reputation</w:t>
      </w:r>
    </w:p>
    <w:p w14:paraId="065C05AA" w14:textId="77777777" w:rsidR="00A70754" w:rsidRPr="00271719" w:rsidRDefault="00A70754" w:rsidP="000445B6">
      <w:pPr>
        <w:pStyle w:val="Bullet2"/>
      </w:pPr>
      <w:r w:rsidRPr="00271719">
        <w:t>degree of distress being caused to any party</w:t>
      </w:r>
    </w:p>
    <w:p w14:paraId="1351FE9C" w14:textId="77777777" w:rsidR="00A70754" w:rsidRPr="00271719" w:rsidRDefault="00A70754" w:rsidP="000445B6">
      <w:pPr>
        <w:pStyle w:val="Bullet2"/>
      </w:pPr>
      <w:r w:rsidRPr="00271719">
        <w:t>extent of threat to government agencies’ systems or capacity to conduct business</w:t>
      </w:r>
    </w:p>
    <w:p w14:paraId="4BA174D2" w14:textId="77777777" w:rsidR="00A70754" w:rsidRPr="00271719" w:rsidRDefault="00A70754" w:rsidP="000445B6">
      <w:pPr>
        <w:pStyle w:val="Bullet2"/>
      </w:pPr>
      <w:r w:rsidRPr="00271719">
        <w:t>whether this would assist a crime or hinder its detection</w:t>
      </w:r>
    </w:p>
    <w:p w14:paraId="0C0B8771" w14:textId="77777777" w:rsidR="00A70754" w:rsidRDefault="00A70754" w:rsidP="000445B6">
      <w:pPr>
        <w:pStyle w:val="Bullet2"/>
      </w:pPr>
      <w:r w:rsidRPr="00271719">
        <w:t>extent of threat to government classified information and related assets.</w:t>
      </w:r>
    </w:p>
    <w:p w14:paraId="3157A3C9" w14:textId="77777777" w:rsidR="00A70754" w:rsidRPr="00271719" w:rsidRDefault="00A70754" w:rsidP="000445B6">
      <w:pPr>
        <w:pStyle w:val="Bullet1"/>
      </w:pPr>
      <w:r>
        <w:t>a</w:t>
      </w:r>
      <w:r w:rsidRPr="00271719">
        <w:t xml:space="preserve">gencies determine the </w:t>
      </w:r>
      <w:r>
        <w:t>website authentication approach</w:t>
      </w:r>
    </w:p>
    <w:p w14:paraId="0A333688" w14:textId="77777777" w:rsidR="00A70754" w:rsidRPr="00271719" w:rsidRDefault="00A70754" w:rsidP="000445B6">
      <w:pPr>
        <w:pStyle w:val="Bullet1"/>
      </w:pPr>
      <w:r>
        <w:t>a</w:t>
      </w:r>
      <w:r w:rsidRPr="00271719">
        <w:t>gencies assess the privacy and public policy implic</w:t>
      </w:r>
      <w:r>
        <w:t>ations of the proposed approach</w:t>
      </w:r>
    </w:p>
    <w:p w14:paraId="69BFB115" w14:textId="77777777" w:rsidR="00A70754" w:rsidRPr="00271719" w:rsidRDefault="00A70754" w:rsidP="000445B6">
      <w:pPr>
        <w:pStyle w:val="Bullet1"/>
      </w:pPr>
      <w:r>
        <w:t>a</w:t>
      </w:r>
      <w:r w:rsidRPr="00271719">
        <w:t>gencies assess the business case and other feasibility issues associ</w:t>
      </w:r>
      <w:r>
        <w:t>ated with the proposed approach; and</w:t>
      </w:r>
    </w:p>
    <w:p w14:paraId="79F95CE0" w14:textId="25C06B01" w:rsidR="00A70754" w:rsidRPr="00271719" w:rsidRDefault="00A70754" w:rsidP="00F415A3">
      <w:pPr>
        <w:pStyle w:val="Bullet1"/>
      </w:pPr>
      <w:r>
        <w:t>a</w:t>
      </w:r>
      <w:r w:rsidRPr="00271719">
        <w:t xml:space="preserve">gencies revisit </w:t>
      </w:r>
      <w:r w:rsidR="008963A9">
        <w:fldChar w:fldCharType="begin" w:fldLock="1"/>
      </w:r>
      <w:r w:rsidR="008963A9">
        <w:instrText xml:space="preserve"> REF _Ref436730492 \h </w:instrText>
      </w:r>
      <w:r w:rsidR="008963A9">
        <w:fldChar w:fldCharType="separate"/>
      </w:r>
      <w:r w:rsidR="008963A9">
        <w:t>Step 3</w:t>
      </w:r>
      <w:r w:rsidR="008963A9">
        <w:fldChar w:fldCharType="end"/>
      </w:r>
      <w:r w:rsidR="00AE7A40">
        <w:t xml:space="preserve"> </w:t>
      </w:r>
      <w:r w:rsidRPr="00271719">
        <w:t xml:space="preserve">(above), based upon the results of </w:t>
      </w:r>
      <w:r w:rsidR="00D05D05">
        <w:fldChar w:fldCharType="begin" w:fldLock="1"/>
      </w:r>
      <w:r w:rsidR="00D05D05">
        <w:instrText xml:space="preserve"> REF _Ref430782755 \h </w:instrText>
      </w:r>
      <w:r w:rsidR="00D05D05">
        <w:fldChar w:fldCharType="separate"/>
      </w:r>
      <w:r w:rsidR="00F415A3">
        <w:t>Step 4</w:t>
      </w:r>
      <w:r w:rsidR="00D05D05">
        <w:fldChar w:fldCharType="end"/>
      </w:r>
      <w:r w:rsidR="00D05D05">
        <w:t xml:space="preserve"> </w:t>
      </w:r>
      <w:r w:rsidRPr="00271719">
        <w:t xml:space="preserve">and/or </w:t>
      </w:r>
      <w:r w:rsidR="00D05D05">
        <w:fldChar w:fldCharType="begin" w:fldLock="1"/>
      </w:r>
      <w:r w:rsidR="00D05D05">
        <w:instrText xml:space="preserve"> REF _Ref430782766 \h </w:instrText>
      </w:r>
      <w:r w:rsidR="00D05D05">
        <w:fldChar w:fldCharType="separate"/>
      </w:r>
      <w:r w:rsidR="000365F3">
        <w:t>Step 5</w:t>
      </w:r>
      <w:r w:rsidR="00D05D05">
        <w:fldChar w:fldCharType="end"/>
      </w:r>
      <w:r w:rsidRPr="00271719">
        <w:t>.</w:t>
      </w:r>
    </w:p>
    <w:p w14:paraId="6E6CECF1" w14:textId="77777777" w:rsidR="00A70754" w:rsidRPr="00DF35D8" w:rsidRDefault="00A70754" w:rsidP="000445B6">
      <w:pPr>
        <w:pStyle w:val="Heading1Numbered"/>
      </w:pPr>
      <w:bookmarkStart w:id="205" w:name="_Toc430770925"/>
      <w:r w:rsidRPr="00DF35D8">
        <w:lastRenderedPageBreak/>
        <w:t>Roles and responsibilities</w:t>
      </w:r>
      <w:bookmarkEnd w:id="205"/>
    </w:p>
    <w:p w14:paraId="63CAC539" w14:textId="77777777" w:rsidR="00A70754" w:rsidRPr="00DF35D8" w:rsidRDefault="00A70754" w:rsidP="000445B6">
      <w:r w:rsidRPr="00DF35D8">
        <w:t xml:space="preserve">Technical solutions alone will generally not be enough to satisfy practical </w:t>
      </w:r>
      <w:r w:rsidR="00BE178F">
        <w:t>e</w:t>
      </w:r>
      <w:r w:rsidR="00BE178F">
        <w:noBreakHyphen/>
      </w:r>
      <w:r w:rsidRPr="00DF35D8">
        <w:t>Authentication requirements.</w:t>
      </w:r>
      <w:r>
        <w:t xml:space="preserve"> </w:t>
      </w:r>
      <w:r w:rsidR="00BE178F">
        <w:t>e</w:t>
      </w:r>
      <w:r w:rsidR="00BE178F">
        <w:noBreakHyphen/>
      </w:r>
      <w:r w:rsidRPr="00DF35D8">
        <w:t>Authentication also involves management, business processes and cultural issues.</w:t>
      </w:r>
    </w:p>
    <w:p w14:paraId="74FCF64B" w14:textId="77777777" w:rsidR="00A70754" w:rsidRPr="00DF35D8" w:rsidRDefault="00A70754" w:rsidP="000445B6">
      <w:r w:rsidRPr="00DF35D8">
        <w:t xml:space="preserve">Any </w:t>
      </w:r>
      <w:r w:rsidR="00BE178F">
        <w:t>e</w:t>
      </w:r>
      <w:r w:rsidR="00BE178F">
        <w:noBreakHyphen/>
      </w:r>
      <w:r w:rsidRPr="00DF35D8">
        <w:t xml:space="preserve">Authentication solution will need to be supported by procedures that clearly define the responsibilities of the individual entities conducting online transactions. Management will need to promote an organisational culture that encourages awareness of </w:t>
      </w:r>
      <w:r w:rsidR="00BE178F">
        <w:t>e</w:t>
      </w:r>
      <w:r w:rsidR="00BE178F">
        <w:noBreakHyphen/>
      </w:r>
      <w:r w:rsidRPr="00DF35D8">
        <w:t>Authentication as well as the development of good practices as a business priority.</w:t>
      </w:r>
    </w:p>
    <w:p w14:paraId="27818C3D" w14:textId="77777777" w:rsidR="00A70754" w:rsidRPr="00DF35D8" w:rsidRDefault="00A70754" w:rsidP="000445B6">
      <w:pPr>
        <w:pStyle w:val="Heading2Numbered"/>
      </w:pPr>
      <w:bookmarkStart w:id="206" w:name="_Toc430770926"/>
      <w:r w:rsidRPr="00DF35D8">
        <w:t>Government roles and responsibilities</w:t>
      </w:r>
      <w:bookmarkEnd w:id="206"/>
    </w:p>
    <w:p w14:paraId="2FEDD6B4" w14:textId="77777777" w:rsidR="00A70754" w:rsidRPr="00DF35D8" w:rsidRDefault="00A70754" w:rsidP="000445B6">
      <w:r w:rsidRPr="00DF35D8">
        <w:t>Government agencies will, consistent with the principles that underpin the</w:t>
      </w:r>
      <w:r w:rsidRPr="00DF35D8" w:rsidDel="00CB1A07">
        <w:t xml:space="preserve"> NeAF</w:t>
      </w:r>
      <w:r w:rsidRPr="00DF35D8">
        <w:t>:</w:t>
      </w:r>
    </w:p>
    <w:p w14:paraId="5252895D" w14:textId="77777777" w:rsidR="00A70754" w:rsidRPr="00DF35D8" w:rsidRDefault="00A70754" w:rsidP="000445B6">
      <w:pPr>
        <w:pStyle w:val="Bullet1"/>
      </w:pPr>
      <w:r w:rsidRPr="00DF35D8">
        <w:t>consider the needs and expectations of individuals and businesses</w:t>
      </w:r>
    </w:p>
    <w:p w14:paraId="436C83AF" w14:textId="77777777" w:rsidR="00A70754" w:rsidRPr="00DF35D8" w:rsidRDefault="00A70754" w:rsidP="000445B6">
      <w:pPr>
        <w:pStyle w:val="Bullet1"/>
      </w:pPr>
      <w:r w:rsidRPr="00DF35D8">
        <w:t>provide appropriate education and awareness services to end users</w:t>
      </w:r>
    </w:p>
    <w:p w14:paraId="3504B4AE" w14:textId="77777777" w:rsidR="00A70754" w:rsidRPr="00DF35D8" w:rsidRDefault="00A70754" w:rsidP="000445B6">
      <w:pPr>
        <w:pStyle w:val="Bullet1"/>
      </w:pPr>
      <w:r w:rsidRPr="00DF35D8">
        <w:t xml:space="preserve">provide leadership in </w:t>
      </w:r>
      <w:r w:rsidR="00BE178F">
        <w:t>e</w:t>
      </w:r>
      <w:r w:rsidR="00BE178F">
        <w:noBreakHyphen/>
      </w:r>
      <w:r w:rsidRPr="00DF35D8">
        <w:t>Authentication practices</w:t>
      </w:r>
    </w:p>
    <w:p w14:paraId="10944477" w14:textId="77777777" w:rsidR="00A70754" w:rsidRPr="00DF35D8" w:rsidRDefault="00A70754" w:rsidP="000445B6">
      <w:pPr>
        <w:pStyle w:val="Bullet1"/>
      </w:pPr>
      <w:r w:rsidRPr="00DF35D8">
        <w:t>deliver efficient and useful services online</w:t>
      </w:r>
    </w:p>
    <w:p w14:paraId="23134720" w14:textId="77777777" w:rsidR="00A70754" w:rsidRPr="00DF35D8" w:rsidRDefault="00A70754" w:rsidP="000445B6">
      <w:pPr>
        <w:pStyle w:val="Bullet1"/>
      </w:pPr>
      <w:r w:rsidRPr="00DF35D8">
        <w:t>ensure continuing reliability and quality of services</w:t>
      </w:r>
    </w:p>
    <w:p w14:paraId="359C4B73" w14:textId="77777777" w:rsidR="00A70754" w:rsidRPr="00DF35D8" w:rsidRDefault="00A70754" w:rsidP="000445B6">
      <w:pPr>
        <w:pStyle w:val="Bullet1"/>
      </w:pPr>
      <w:r w:rsidRPr="00DF35D8">
        <w:t>manage the permissions of users who conduct transactions with government</w:t>
      </w:r>
    </w:p>
    <w:p w14:paraId="480756CA" w14:textId="77777777" w:rsidR="00A70754" w:rsidRPr="00DF35D8" w:rsidRDefault="00A70754" w:rsidP="000445B6">
      <w:pPr>
        <w:pStyle w:val="Bullet1"/>
      </w:pPr>
      <w:r w:rsidRPr="00DF35D8">
        <w:t xml:space="preserve">apply appropriate </w:t>
      </w:r>
      <w:r w:rsidR="00BE178F">
        <w:t>e</w:t>
      </w:r>
      <w:r w:rsidR="00BE178F">
        <w:noBreakHyphen/>
      </w:r>
      <w:r w:rsidRPr="00DF35D8">
        <w:t>Authentication mechanisms and assurance levels</w:t>
      </w:r>
    </w:p>
    <w:p w14:paraId="5C995F52" w14:textId="77777777" w:rsidR="00A70754" w:rsidRPr="00DF35D8" w:rsidRDefault="00A70754" w:rsidP="000445B6">
      <w:pPr>
        <w:pStyle w:val="Bullet1"/>
      </w:pPr>
      <w:r w:rsidRPr="00DF35D8">
        <w:t>collect personal information only when needed for the business process being undertaken</w:t>
      </w:r>
    </w:p>
    <w:p w14:paraId="02EAA1C3" w14:textId="77777777" w:rsidR="00A70754" w:rsidRPr="00DF35D8" w:rsidRDefault="00A70754" w:rsidP="000445B6">
      <w:pPr>
        <w:pStyle w:val="Bullet1"/>
      </w:pPr>
      <w:r w:rsidRPr="00DF35D8">
        <w:t xml:space="preserve">provide a means of </w:t>
      </w:r>
      <w:r w:rsidR="00BE178F">
        <w:t>e</w:t>
      </w:r>
      <w:r w:rsidR="00BE178F">
        <w:noBreakHyphen/>
      </w:r>
      <w:r w:rsidRPr="00DF35D8">
        <w:t>Authentication to parties involved in transactions so that they can confirm their identity when needed</w:t>
      </w:r>
    </w:p>
    <w:p w14:paraId="7E4C6890" w14:textId="77777777" w:rsidR="00A70754" w:rsidRPr="00DF35D8" w:rsidRDefault="00A70754" w:rsidP="000445B6">
      <w:pPr>
        <w:pStyle w:val="Bullet1"/>
      </w:pPr>
      <w:r w:rsidRPr="00DF35D8">
        <w:t>establish systems to control access and use of resources; and</w:t>
      </w:r>
    </w:p>
    <w:p w14:paraId="54545B64" w14:textId="77777777" w:rsidR="00A70754" w:rsidRPr="00DF35D8" w:rsidRDefault="00A70754" w:rsidP="000445B6">
      <w:pPr>
        <w:pStyle w:val="Bullet1"/>
      </w:pPr>
      <w:r w:rsidRPr="00DF35D8">
        <w:t>establish and maintain records and robust audit processes for access and permissions.</w:t>
      </w:r>
    </w:p>
    <w:p w14:paraId="4342FEA5" w14:textId="77777777" w:rsidR="00A70754" w:rsidRPr="00DF35D8" w:rsidRDefault="00A70754" w:rsidP="000445B6">
      <w:pPr>
        <w:pStyle w:val="Heading2Numbered"/>
      </w:pPr>
      <w:bookmarkStart w:id="207" w:name="_Toc430770927"/>
      <w:r w:rsidRPr="00DF35D8">
        <w:t>Businesses’ and citizens’ roles and responsibilities</w:t>
      </w:r>
      <w:bookmarkEnd w:id="207"/>
    </w:p>
    <w:p w14:paraId="7C2FC852" w14:textId="77777777" w:rsidR="00A70754" w:rsidRPr="00271719" w:rsidRDefault="00A70754" w:rsidP="000445B6">
      <w:r w:rsidRPr="00271719">
        <w:t>Businesses and citizens will need to comply with the terms and conditions of the agency services with which they are engaging. Such requirements could include at a minimum:</w:t>
      </w:r>
    </w:p>
    <w:p w14:paraId="5024DD76" w14:textId="77777777" w:rsidR="00A70754" w:rsidRPr="00271719" w:rsidRDefault="00A70754" w:rsidP="000445B6">
      <w:pPr>
        <w:pStyle w:val="Bullet1"/>
      </w:pPr>
      <w:r w:rsidRPr="00271719">
        <w:t>provision of accurate evidence of identity and/or evidence of relationship information</w:t>
      </w:r>
    </w:p>
    <w:p w14:paraId="3150D275" w14:textId="77777777" w:rsidR="00A70754" w:rsidRPr="00271719" w:rsidRDefault="00A70754" w:rsidP="000445B6">
      <w:pPr>
        <w:pStyle w:val="Bullet1"/>
      </w:pPr>
      <w:r w:rsidRPr="00271719">
        <w:t>maintenance of the security of the credentials that are issued</w:t>
      </w:r>
      <w:r>
        <w:t>; and</w:t>
      </w:r>
    </w:p>
    <w:p w14:paraId="04A69D23" w14:textId="77777777" w:rsidR="00A70754" w:rsidRDefault="00A70754" w:rsidP="000445B6">
      <w:pPr>
        <w:pStyle w:val="Bullet1"/>
      </w:pPr>
      <w:r w:rsidRPr="00271719">
        <w:t>use of credentials only for the purposes they are issued.</w:t>
      </w:r>
    </w:p>
    <w:p w14:paraId="06E6F7E6" w14:textId="77777777" w:rsidR="00A70754" w:rsidRDefault="00A70754" w:rsidP="000445B6">
      <w:pPr>
        <w:pStyle w:val="Heading1"/>
      </w:pPr>
      <w:bookmarkStart w:id="208" w:name="_Toc191113270"/>
      <w:bookmarkStart w:id="209" w:name="_Toc189558833"/>
      <w:bookmarkStart w:id="210" w:name="_Toc430770928"/>
      <w:r w:rsidRPr="00DF35D8">
        <w:lastRenderedPageBreak/>
        <w:t>Appendix A: Ne</w:t>
      </w:r>
      <w:r w:rsidRPr="000445B6">
        <w:t>A</w:t>
      </w:r>
      <w:r w:rsidRPr="00DF35D8">
        <w:t xml:space="preserve">F legal and policy </w:t>
      </w:r>
      <w:bookmarkEnd w:id="208"/>
      <w:bookmarkEnd w:id="209"/>
      <w:r w:rsidRPr="00DF35D8">
        <w:t>framework</w:t>
      </w:r>
      <w:bookmarkEnd w:id="210"/>
    </w:p>
    <w:p w14:paraId="65C0DE29" w14:textId="77777777" w:rsidR="00A70754" w:rsidRPr="00DF35D8" w:rsidRDefault="00A70754" w:rsidP="000445B6">
      <w:r w:rsidRPr="00DF35D8">
        <w:t>In applying the NeAF, agencies will need to assess the impact of national and jurisdictional laws, regulation and policies, the most relevant ones being:</w:t>
      </w:r>
    </w:p>
    <w:p w14:paraId="3317C029" w14:textId="77777777" w:rsidR="00A70754" w:rsidRPr="00DF35D8" w:rsidRDefault="00A70754" w:rsidP="000445B6">
      <w:pPr>
        <w:pStyle w:val="Heading2"/>
      </w:pPr>
      <w:bookmarkStart w:id="211" w:name="_Toc189558834"/>
      <w:bookmarkStart w:id="212" w:name="_Toc191113271"/>
      <w:bookmarkStart w:id="213" w:name="_Toc430770929"/>
      <w:r w:rsidRPr="00DF35D8">
        <w:t>Legislation and regulation</w:t>
      </w:r>
      <w:bookmarkEnd w:id="211"/>
      <w:bookmarkEnd w:id="212"/>
      <w:bookmarkEnd w:id="213"/>
    </w:p>
    <w:p w14:paraId="3133A2A3" w14:textId="77777777" w:rsidR="00A70754" w:rsidRPr="00DF35D8" w:rsidRDefault="00A70754" w:rsidP="000445B6">
      <w:pPr>
        <w:pStyle w:val="Bullet1"/>
      </w:pPr>
      <w:r w:rsidRPr="00DF35D8">
        <w:t>Privacy</w:t>
      </w:r>
    </w:p>
    <w:p w14:paraId="24F31478" w14:textId="77777777" w:rsidR="00A70754" w:rsidRPr="00DF35D8" w:rsidRDefault="00A70754" w:rsidP="000445B6">
      <w:pPr>
        <w:pStyle w:val="Bullet1"/>
      </w:pPr>
      <w:r w:rsidRPr="00DF35D8">
        <w:t>Information security</w:t>
      </w:r>
    </w:p>
    <w:p w14:paraId="1C64FD7D" w14:textId="77777777" w:rsidR="00A70754" w:rsidRPr="00DF35D8" w:rsidRDefault="00A70754" w:rsidP="000445B6">
      <w:pPr>
        <w:pStyle w:val="Bullet1"/>
      </w:pPr>
      <w:r w:rsidRPr="00DF35D8">
        <w:t>Electronic transactions and evidence</w:t>
      </w:r>
    </w:p>
    <w:p w14:paraId="695D593B" w14:textId="77777777" w:rsidR="00A70754" w:rsidRPr="00DF35D8" w:rsidRDefault="00A70754" w:rsidP="000445B6">
      <w:pPr>
        <w:pStyle w:val="Bullet1"/>
      </w:pPr>
      <w:r w:rsidRPr="00DF35D8">
        <w:t>Record-keeping.</w:t>
      </w:r>
    </w:p>
    <w:p w14:paraId="3D352ECF" w14:textId="77777777" w:rsidR="00A70754" w:rsidRPr="00DF35D8" w:rsidRDefault="00A70754" w:rsidP="000445B6">
      <w:pPr>
        <w:pStyle w:val="Heading2"/>
      </w:pPr>
      <w:bookmarkStart w:id="214" w:name="_Toc189558835"/>
      <w:bookmarkStart w:id="215" w:name="_Toc191113272"/>
      <w:bookmarkStart w:id="216" w:name="_Toc430770930"/>
      <w:r w:rsidRPr="00DF35D8">
        <w:t>Government policies</w:t>
      </w:r>
      <w:bookmarkEnd w:id="214"/>
      <w:bookmarkEnd w:id="215"/>
      <w:r w:rsidRPr="00DF35D8">
        <w:t xml:space="preserve"> and references</w:t>
      </w:r>
      <w:bookmarkEnd w:id="216"/>
    </w:p>
    <w:p w14:paraId="3C519723" w14:textId="77777777" w:rsidR="00A70754" w:rsidRPr="00271719" w:rsidRDefault="00BE178F" w:rsidP="000445B6">
      <w:pPr>
        <w:pStyle w:val="Bullet1"/>
      </w:pPr>
      <w:r>
        <w:t>e</w:t>
      </w:r>
      <w:r>
        <w:noBreakHyphen/>
      </w:r>
      <w:r w:rsidR="00A70754" w:rsidRPr="00271719">
        <w:t>Government strategies</w:t>
      </w:r>
    </w:p>
    <w:p w14:paraId="211FEEB0" w14:textId="77777777" w:rsidR="00A70754" w:rsidRPr="00271719" w:rsidRDefault="00A70754" w:rsidP="000445B6">
      <w:pPr>
        <w:pStyle w:val="Bullet1"/>
      </w:pPr>
      <w:r w:rsidRPr="00271719">
        <w:t>Interoperability frameworks</w:t>
      </w:r>
    </w:p>
    <w:p w14:paraId="611488AA" w14:textId="77777777" w:rsidR="00A70754" w:rsidRPr="00271719" w:rsidRDefault="00A70754" w:rsidP="000445B6">
      <w:pPr>
        <w:pStyle w:val="Bullet1"/>
      </w:pPr>
      <w:r w:rsidRPr="00271719">
        <w:t>Privacy schemes</w:t>
      </w:r>
    </w:p>
    <w:p w14:paraId="6BCBBA78" w14:textId="77777777" w:rsidR="00A70754" w:rsidRPr="00271719" w:rsidRDefault="00A70754" w:rsidP="000445B6">
      <w:pPr>
        <w:pStyle w:val="Bullet1"/>
      </w:pPr>
      <w:r w:rsidRPr="00271719">
        <w:t>Information security policies</w:t>
      </w:r>
    </w:p>
    <w:p w14:paraId="01BD9033" w14:textId="77777777" w:rsidR="00A70754" w:rsidRPr="00271719" w:rsidRDefault="00A70754" w:rsidP="000445B6">
      <w:pPr>
        <w:pStyle w:val="Bullet1"/>
      </w:pPr>
      <w:r w:rsidRPr="00271719">
        <w:t>Identity security policies</w:t>
      </w:r>
    </w:p>
    <w:p w14:paraId="605198B7" w14:textId="77777777" w:rsidR="00A70754" w:rsidRDefault="00A70754" w:rsidP="000445B6">
      <w:pPr>
        <w:pStyle w:val="Bullet1"/>
      </w:pPr>
      <w:r w:rsidRPr="00271719">
        <w:t>Authentication frameworks (PKI, smartcards etc.).</w:t>
      </w:r>
    </w:p>
    <w:p w14:paraId="355C9A6C" w14:textId="77777777" w:rsidR="00A70754" w:rsidRPr="00DF35D8" w:rsidRDefault="00A70754" w:rsidP="000445B6">
      <w:pPr>
        <w:pStyle w:val="Heading1"/>
      </w:pPr>
      <w:bookmarkStart w:id="217" w:name="_Toc430770931"/>
      <w:r w:rsidRPr="00DF35D8">
        <w:lastRenderedPageBreak/>
        <w:t>Appendix B: NeAF standards and practices foundation</w:t>
      </w:r>
      <w:bookmarkEnd w:id="217"/>
    </w:p>
    <w:p w14:paraId="3C9CE7F8" w14:textId="77777777" w:rsidR="00A70754" w:rsidRPr="00271719" w:rsidRDefault="00A70754" w:rsidP="000445B6">
      <w:r w:rsidRPr="00DF35D8">
        <w:t xml:space="preserve">In applying the NeAF, agencies will need to assess the applicability of international, </w:t>
      </w:r>
      <w:r w:rsidRPr="00271719">
        <w:t>national and industry/sectoral standards and practices, the most relevant ones being:</w:t>
      </w:r>
    </w:p>
    <w:p w14:paraId="6A7BDA8D" w14:textId="77777777" w:rsidR="00A70754" w:rsidRPr="000445B6" w:rsidRDefault="00A70754" w:rsidP="005D595D">
      <w:pPr>
        <w:pStyle w:val="NumberedList1"/>
        <w:numPr>
          <w:ilvl w:val="0"/>
          <w:numId w:val="8"/>
        </w:numPr>
        <w:rPr>
          <w:rStyle w:val="Strong"/>
        </w:rPr>
      </w:pPr>
      <w:r w:rsidRPr="000445B6">
        <w:rPr>
          <w:rStyle w:val="Strong"/>
        </w:rPr>
        <w:t>Risk management</w:t>
      </w:r>
    </w:p>
    <w:p w14:paraId="2C7C3BAD" w14:textId="77777777" w:rsidR="00A70754" w:rsidRPr="000445B6" w:rsidRDefault="00A70754" w:rsidP="000445B6">
      <w:pPr>
        <w:pStyle w:val="NumberedList2"/>
      </w:pPr>
      <w:r w:rsidRPr="000445B6">
        <w:t>AS/NZS 4360:2004 Risk Management</w:t>
      </w:r>
    </w:p>
    <w:p w14:paraId="350A1744" w14:textId="77777777" w:rsidR="00A70754" w:rsidRPr="000445B6" w:rsidRDefault="00A70754" w:rsidP="000445B6">
      <w:pPr>
        <w:pStyle w:val="NumberedList2"/>
      </w:pPr>
      <w:r w:rsidRPr="000445B6">
        <w:t>AS/NZS ISO/IEC 16085:2007 Information technology – Systems and software engineering – Life cycle processes – Risk management.</w:t>
      </w:r>
    </w:p>
    <w:p w14:paraId="5F2B671D" w14:textId="77777777" w:rsidR="00A70754" w:rsidRPr="000445B6" w:rsidRDefault="00A70754" w:rsidP="000445B6">
      <w:pPr>
        <w:pStyle w:val="NumberedList2"/>
      </w:pPr>
      <w:r w:rsidRPr="000445B6">
        <w:t>27005:2008</w:t>
      </w:r>
    </w:p>
    <w:p w14:paraId="1F1FB474" w14:textId="77777777" w:rsidR="00A70754" w:rsidRPr="000445B6" w:rsidRDefault="00A70754" w:rsidP="000445B6">
      <w:pPr>
        <w:pStyle w:val="NumberedList1"/>
        <w:rPr>
          <w:rStyle w:val="Strong"/>
        </w:rPr>
      </w:pPr>
      <w:r w:rsidRPr="000445B6">
        <w:rPr>
          <w:rStyle w:val="Strong"/>
        </w:rPr>
        <w:t>Information technology security</w:t>
      </w:r>
    </w:p>
    <w:p w14:paraId="1E5A95B8" w14:textId="77777777" w:rsidR="00A70754" w:rsidRPr="000445B6" w:rsidRDefault="00A70754" w:rsidP="000445B6">
      <w:pPr>
        <w:pStyle w:val="NumberedList2"/>
      </w:pPr>
      <w:r w:rsidRPr="000445B6">
        <w:t xml:space="preserve">AS/NZS ISO/IEC 27001:2006 (also AS/NZS ISO/IEC 27001) – Information technology – </w:t>
      </w:r>
      <w:smartTag w:uri="urn:schemas-microsoft-com:office:smarttags" w:element="PersonName">
        <w:r w:rsidRPr="000445B6">
          <w:t>Security</w:t>
        </w:r>
      </w:smartTag>
      <w:r w:rsidRPr="000445B6">
        <w:t xml:space="preserve"> techniques – Information security management systems – Requirements</w:t>
      </w:r>
    </w:p>
    <w:p w14:paraId="142E6393" w14:textId="77777777" w:rsidR="00A70754" w:rsidRPr="000445B6" w:rsidRDefault="00A70754" w:rsidP="000445B6">
      <w:pPr>
        <w:pStyle w:val="NumberedList2"/>
      </w:pPr>
      <w:r w:rsidRPr="000445B6">
        <w:t>ISO/IEC 27002:2005 – Information technology – Security techniques – Code of practice for information security management</w:t>
      </w:r>
    </w:p>
    <w:p w14:paraId="52AECCED" w14:textId="77777777" w:rsidR="00A70754" w:rsidRPr="000445B6" w:rsidRDefault="00A70754" w:rsidP="000445B6">
      <w:pPr>
        <w:pStyle w:val="NumberedList2"/>
      </w:pPr>
      <w:r w:rsidRPr="000445B6">
        <w:t>ISO/IEC 27005:2008 Information technology – Security techniques – Information security risk</w:t>
      </w:r>
      <w:r w:rsidR="00061CE2">
        <w:t> </w:t>
      </w:r>
      <w:r w:rsidRPr="000445B6">
        <w:t>management</w:t>
      </w:r>
    </w:p>
    <w:p w14:paraId="16F887BA" w14:textId="77777777" w:rsidR="00A70754" w:rsidRPr="000445B6" w:rsidRDefault="00A70754" w:rsidP="000445B6">
      <w:pPr>
        <w:pStyle w:val="NumberedList2"/>
      </w:pPr>
      <w:r w:rsidRPr="000445B6">
        <w:t>ISO/IEC 27006:2007 – Information technology – Security techniques – Requirements for bodies</w:t>
      </w:r>
      <w:r w:rsidR="00061CE2">
        <w:t> </w:t>
      </w:r>
      <w:r w:rsidRPr="000445B6">
        <w:t>providing audit and certification of information security management systems</w:t>
      </w:r>
    </w:p>
    <w:p w14:paraId="577BA610" w14:textId="77777777" w:rsidR="00A70754" w:rsidRPr="000445B6" w:rsidRDefault="00A70754" w:rsidP="000445B6">
      <w:pPr>
        <w:pStyle w:val="NumberedList2"/>
      </w:pPr>
      <w:r w:rsidRPr="000445B6">
        <w:t>ISO/IEC 27000 Information technology – Security techniques – Information security management system – Overview and vocabulary (under development)</w:t>
      </w:r>
    </w:p>
    <w:p w14:paraId="3D9E9632" w14:textId="77777777" w:rsidR="00A70754" w:rsidRPr="000445B6" w:rsidRDefault="00BE178F" w:rsidP="000445B6">
      <w:pPr>
        <w:pStyle w:val="NumberedList1"/>
        <w:rPr>
          <w:rStyle w:val="Strong"/>
        </w:rPr>
      </w:pPr>
      <w:r>
        <w:rPr>
          <w:rStyle w:val="Strong"/>
        </w:rPr>
        <w:t>e</w:t>
      </w:r>
      <w:r>
        <w:rPr>
          <w:rStyle w:val="Strong"/>
        </w:rPr>
        <w:noBreakHyphen/>
      </w:r>
      <w:r w:rsidR="00A70754" w:rsidRPr="000445B6">
        <w:rPr>
          <w:rStyle w:val="Strong"/>
        </w:rPr>
        <w:t>Authentication technologies/methods/approaches</w:t>
      </w:r>
    </w:p>
    <w:p w14:paraId="07F4C29A" w14:textId="77777777" w:rsidR="00A70754" w:rsidRPr="000445B6" w:rsidRDefault="00A70754" w:rsidP="000445B6">
      <w:pPr>
        <w:pStyle w:val="NumberedList2"/>
      </w:pPr>
      <w:r w:rsidRPr="000445B6">
        <w:t>Evaluated Products List – Defence Signals Directorate</w:t>
      </w:r>
    </w:p>
    <w:p w14:paraId="53DA3788" w14:textId="17546C30" w:rsidR="00A70754" w:rsidRPr="000445B6" w:rsidRDefault="00ED54DD" w:rsidP="000445B6">
      <w:pPr>
        <w:pStyle w:val="NumberedList3"/>
      </w:pPr>
      <w:hyperlink r:id="rId16" w:tooltip="Evaluated Products List  website" w:history="1">
        <w:r w:rsidR="00A70754" w:rsidRPr="000445B6">
          <w:rPr>
            <w:rStyle w:val="Hyperlink"/>
          </w:rPr>
          <w:t>http://www.dsd.gov.au/infosec/evaluation_services/epl/epl.html</w:t>
        </w:r>
      </w:hyperlink>
    </w:p>
    <w:p w14:paraId="75912EF9" w14:textId="77777777" w:rsidR="00A70754" w:rsidRPr="000445B6" w:rsidRDefault="00A70754" w:rsidP="000445B6">
      <w:pPr>
        <w:pStyle w:val="NumberedList2"/>
      </w:pPr>
      <w:r w:rsidRPr="000445B6">
        <w:t>PKI:</w:t>
      </w:r>
    </w:p>
    <w:p w14:paraId="5DC40D1A" w14:textId="77777777" w:rsidR="00A70754" w:rsidRPr="000445B6" w:rsidRDefault="00A70754" w:rsidP="000445B6">
      <w:pPr>
        <w:pStyle w:val="NumberedList3"/>
      </w:pPr>
      <w:r w:rsidRPr="000445B6">
        <w:t>Information technology – Public Key Authentication Framework (PKAF) related Standards – General – PKAF architecture – AS4359.1.1-2002</w:t>
      </w:r>
    </w:p>
    <w:p w14:paraId="45378805" w14:textId="77777777" w:rsidR="00A70754" w:rsidRPr="000445B6" w:rsidRDefault="00A70754" w:rsidP="000445B6">
      <w:pPr>
        <w:pStyle w:val="NumberedList3"/>
      </w:pPr>
      <w:r w:rsidRPr="000445B6">
        <w:t>Health informatics – Public Key Infrastructure – AS ISO 17090 (1,2,3)–2003</w:t>
      </w:r>
    </w:p>
    <w:p w14:paraId="7E69FF08" w14:textId="3381D3D9" w:rsidR="00A70754" w:rsidRPr="000445B6" w:rsidRDefault="00A70754" w:rsidP="000445B6">
      <w:pPr>
        <w:pStyle w:val="NumberedList3"/>
      </w:pPr>
      <w:r w:rsidRPr="000445B6">
        <w:t xml:space="preserve">X.509 PKI certificates – RFC 4210 Internet X.500 Public Key Infrastructure Management Protocol (CMP) see </w:t>
      </w:r>
      <w:hyperlink r:id="rId17" w:tooltip="The Internet Engineering Task Force website" w:history="1">
        <w:r w:rsidRPr="000445B6">
          <w:rPr>
            <w:rStyle w:val="Hyperlink"/>
          </w:rPr>
          <w:t>http://www.ietf.org</w:t>
        </w:r>
      </w:hyperlink>
    </w:p>
    <w:p w14:paraId="4369C03B" w14:textId="77777777" w:rsidR="00A70754" w:rsidRPr="000445B6" w:rsidRDefault="00A70754" w:rsidP="000445B6">
      <w:pPr>
        <w:pStyle w:val="NumberedList2"/>
      </w:pPr>
      <w:r w:rsidRPr="000445B6">
        <w:t>Knowledg</w:t>
      </w:r>
      <w:r w:rsidR="00BE178F">
        <w:t>e</w:t>
      </w:r>
      <w:r w:rsidR="00BE178F">
        <w:noBreakHyphen/>
      </w:r>
      <w:r w:rsidRPr="000445B6">
        <w:t>based Identity Authentication</w:t>
      </w:r>
    </w:p>
    <w:p w14:paraId="4B0067AE" w14:textId="77777777" w:rsidR="00A70754" w:rsidRPr="000445B6" w:rsidRDefault="00A70754" w:rsidP="000445B6">
      <w:pPr>
        <w:pStyle w:val="NumberedList3"/>
      </w:pPr>
      <w:r w:rsidRPr="000445B6">
        <w:t>AS 4860-2007 – Knowledg</w:t>
      </w:r>
      <w:r w:rsidR="00BE178F">
        <w:t>e</w:t>
      </w:r>
      <w:r w:rsidR="00BE178F">
        <w:noBreakHyphen/>
      </w:r>
      <w:r w:rsidRPr="000445B6">
        <w:t>based identity authentication – Recognising Known Customers</w:t>
      </w:r>
    </w:p>
    <w:p w14:paraId="69966CA7" w14:textId="77777777" w:rsidR="00A70754" w:rsidRPr="000445B6" w:rsidRDefault="00A70754" w:rsidP="000445B6">
      <w:pPr>
        <w:pStyle w:val="NumberedList2"/>
      </w:pPr>
      <w:r w:rsidRPr="000445B6">
        <w:t>Service Oriented Architectures</w:t>
      </w:r>
    </w:p>
    <w:p w14:paraId="4AD338D4" w14:textId="34FCECA3" w:rsidR="00A70754" w:rsidRPr="000445B6" w:rsidRDefault="00A70754" w:rsidP="000445B6">
      <w:pPr>
        <w:pStyle w:val="NumberedList3"/>
      </w:pPr>
      <w:r w:rsidRPr="000445B6">
        <w:t xml:space="preserve">Organisation for the Advancement of Structured Information Standards (OASIS) see </w:t>
      </w:r>
      <w:hyperlink r:id="rId18" w:tooltip="i. Organisation for the Advancement of Structured Information Standards  website" w:history="1">
        <w:r w:rsidRPr="000445B6">
          <w:rPr>
            <w:rStyle w:val="Hyperlink"/>
          </w:rPr>
          <w:t>http://www.oasis-open.org</w:t>
        </w:r>
      </w:hyperlink>
      <w:r w:rsidRPr="000445B6">
        <w:t>.</w:t>
      </w:r>
    </w:p>
    <w:p w14:paraId="24380804" w14:textId="1EF548A3" w:rsidR="00A70754" w:rsidRPr="000445B6" w:rsidRDefault="00A70754" w:rsidP="000445B6">
      <w:pPr>
        <w:pStyle w:val="NumberedList3"/>
      </w:pPr>
      <w:r w:rsidRPr="000445B6">
        <w:t xml:space="preserve">Web Services – Security, Trust, Federation etc. see </w:t>
      </w:r>
      <w:hyperlink r:id="rId19" w:tooltip="i. Organisation for the Advancement of Structured Information Standards  website" w:history="1">
        <w:r w:rsidRPr="000445B6">
          <w:rPr>
            <w:rStyle w:val="Hyperlink"/>
          </w:rPr>
          <w:t>http://www.oasis-open.org</w:t>
        </w:r>
      </w:hyperlink>
    </w:p>
    <w:p w14:paraId="1498439E" w14:textId="77777777" w:rsidR="00A70754" w:rsidRPr="000445B6" w:rsidRDefault="00A70754" w:rsidP="000445B6">
      <w:pPr>
        <w:pStyle w:val="NumberedList2"/>
      </w:pPr>
      <w:r w:rsidRPr="000445B6">
        <w:t>Directory Services</w:t>
      </w:r>
    </w:p>
    <w:p w14:paraId="3066C6C9" w14:textId="39321847" w:rsidR="00A70754" w:rsidRPr="000445B6" w:rsidRDefault="00A70754" w:rsidP="000445B6">
      <w:pPr>
        <w:pStyle w:val="NumberedList3"/>
      </w:pPr>
      <w:r w:rsidRPr="000445B6">
        <w:t>X.500 Information Technology – Open Systems Interconnection – The Director: Overview of Concepts Models and Services see &lt;http://</w:t>
      </w:r>
      <w:hyperlink r:id="rId20" w:tooltip="Information Technology – Open Systems Interconnection website" w:history="1">
        <w:r w:rsidRPr="000445B6">
          <w:rPr>
            <w:rStyle w:val="Hyperlink"/>
          </w:rPr>
          <w:t>www.itu.int</w:t>
        </w:r>
      </w:hyperlink>
      <w:r w:rsidRPr="000445B6">
        <w:t>&gt;</w:t>
      </w:r>
    </w:p>
    <w:p w14:paraId="71E4E44F" w14:textId="77777777" w:rsidR="00A70754" w:rsidRPr="000445B6" w:rsidRDefault="00A70754" w:rsidP="000445B6">
      <w:pPr>
        <w:pStyle w:val="NumberedList3"/>
      </w:pPr>
      <w:r w:rsidRPr="000445B6">
        <w:t>Lightweight Directory Access Protocol (LDAP)</w:t>
      </w:r>
    </w:p>
    <w:p w14:paraId="75179BFD" w14:textId="550BA57C" w:rsidR="00A70754" w:rsidRPr="000445B6" w:rsidRDefault="00A70754" w:rsidP="000445B6">
      <w:pPr>
        <w:pStyle w:val="NumberedList2"/>
      </w:pPr>
      <w:r w:rsidRPr="000445B6">
        <w:t xml:space="preserve">Security Assertion Mark-up Language SAML (See </w:t>
      </w:r>
      <w:hyperlink r:id="rId21" w:tooltip="i. Organisation for the Advancement of Structured Information Standards " w:history="1">
        <w:r w:rsidRPr="000445B6">
          <w:rPr>
            <w:rStyle w:val="Hyperlink"/>
          </w:rPr>
          <w:t>http://www.oasis-open.org/committees/tc_home.php?wg_abbrev=security</w:t>
        </w:r>
      </w:hyperlink>
      <w:r w:rsidRPr="000445B6">
        <w:t>) – Cross-domain authentication and authorisation.</w:t>
      </w:r>
    </w:p>
    <w:p w14:paraId="25C82B54" w14:textId="77777777" w:rsidR="00A70754" w:rsidRPr="00DF35D8" w:rsidRDefault="00A70754" w:rsidP="000445B6">
      <w:pPr>
        <w:pStyle w:val="Heading1"/>
      </w:pPr>
      <w:bookmarkStart w:id="218" w:name="_Toc430770932"/>
      <w:bookmarkStart w:id="219" w:name="_Ref430782536"/>
      <w:bookmarkStart w:id="220" w:name="_Ref430782619"/>
      <w:r w:rsidRPr="00DF35D8">
        <w:lastRenderedPageBreak/>
        <w:t xml:space="preserve">Appendix C: Current government </w:t>
      </w:r>
      <w:r w:rsidR="00BE178F">
        <w:t>e</w:t>
      </w:r>
      <w:r w:rsidR="00BE178F">
        <w:noBreakHyphen/>
      </w:r>
      <w:r w:rsidRPr="00DF35D8">
        <w:t>Authentication initiatives</w:t>
      </w:r>
      <w:bookmarkEnd w:id="218"/>
      <w:bookmarkEnd w:id="219"/>
      <w:bookmarkEnd w:id="220"/>
    </w:p>
    <w:p w14:paraId="0B32F715" w14:textId="24A3D01F" w:rsidR="00A70754" w:rsidRDefault="00A70754" w:rsidP="00C52270">
      <w:pPr>
        <w:pStyle w:val="Heading2"/>
      </w:pPr>
      <w:bookmarkStart w:id="221" w:name="_Toc205912088"/>
      <w:bookmarkStart w:id="222" w:name="_Toc205912274"/>
      <w:bookmarkStart w:id="223" w:name="_Toc430770933"/>
      <w:r w:rsidRPr="00271719">
        <w:t>AGOSP single sign-on (via the enhanced &lt;</w:t>
      </w:r>
      <w:hyperlink r:id="rId22" w:tooltip="Australian Government website" w:history="1">
        <w:r w:rsidRPr="00B91B23">
          <w:rPr>
            <w:rStyle w:val="Hyperlink"/>
            <w:rFonts w:asciiTheme="majorHAnsi" w:hAnsiTheme="majorHAnsi" w:cstheme="majorBidi"/>
          </w:rPr>
          <w:t>http://www.australia.gov.au</w:t>
        </w:r>
      </w:hyperlink>
      <w:r w:rsidRPr="00271719">
        <w:t>&gt;)</w:t>
      </w:r>
      <w:bookmarkEnd w:id="221"/>
      <w:bookmarkEnd w:id="222"/>
      <w:bookmarkEnd w:id="223"/>
    </w:p>
    <w:p w14:paraId="3D3D91A2" w14:textId="582027D9" w:rsidR="00A70754" w:rsidRPr="00061CE2" w:rsidRDefault="00A70754" w:rsidP="00C52270">
      <w:r w:rsidRPr="00061CE2">
        <w:t xml:space="preserve">Single sign-on will be one of the many new services offered by the enhanced </w:t>
      </w:r>
      <w:hyperlink r:id="rId23" w:tooltip="Australian Government website" w:history="1">
        <w:r w:rsidRPr="00061CE2">
          <w:rPr>
            <w:rStyle w:val="Hyperlink"/>
          </w:rPr>
          <w:t>http://www.australia.gov.au</w:t>
        </w:r>
      </w:hyperlink>
      <w:r w:rsidRPr="00061CE2">
        <w:t xml:space="preserve"> (hereafter simply australia.gov.au) website. “Single sign-on” is a term used to describe the process that enables people to use a single australia.gov.au credential (e.g. username and password combination) to access a range of government accounts and services.</w:t>
      </w:r>
    </w:p>
    <w:p w14:paraId="7E08C5BF" w14:textId="77777777" w:rsidR="00A70754" w:rsidRDefault="00A70754" w:rsidP="00C52270">
      <w:r w:rsidRPr="00271719">
        <w:t>Currently, it is quite common for people to have several accounts across a large number of agencies, each with their own credential.</w:t>
      </w:r>
      <w:r>
        <w:t xml:space="preserve"> </w:t>
      </w:r>
      <w:r w:rsidRPr="00271719">
        <w:t>Single sign-on enables people to create an australia.gov.au credential and, if they choose, associate their agency accounts with this credential.</w:t>
      </w:r>
    </w:p>
    <w:p w14:paraId="31971EAF" w14:textId="77777777" w:rsidR="00A70754" w:rsidRPr="00271719" w:rsidRDefault="00A70754" w:rsidP="00C52270">
      <w:r w:rsidRPr="00271719">
        <w:t>Importantly, having an australia.gov.au single sign-on credential does not mean agency accounts are linked to one another.</w:t>
      </w:r>
      <w:r>
        <w:t xml:space="preserve"> </w:t>
      </w:r>
      <w:r w:rsidRPr="00271719">
        <w:t>Rather, the australia.gov.au single sign-on allows people to have the convenience of using a single credential, while still maintaining separate agency accounts and identities.</w:t>
      </w:r>
      <w:r>
        <w:t xml:space="preserve"> </w:t>
      </w:r>
      <w:r w:rsidRPr="00271719">
        <w:t>Agency records are not linked, neither is the information within these accounts shared.</w:t>
      </w:r>
    </w:p>
    <w:p w14:paraId="0D80E171" w14:textId="77777777" w:rsidR="00A70754" w:rsidRPr="00271719" w:rsidRDefault="00A70754" w:rsidP="00C52270">
      <w:r w:rsidRPr="00271719">
        <w:t>The australia.gov.au single sign-on will be completely optional, and users can continue to access agency services directly.</w:t>
      </w:r>
    </w:p>
    <w:p w14:paraId="24555291" w14:textId="77777777" w:rsidR="00A70754" w:rsidRPr="00271719" w:rsidRDefault="00A70754" w:rsidP="00C52270">
      <w:r w:rsidRPr="00271719">
        <w:t>The australia.gov.au single sign-on will be implemented using a whol</w:t>
      </w:r>
      <w:r w:rsidR="00BE178F">
        <w:t>e</w:t>
      </w:r>
      <w:r w:rsidR="00BE178F">
        <w:noBreakHyphen/>
      </w:r>
      <w:r w:rsidRPr="00271719">
        <w:t>of-government authentication hub. This hub will use meaningless but unique number associations to create links between an australia.gov.au credential and an agency account in a privacy-protecting manner.</w:t>
      </w:r>
    </w:p>
    <w:p w14:paraId="784D4616" w14:textId="77777777" w:rsidR="00A70754" w:rsidRPr="00271719" w:rsidRDefault="00A70754" w:rsidP="00C52270">
      <w:pPr>
        <w:pStyle w:val="Heading2"/>
      </w:pPr>
      <w:bookmarkStart w:id="224" w:name="_Toc430770934"/>
      <w:r w:rsidRPr="00271719">
        <w:t xml:space="preserve">VANguard </w:t>
      </w:r>
      <w:r w:rsidR="00BE178F">
        <w:t>e</w:t>
      </w:r>
      <w:r w:rsidR="00BE178F">
        <w:noBreakHyphen/>
      </w:r>
      <w:r w:rsidRPr="00271719">
        <w:t>Authentication Services</w:t>
      </w:r>
      <w:bookmarkEnd w:id="224"/>
    </w:p>
    <w:p w14:paraId="4786A9C9" w14:textId="77777777" w:rsidR="00A70754" w:rsidRPr="00271719" w:rsidRDefault="00A70754" w:rsidP="00C52270">
      <w:pPr>
        <w:rPr>
          <w:lang w:eastAsia="ja-JP"/>
        </w:rPr>
      </w:pPr>
      <w:r w:rsidRPr="00271719">
        <w:rPr>
          <w:lang w:eastAsia="ja-JP"/>
        </w:rPr>
        <w:t>VANguard is an existing whol</w:t>
      </w:r>
      <w:r w:rsidR="00BE178F">
        <w:rPr>
          <w:lang w:eastAsia="ja-JP"/>
        </w:rPr>
        <w:t>e</w:t>
      </w:r>
      <w:r w:rsidR="00BE178F">
        <w:rPr>
          <w:lang w:eastAsia="ja-JP"/>
        </w:rPr>
        <w:noBreakHyphen/>
      </w:r>
      <w:r w:rsidRPr="00271719">
        <w:rPr>
          <w:lang w:eastAsia="ja-JP"/>
        </w:rPr>
        <w:t xml:space="preserve">of-government service delivered by the Department of Innovation, Industry, Science and Research. VANguard is a key enabler in meeting the </w:t>
      </w:r>
      <w:r w:rsidRPr="00271719">
        <w:rPr>
          <w:lang w:eastAsia="ja-JP"/>
        </w:rPr>
        <w:br/>
      </w:r>
      <w:r w:rsidR="00BE178F">
        <w:rPr>
          <w:lang w:eastAsia="ja-JP"/>
        </w:rPr>
        <w:t>e</w:t>
      </w:r>
      <w:r w:rsidR="00BE178F">
        <w:rPr>
          <w:lang w:eastAsia="ja-JP"/>
        </w:rPr>
        <w:noBreakHyphen/>
      </w:r>
      <w:r w:rsidRPr="00271719">
        <w:rPr>
          <w:lang w:eastAsia="ja-JP"/>
        </w:rPr>
        <w:t>Government Strategy (AGIMO</w:t>
      </w:r>
      <w:r>
        <w:rPr>
          <w:lang w:eastAsia="ja-JP"/>
        </w:rPr>
        <w:t> 200</w:t>
      </w:r>
      <w:r w:rsidRPr="00271719">
        <w:rPr>
          <w:lang w:eastAsia="ja-JP"/>
        </w:rPr>
        <w:t>6) for business-to-government transactions.</w:t>
      </w:r>
    </w:p>
    <w:p w14:paraId="142C5E29" w14:textId="77777777" w:rsidR="00A70754" w:rsidRPr="00271719" w:rsidRDefault="00A70754" w:rsidP="00C52270">
      <w:pPr>
        <w:rPr>
          <w:lang w:eastAsia="ja-JP"/>
        </w:rPr>
      </w:pPr>
      <w:r w:rsidRPr="00271719">
        <w:rPr>
          <w:lang w:eastAsia="ja-JP"/>
        </w:rPr>
        <w:t xml:space="preserve">VANguard is positioned as an authentication service provider, including serving the role as a trust broker. VANguard enables an agency to accept a business user's digital credential that has been issued by another organisation and then direct that credential to VANguard for </w:t>
      </w:r>
      <w:r w:rsidR="00BE178F">
        <w:rPr>
          <w:lang w:eastAsia="ja-JP"/>
        </w:rPr>
        <w:t>e</w:t>
      </w:r>
      <w:r w:rsidR="00BE178F">
        <w:rPr>
          <w:lang w:eastAsia="ja-JP"/>
        </w:rPr>
        <w:noBreakHyphen/>
      </w:r>
      <w:r>
        <w:rPr>
          <w:lang w:eastAsia="ja-JP"/>
        </w:rPr>
        <w:t>Authentication</w:t>
      </w:r>
      <w:r w:rsidRPr="00271719">
        <w:rPr>
          <w:lang w:eastAsia="ja-JP"/>
        </w:rPr>
        <w:t>.</w:t>
      </w:r>
    </w:p>
    <w:p w14:paraId="05251215" w14:textId="77777777" w:rsidR="00A70754" w:rsidRPr="00271719" w:rsidRDefault="00A70754" w:rsidP="00C52270">
      <w:r w:rsidRPr="00271719">
        <w:rPr>
          <w:lang w:eastAsia="ja-JP"/>
        </w:rPr>
        <w:t xml:space="preserve">VANguard verifies the digital signature and validates the digital certificate using an </w:t>
      </w:r>
      <w:r w:rsidRPr="00271719">
        <w:t>appropriate certification authority within a secure environment.</w:t>
      </w:r>
    </w:p>
    <w:p w14:paraId="7A33522B" w14:textId="77777777" w:rsidR="00A70754" w:rsidRPr="00271719" w:rsidRDefault="00A70754" w:rsidP="00C52270">
      <w:pPr>
        <w:rPr>
          <w:lang w:eastAsia="ja-JP"/>
        </w:rPr>
      </w:pPr>
      <w:r w:rsidRPr="00271719">
        <w:rPr>
          <w:lang w:eastAsia="ja-JP"/>
        </w:rPr>
        <w:t xml:space="preserve">VANguard supports business by allowing business users to conduct transactions securely with government agencies (federal, state or local) using a range of digital credentials including Australian Taxation Offices certificates and VeriSign Australia </w:t>
      </w:r>
      <w:smartTag w:uri="urn:schemas-microsoft-com:office:smarttags" w:element="PersonName">
        <w:r w:rsidRPr="00271719">
          <w:rPr>
            <w:lang w:eastAsia="ja-JP"/>
          </w:rPr>
          <w:t>Gatekeeper</w:t>
        </w:r>
      </w:smartTag>
      <w:r w:rsidRPr="00271719">
        <w:rPr>
          <w:lang w:eastAsia="ja-JP"/>
        </w:rPr>
        <w:t xml:space="preserve"> certificates.</w:t>
      </w:r>
    </w:p>
    <w:p w14:paraId="1DE431B6" w14:textId="77777777" w:rsidR="00A70754" w:rsidRPr="00271719" w:rsidRDefault="00A70754" w:rsidP="00C52270">
      <w:pPr>
        <w:rPr>
          <w:lang w:eastAsia="ja-JP"/>
        </w:rPr>
      </w:pPr>
      <w:r w:rsidRPr="00271719">
        <w:rPr>
          <w:lang w:eastAsia="ja-JP"/>
        </w:rPr>
        <w:t xml:space="preserve">VANguard provides a range of secure </w:t>
      </w:r>
      <w:r w:rsidR="00BE178F">
        <w:rPr>
          <w:lang w:eastAsia="ja-JP"/>
        </w:rPr>
        <w:t>e</w:t>
      </w:r>
      <w:r w:rsidR="00BE178F">
        <w:rPr>
          <w:lang w:eastAsia="ja-JP"/>
        </w:rPr>
        <w:noBreakHyphen/>
      </w:r>
      <w:r>
        <w:rPr>
          <w:lang w:eastAsia="ja-JP"/>
        </w:rPr>
        <w:t>Authentication</w:t>
      </w:r>
      <w:r w:rsidRPr="00271719">
        <w:rPr>
          <w:lang w:eastAsia="ja-JP"/>
        </w:rPr>
        <w:t xml:space="preserve"> services comprising:</w:t>
      </w:r>
    </w:p>
    <w:p w14:paraId="5653D0C8" w14:textId="77777777" w:rsidR="00A70754" w:rsidRDefault="00A70754" w:rsidP="00C52270">
      <w:pPr>
        <w:pStyle w:val="NormalIndented"/>
        <w:rPr>
          <w:lang w:eastAsia="ja-JP"/>
        </w:rPr>
      </w:pPr>
      <w:r w:rsidRPr="001A34D1">
        <w:rPr>
          <w:rStyle w:val="Strong"/>
        </w:rPr>
        <w:t>User authentication</w:t>
      </w:r>
      <w:r w:rsidRPr="00271719">
        <w:rPr>
          <w:lang w:eastAsia="ja-JP"/>
        </w:rPr>
        <w:t>: Real-time authentication of business users is provided via VANguard's authentication web page.</w:t>
      </w:r>
      <w:r>
        <w:rPr>
          <w:lang w:eastAsia="ja-JP"/>
        </w:rPr>
        <w:t xml:space="preserve"> </w:t>
      </w:r>
      <w:r w:rsidRPr="00271719">
        <w:rPr>
          <w:lang w:eastAsia="ja-JP"/>
        </w:rPr>
        <w:t>Agencies redirect their business users to this web page at the time of log</w:t>
      </w:r>
      <w:r w:rsidR="00061CE2">
        <w:rPr>
          <w:lang w:eastAsia="ja-JP"/>
        </w:rPr>
        <w:noBreakHyphen/>
      </w:r>
      <w:r w:rsidRPr="00271719">
        <w:rPr>
          <w:lang w:eastAsia="ja-JP"/>
        </w:rPr>
        <w:t>in to be authenticated. This service enables agencies to obtain a digital signature to facilitate business user access to a secure web site or application.</w:t>
      </w:r>
    </w:p>
    <w:p w14:paraId="687D754D" w14:textId="77777777" w:rsidR="00A70754" w:rsidRPr="00271719" w:rsidRDefault="00A70754" w:rsidP="00B91B23">
      <w:pPr>
        <w:pStyle w:val="NormalIndented"/>
        <w:spacing w:before="200"/>
        <w:rPr>
          <w:lang w:eastAsia="ja-JP"/>
        </w:rPr>
      </w:pPr>
      <w:r w:rsidRPr="001A34D1">
        <w:rPr>
          <w:rStyle w:val="Strong"/>
        </w:rPr>
        <w:lastRenderedPageBreak/>
        <w:t>Signature verification</w:t>
      </w:r>
      <w:r w:rsidRPr="00271719">
        <w:rPr>
          <w:lang w:eastAsia="ja-JP"/>
        </w:rPr>
        <w:t>: This service enables agencies to have PDF forms or XML-based content signed by business users and verified by VANguard. Agencies send signed PDF forms or signed XML-based content to VANguard for verification of a business user's digital signature.</w:t>
      </w:r>
    </w:p>
    <w:p w14:paraId="3009F359" w14:textId="77777777" w:rsidR="00A70754" w:rsidRPr="00271719" w:rsidRDefault="00A70754" w:rsidP="00B91B23">
      <w:pPr>
        <w:pStyle w:val="NormalIndented"/>
        <w:spacing w:before="200"/>
        <w:rPr>
          <w:lang w:eastAsia="ja-JP"/>
        </w:rPr>
      </w:pPr>
      <w:r w:rsidRPr="001A34D1">
        <w:rPr>
          <w:rStyle w:val="Strong"/>
        </w:rPr>
        <w:t>User non–repudiation</w:t>
      </w:r>
      <w:r w:rsidRPr="00271719">
        <w:rPr>
          <w:lang w:eastAsia="ja-JP"/>
        </w:rPr>
        <w:t>: This service enables agencies to have browser-based content signed in real-time by business users and validated by VANguard. Agencies redirect their business users to VANguard's authentication web page when they require a business user to digitally sign the content of a transaction.</w:t>
      </w:r>
    </w:p>
    <w:p w14:paraId="08C97826" w14:textId="77777777" w:rsidR="00A70754" w:rsidRPr="00271719" w:rsidRDefault="00A70754" w:rsidP="00B91B23">
      <w:pPr>
        <w:pStyle w:val="NormalIndented"/>
        <w:spacing w:before="200"/>
        <w:rPr>
          <w:lang w:eastAsia="ja-JP"/>
        </w:rPr>
      </w:pPr>
      <w:r w:rsidRPr="001A34D1">
        <w:rPr>
          <w:rStyle w:val="Strong"/>
        </w:rPr>
        <w:t>Single sign-on</w:t>
      </w:r>
      <w:r w:rsidRPr="00271719">
        <w:rPr>
          <w:lang w:eastAsia="ja-JP"/>
        </w:rPr>
        <w:t>: Real-time authentication of business users across multiple agencies is provided via VANguard's authentication web page.</w:t>
      </w:r>
      <w:r>
        <w:rPr>
          <w:lang w:eastAsia="ja-JP"/>
        </w:rPr>
        <w:t xml:space="preserve"> </w:t>
      </w:r>
      <w:r w:rsidRPr="00271719">
        <w:rPr>
          <w:lang w:eastAsia="ja-JP"/>
        </w:rPr>
        <w:t>An agency redirects the business user to VANguard's authentication web page at initial log-on to be authenticated.</w:t>
      </w:r>
      <w:r>
        <w:rPr>
          <w:lang w:eastAsia="ja-JP"/>
        </w:rPr>
        <w:t xml:space="preserve"> </w:t>
      </w:r>
      <w:r w:rsidRPr="00271719">
        <w:rPr>
          <w:lang w:eastAsia="ja-JP"/>
        </w:rPr>
        <w:t>Business users can then access other nominated agencies' secure websites without the need to present their digital credential again.</w:t>
      </w:r>
      <w:r>
        <w:rPr>
          <w:lang w:eastAsia="ja-JP"/>
        </w:rPr>
        <w:t xml:space="preserve"> </w:t>
      </w:r>
      <w:r w:rsidRPr="00271719">
        <w:rPr>
          <w:lang w:eastAsia="ja-JP"/>
        </w:rPr>
        <w:t>This service enables agencies to obtain a single digital signature to facilitate business-user access to multiple secure websites.</w:t>
      </w:r>
    </w:p>
    <w:p w14:paraId="341302FA" w14:textId="77777777" w:rsidR="00A70754" w:rsidRPr="00271719" w:rsidRDefault="00A70754" w:rsidP="00B91B23">
      <w:pPr>
        <w:pStyle w:val="NormalIndented"/>
        <w:spacing w:before="200"/>
        <w:rPr>
          <w:rFonts w:cs="Arial"/>
          <w:lang w:eastAsia="ja-JP"/>
        </w:rPr>
      </w:pPr>
      <w:r w:rsidRPr="001A34D1">
        <w:rPr>
          <w:rStyle w:val="Strong"/>
        </w:rPr>
        <w:t>Timestamping:</w:t>
      </w:r>
      <w:r w:rsidRPr="00271719">
        <w:rPr>
          <w:rFonts w:cs="Arial"/>
          <w:lang w:eastAsia="ja-JP"/>
        </w:rPr>
        <w:t xml:space="preserve"> VANguard's timestamping service provides independent, verifiable electronic evidence of the date and time of an electronic transaction. This service enables agencies to gain an authoritative and defensible timestamp for a business transaction and to securely store the transaction record.</w:t>
      </w:r>
    </w:p>
    <w:p w14:paraId="5865FB00" w14:textId="77777777" w:rsidR="00A70754" w:rsidRDefault="00A70754" w:rsidP="00B91B23">
      <w:pPr>
        <w:pStyle w:val="NormalIndented"/>
        <w:spacing w:before="200"/>
        <w:rPr>
          <w:rFonts w:cs="Arial"/>
          <w:lang w:eastAsia="ja-JP"/>
        </w:rPr>
      </w:pPr>
      <w:r w:rsidRPr="001A34D1">
        <w:rPr>
          <w:rStyle w:val="Strong"/>
        </w:rPr>
        <w:t>Security token service</w:t>
      </w:r>
      <w:r w:rsidRPr="00271719">
        <w:rPr>
          <w:rFonts w:cs="Arial"/>
          <w:lang w:eastAsia="ja-JP"/>
        </w:rPr>
        <w:t>: This service enables agency systems and business systems to conduct secure online transactions.</w:t>
      </w:r>
      <w:r>
        <w:rPr>
          <w:rFonts w:cs="Arial"/>
          <w:lang w:eastAsia="ja-JP"/>
        </w:rPr>
        <w:t xml:space="preserve"> </w:t>
      </w:r>
      <w:r w:rsidRPr="00271719">
        <w:rPr>
          <w:rFonts w:cs="Arial"/>
          <w:lang w:eastAsia="ja-JP"/>
        </w:rPr>
        <w:t>Agencies and businesses obtain security tokens from VANguard to enable authentication. VANguard has undertaken high-level design of this service and is investigating its feasibility.</w:t>
      </w:r>
    </w:p>
    <w:p w14:paraId="5B5B0218" w14:textId="77777777" w:rsidR="00A70754" w:rsidRPr="00271719" w:rsidRDefault="00A70754" w:rsidP="00C52270">
      <w:pPr>
        <w:pStyle w:val="Heading2"/>
      </w:pPr>
      <w:bookmarkStart w:id="225" w:name="_Toc430770935"/>
      <w:r w:rsidRPr="00271719">
        <w:t>Standard Business Reporting (SBR) program</w:t>
      </w:r>
      <w:bookmarkEnd w:id="225"/>
    </w:p>
    <w:p w14:paraId="4D6C3D6B" w14:textId="77777777" w:rsidR="00A70754" w:rsidRPr="00271719" w:rsidRDefault="00A70754" w:rsidP="00B91B23">
      <w:pPr>
        <w:spacing w:before="200"/>
        <w:rPr>
          <w:lang w:eastAsia="ja-JP"/>
        </w:rPr>
      </w:pPr>
      <w:r w:rsidRPr="00271719">
        <w:rPr>
          <w:lang w:eastAsia="ja-JP"/>
        </w:rPr>
        <w:t>SBR is a multi-agency initiative that will simplify business to government reporting by:</w:t>
      </w:r>
    </w:p>
    <w:p w14:paraId="4C7CFE86" w14:textId="77777777" w:rsidR="00A70754" w:rsidRPr="00271719" w:rsidRDefault="00A70754" w:rsidP="00C52270">
      <w:pPr>
        <w:pStyle w:val="Bullet1"/>
        <w:rPr>
          <w:lang w:eastAsia="ja-JP"/>
        </w:rPr>
      </w:pPr>
      <w:r w:rsidRPr="00271719">
        <w:rPr>
          <w:lang w:eastAsia="ja-JP"/>
        </w:rPr>
        <w:t>making forms easier to understand</w:t>
      </w:r>
    </w:p>
    <w:p w14:paraId="723D2D8C" w14:textId="77777777" w:rsidR="00A70754" w:rsidRPr="00271719" w:rsidRDefault="00A70754" w:rsidP="00C52270">
      <w:pPr>
        <w:pStyle w:val="Bullet1"/>
        <w:rPr>
          <w:lang w:eastAsia="ja-JP"/>
        </w:rPr>
      </w:pPr>
      <w:r w:rsidRPr="00271719">
        <w:rPr>
          <w:lang w:eastAsia="ja-JP"/>
        </w:rPr>
        <w:t>using accounting/record keeping software to automatically pr</w:t>
      </w:r>
      <w:r w:rsidR="00BE178F">
        <w:rPr>
          <w:lang w:eastAsia="ja-JP"/>
        </w:rPr>
        <w:t>e</w:t>
      </w:r>
      <w:r w:rsidR="00BE178F">
        <w:rPr>
          <w:lang w:eastAsia="ja-JP"/>
        </w:rPr>
        <w:noBreakHyphen/>
      </w:r>
      <w:r w:rsidRPr="00271719">
        <w:rPr>
          <w:lang w:eastAsia="ja-JP"/>
        </w:rPr>
        <w:t>fill government forms</w:t>
      </w:r>
      <w:r>
        <w:rPr>
          <w:lang w:eastAsia="ja-JP"/>
        </w:rPr>
        <w:t>; and</w:t>
      </w:r>
    </w:p>
    <w:p w14:paraId="30095004" w14:textId="77777777" w:rsidR="00A70754" w:rsidRPr="00271719" w:rsidRDefault="00A70754" w:rsidP="00C52270">
      <w:pPr>
        <w:pStyle w:val="Bullet1"/>
        <w:rPr>
          <w:lang w:eastAsia="ja-JP"/>
        </w:rPr>
      </w:pPr>
      <w:r w:rsidRPr="00271719">
        <w:rPr>
          <w:lang w:eastAsia="ja-JP"/>
        </w:rPr>
        <w:t>introducing a single secure way to interact on-line with participating government agencies</w:t>
      </w:r>
    </w:p>
    <w:p w14:paraId="704F828A" w14:textId="77777777" w:rsidR="00A70754" w:rsidRPr="00271719" w:rsidRDefault="00A70754" w:rsidP="00B91B23">
      <w:pPr>
        <w:spacing w:before="200"/>
        <w:rPr>
          <w:lang w:eastAsia="ja-JP"/>
        </w:rPr>
      </w:pPr>
      <w:r w:rsidRPr="00271719">
        <w:rPr>
          <w:lang w:eastAsia="ja-JP"/>
        </w:rPr>
        <w:t>Government agencies participating in the SBR program include the Australian Treasury, Australian Bureau of Statistics (ABS), Australian Prudential Regulation Authority, Australian Securities and Investments Commission, Australian Taxation Office (ATO) and all state and territory government revenue offices.</w:t>
      </w:r>
    </w:p>
    <w:p w14:paraId="354FE736" w14:textId="77777777" w:rsidR="00A70754" w:rsidRPr="00271719" w:rsidRDefault="00A70754" w:rsidP="00B91B23">
      <w:pPr>
        <w:spacing w:before="200"/>
        <w:rPr>
          <w:lang w:eastAsia="ja-JP"/>
        </w:rPr>
      </w:pPr>
      <w:r w:rsidRPr="00271719">
        <w:rPr>
          <w:lang w:eastAsia="ja-JP"/>
        </w:rPr>
        <w:t>SBR is focusing on financial reporting first, since this set of forms affects most businesses.</w:t>
      </w:r>
      <w:r>
        <w:rPr>
          <w:lang w:eastAsia="ja-JP"/>
        </w:rPr>
        <w:t xml:space="preserve"> </w:t>
      </w:r>
      <w:r w:rsidRPr="00271719">
        <w:rPr>
          <w:lang w:eastAsia="ja-JP"/>
        </w:rPr>
        <w:t>Some examples of forms include the ATO’s Business Activity Statement and the ABS’ Quarterly Business Indicators Survey.</w:t>
      </w:r>
    </w:p>
    <w:p w14:paraId="5565DEDA" w14:textId="77777777" w:rsidR="00A70754" w:rsidRPr="00271719" w:rsidRDefault="00A70754" w:rsidP="00B91B23">
      <w:pPr>
        <w:spacing w:before="200"/>
        <w:rPr>
          <w:lang w:eastAsia="ja-JP"/>
        </w:rPr>
      </w:pPr>
      <w:r w:rsidRPr="00271719">
        <w:rPr>
          <w:lang w:eastAsia="ja-JP"/>
        </w:rPr>
        <w:t>Major work being undertaken in the lead-up to the</w:t>
      </w:r>
      <w:r>
        <w:rPr>
          <w:lang w:eastAsia="ja-JP"/>
        </w:rPr>
        <w:t> 201</w:t>
      </w:r>
      <w:r w:rsidRPr="00271719">
        <w:rPr>
          <w:lang w:eastAsia="ja-JP"/>
        </w:rPr>
        <w:t>0 SBR implementation include:</w:t>
      </w:r>
    </w:p>
    <w:p w14:paraId="4023420A" w14:textId="77777777" w:rsidR="00A70754" w:rsidRPr="00271719" w:rsidRDefault="00A70754" w:rsidP="00C52270">
      <w:pPr>
        <w:pStyle w:val="Bullet1"/>
        <w:rPr>
          <w:lang w:eastAsia="ja-JP"/>
        </w:rPr>
      </w:pPr>
      <w:r w:rsidRPr="00271719">
        <w:rPr>
          <w:lang w:eastAsia="ja-JP"/>
        </w:rPr>
        <w:t>the standardisation of reporting terms</w:t>
      </w:r>
    </w:p>
    <w:p w14:paraId="23A9423E" w14:textId="77777777" w:rsidR="00A70754" w:rsidRPr="00271719" w:rsidRDefault="00A70754" w:rsidP="00C52270">
      <w:pPr>
        <w:pStyle w:val="Bullet1"/>
        <w:rPr>
          <w:rFonts w:cs="Arial"/>
          <w:bCs/>
          <w:lang w:eastAsia="ja-JP"/>
        </w:rPr>
      </w:pPr>
      <w:r w:rsidRPr="00271719">
        <w:rPr>
          <w:rFonts w:cs="Arial"/>
          <w:bCs/>
          <w:lang w:eastAsia="ja-JP"/>
        </w:rPr>
        <w:t>development of a reporting taxonomy using XBRL (</w:t>
      </w:r>
      <w:r w:rsidRPr="00271719">
        <w:t>XBRL is an XML-based open standard language specifically designed to improve electronic communication of financial data</w:t>
      </w:r>
      <w:r w:rsidRPr="00271719">
        <w:rPr>
          <w:rFonts w:cs="Arial"/>
          <w:bCs/>
          <w:lang w:eastAsia="ja-JP"/>
        </w:rPr>
        <w:t>)</w:t>
      </w:r>
    </w:p>
    <w:p w14:paraId="2F5EF860" w14:textId="77777777" w:rsidR="00A70754" w:rsidRPr="00271719" w:rsidRDefault="00A70754" w:rsidP="00C52270">
      <w:pPr>
        <w:pStyle w:val="Bullet1"/>
        <w:rPr>
          <w:lang w:eastAsia="ja-JP"/>
        </w:rPr>
      </w:pPr>
      <w:r w:rsidRPr="00271719">
        <w:rPr>
          <w:lang w:eastAsia="ja-JP"/>
        </w:rPr>
        <w:t>the standardisation of relationships between accounting terms and information reportable to</w:t>
      </w:r>
      <w:r w:rsidR="00061CE2">
        <w:rPr>
          <w:lang w:eastAsia="ja-JP"/>
        </w:rPr>
        <w:t> </w:t>
      </w:r>
      <w:r w:rsidRPr="00271719">
        <w:rPr>
          <w:lang w:eastAsia="ja-JP"/>
        </w:rPr>
        <w:t>government</w:t>
      </w:r>
    </w:p>
    <w:p w14:paraId="696B4906" w14:textId="77777777" w:rsidR="00A70754" w:rsidRPr="00271719" w:rsidRDefault="00A70754" w:rsidP="00C52270">
      <w:pPr>
        <w:pStyle w:val="Bullet1"/>
        <w:rPr>
          <w:lang w:eastAsia="ja-JP"/>
        </w:rPr>
      </w:pPr>
      <w:r w:rsidRPr="00271719">
        <w:rPr>
          <w:lang w:eastAsia="ja-JP"/>
        </w:rPr>
        <w:t>the mapping of reporting rules and relationships to a business’s account within their record</w:t>
      </w:r>
      <w:r w:rsidR="00061CE2">
        <w:rPr>
          <w:lang w:eastAsia="ja-JP"/>
        </w:rPr>
        <w:noBreakHyphen/>
      </w:r>
      <w:r w:rsidRPr="00271719">
        <w:rPr>
          <w:lang w:eastAsia="ja-JP"/>
        </w:rPr>
        <w:t>keeping</w:t>
      </w:r>
      <w:r w:rsidR="00061CE2">
        <w:rPr>
          <w:lang w:eastAsia="ja-JP"/>
        </w:rPr>
        <w:t> </w:t>
      </w:r>
      <w:r w:rsidRPr="00271719">
        <w:rPr>
          <w:lang w:eastAsia="ja-JP"/>
        </w:rPr>
        <w:t>system</w:t>
      </w:r>
    </w:p>
    <w:p w14:paraId="53DD5654" w14:textId="77777777" w:rsidR="00A70754" w:rsidRPr="00271719" w:rsidRDefault="00A70754" w:rsidP="00C52270">
      <w:pPr>
        <w:pStyle w:val="Bullet1"/>
        <w:rPr>
          <w:lang w:eastAsia="ja-JP"/>
        </w:rPr>
      </w:pPr>
      <w:r w:rsidRPr="00271719">
        <w:rPr>
          <w:lang w:eastAsia="ja-JP"/>
        </w:rPr>
        <w:t>the development of SBR core services</w:t>
      </w:r>
    </w:p>
    <w:p w14:paraId="6D45A49D" w14:textId="77777777" w:rsidR="00A70754" w:rsidRPr="00271719" w:rsidRDefault="00A70754" w:rsidP="00C52270">
      <w:pPr>
        <w:pStyle w:val="Bullet1"/>
        <w:rPr>
          <w:lang w:eastAsia="ja-JP"/>
        </w:rPr>
      </w:pPr>
      <w:r w:rsidRPr="00271719">
        <w:rPr>
          <w:lang w:eastAsia="ja-JP"/>
        </w:rPr>
        <w:t>connecting government agency systems to the core services</w:t>
      </w:r>
      <w:r>
        <w:rPr>
          <w:lang w:eastAsia="ja-JP"/>
        </w:rPr>
        <w:t>; and</w:t>
      </w:r>
    </w:p>
    <w:p w14:paraId="23C8FB8B" w14:textId="77777777" w:rsidR="00A70754" w:rsidRPr="00271719" w:rsidRDefault="00A70754" w:rsidP="00C52270">
      <w:pPr>
        <w:pStyle w:val="Bullet1"/>
        <w:rPr>
          <w:lang w:eastAsia="ja-JP"/>
        </w:rPr>
      </w:pPr>
      <w:r w:rsidRPr="00271719">
        <w:rPr>
          <w:lang w:eastAsia="ja-JP"/>
        </w:rPr>
        <w:t>education and two-way communication with business, software developers and business intermediaries.</w:t>
      </w:r>
    </w:p>
    <w:p w14:paraId="7066DB89" w14:textId="77777777" w:rsidR="00A70754" w:rsidRDefault="00A70754" w:rsidP="00C52270">
      <w:pPr>
        <w:pStyle w:val="Heading1"/>
      </w:pPr>
      <w:bookmarkStart w:id="226" w:name="_Toc430770936"/>
      <w:bookmarkStart w:id="227" w:name="_Ref430782450"/>
      <w:r w:rsidRPr="00DF35D8">
        <w:lastRenderedPageBreak/>
        <w:t>Schedule A: Registration approaches</w:t>
      </w:r>
      <w:bookmarkEnd w:id="226"/>
      <w:bookmarkEnd w:id="227"/>
    </w:p>
    <w:p w14:paraId="35010105" w14:textId="77777777" w:rsidR="00A70754" w:rsidRPr="00DF35D8" w:rsidRDefault="00A70754" w:rsidP="00C52270">
      <w:pPr>
        <w:pStyle w:val="Heading2"/>
      </w:pPr>
      <w:bookmarkStart w:id="228" w:name="_Toc194766713"/>
      <w:bookmarkStart w:id="229" w:name="_Ref203751886"/>
      <w:bookmarkStart w:id="230" w:name="_Toc430770937"/>
      <w:bookmarkStart w:id="231" w:name="OLE_LINK9"/>
      <w:bookmarkStart w:id="232" w:name="OLE_LINK10"/>
      <w:r w:rsidRPr="00DF35D8">
        <w:t>Schedule A1:</w:t>
      </w:r>
      <w:r w:rsidR="00C52270">
        <w:t xml:space="preserve"> </w:t>
      </w:r>
      <w:r w:rsidRPr="00DF35D8">
        <w:t>Registration of individuals and individuals as representatives of organisations</w:t>
      </w:r>
      <w:bookmarkEnd w:id="228"/>
      <w:bookmarkEnd w:id="229"/>
      <w:r w:rsidRPr="00DF35D8">
        <w:t>.</w:t>
      </w:r>
      <w:bookmarkEnd w:id="230"/>
    </w:p>
    <w:p w14:paraId="0290E62D" w14:textId="77777777" w:rsidR="00A70754" w:rsidRPr="00271719" w:rsidRDefault="00A70754" w:rsidP="00C52270">
      <w:r w:rsidRPr="00271719">
        <w:t xml:space="preserve">Registration strengths will vary depending on whether the particular </w:t>
      </w:r>
      <w:r w:rsidR="00BE178F">
        <w:t>e</w:t>
      </w:r>
      <w:r w:rsidR="00BE178F">
        <w:noBreakHyphen/>
      </w:r>
      <w:r>
        <w:t>Authentication</w:t>
      </w:r>
      <w:r w:rsidRPr="00271719">
        <w:t xml:space="preserve"> solution is operating as part of a closed community of interest or as part of a wider federated identity implementation.</w:t>
      </w:r>
      <w:r>
        <w:t xml:space="preserve"> </w:t>
      </w:r>
      <w:r w:rsidRPr="00271719">
        <w:t>Reliance on initial registration processes (and therefore issued credentials) will require the relying agency to have a good understanding of the registration models employed.</w:t>
      </w:r>
    </w:p>
    <w:p w14:paraId="0BDAF929" w14:textId="77777777" w:rsidR="00A70754" w:rsidRPr="00C52270" w:rsidRDefault="00A70754" w:rsidP="00C52270">
      <w:pPr>
        <w:rPr>
          <w:rStyle w:val="Strong"/>
        </w:rPr>
      </w:pPr>
      <w:r w:rsidRPr="00C52270">
        <w:rPr>
          <w:rStyle w:val="Strong"/>
        </w:rPr>
        <w:t>The guidance provided below is indicative only.</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641"/>
        <w:gridCol w:w="940"/>
        <w:gridCol w:w="2888"/>
        <w:gridCol w:w="1480"/>
        <w:gridCol w:w="2111"/>
      </w:tblGrid>
      <w:tr w:rsidR="00A70754" w:rsidRPr="00C52270" w14:paraId="46244CF6" w14:textId="77777777" w:rsidTr="00C52270">
        <w:trPr>
          <w:cnfStyle w:val="100000000000" w:firstRow="1" w:lastRow="0" w:firstColumn="0" w:lastColumn="0" w:oddVBand="0" w:evenVBand="0" w:oddHBand="0" w:evenHBand="0" w:firstRowFirstColumn="0" w:firstRowLastColumn="0" w:lastRowFirstColumn="0" w:lastRowLastColumn="0"/>
          <w:trHeight w:val="387"/>
          <w:tblHeader/>
        </w:trPr>
        <w:tc>
          <w:tcPr>
            <w:tcW w:w="905" w:type="pct"/>
          </w:tcPr>
          <w:p w14:paraId="6A953ED6" w14:textId="77777777" w:rsidR="00A70754" w:rsidRPr="00C52270" w:rsidRDefault="00A70754" w:rsidP="00C52270">
            <w:pPr>
              <w:pStyle w:val="Normal-TableText"/>
            </w:pPr>
            <w:r w:rsidRPr="00C52270">
              <w:t>Registration basis</w:t>
            </w:r>
          </w:p>
        </w:tc>
        <w:tc>
          <w:tcPr>
            <w:tcW w:w="4095" w:type="pct"/>
            <w:gridSpan w:val="4"/>
          </w:tcPr>
          <w:p w14:paraId="7A987743" w14:textId="77777777" w:rsidR="00A70754" w:rsidRPr="00C52270" w:rsidRDefault="00A70754" w:rsidP="00C52270">
            <w:pPr>
              <w:pStyle w:val="Normal-TableText"/>
            </w:pPr>
            <w:r w:rsidRPr="00C52270">
              <w:t xml:space="preserve">Registration requirements by registration strength </w:t>
            </w:r>
          </w:p>
        </w:tc>
      </w:tr>
      <w:tr w:rsidR="00A70754" w:rsidRPr="00C52270" w14:paraId="01C7A239" w14:textId="77777777" w:rsidTr="00C52270">
        <w:trPr>
          <w:cnfStyle w:val="100000000000" w:firstRow="1" w:lastRow="0" w:firstColumn="0" w:lastColumn="0" w:oddVBand="0" w:evenVBand="0" w:oddHBand="0" w:evenHBand="0" w:firstRowFirstColumn="0" w:firstRowLastColumn="0" w:lastRowFirstColumn="0" w:lastRowLastColumn="0"/>
          <w:tblHeader/>
        </w:trPr>
        <w:tc>
          <w:tcPr>
            <w:tcW w:w="905" w:type="pct"/>
          </w:tcPr>
          <w:p w14:paraId="79A94A83" w14:textId="77777777" w:rsidR="00A70754" w:rsidRPr="00C52270" w:rsidRDefault="00A70754" w:rsidP="00C52270">
            <w:pPr>
              <w:pStyle w:val="Normal-TableText"/>
            </w:pPr>
          </w:p>
        </w:tc>
        <w:tc>
          <w:tcPr>
            <w:tcW w:w="519" w:type="pct"/>
          </w:tcPr>
          <w:p w14:paraId="6E9C78ED" w14:textId="77777777" w:rsidR="00A70754" w:rsidRPr="00C52270" w:rsidRDefault="00A70754" w:rsidP="00C52270">
            <w:pPr>
              <w:pStyle w:val="Normal-TableText"/>
            </w:pPr>
            <w:r w:rsidRPr="00C52270">
              <w:t>Level 1</w:t>
            </w:r>
          </w:p>
        </w:tc>
        <w:tc>
          <w:tcPr>
            <w:tcW w:w="1594" w:type="pct"/>
          </w:tcPr>
          <w:p w14:paraId="03D80753" w14:textId="77777777" w:rsidR="00A70754" w:rsidRPr="00C52270" w:rsidRDefault="00A70754" w:rsidP="00C52270">
            <w:pPr>
              <w:pStyle w:val="Normal-TableText"/>
            </w:pPr>
            <w:r w:rsidRPr="00C52270">
              <w:t>Level 2</w:t>
            </w:r>
          </w:p>
        </w:tc>
        <w:tc>
          <w:tcPr>
            <w:tcW w:w="817" w:type="pct"/>
          </w:tcPr>
          <w:p w14:paraId="119DABEF" w14:textId="77777777" w:rsidR="00A70754" w:rsidRPr="00C52270" w:rsidRDefault="00A70754" w:rsidP="00C52270">
            <w:pPr>
              <w:pStyle w:val="Normal-TableText"/>
            </w:pPr>
            <w:r w:rsidRPr="00C52270">
              <w:t>Level 3</w:t>
            </w:r>
          </w:p>
        </w:tc>
        <w:tc>
          <w:tcPr>
            <w:tcW w:w="1165" w:type="pct"/>
          </w:tcPr>
          <w:p w14:paraId="68D9ACD0" w14:textId="77777777" w:rsidR="00A70754" w:rsidRPr="00C52270" w:rsidRDefault="00A70754" w:rsidP="00C52270">
            <w:pPr>
              <w:pStyle w:val="Normal-TableText"/>
            </w:pPr>
            <w:r w:rsidRPr="00C52270">
              <w:t>Level 4</w:t>
            </w:r>
          </w:p>
        </w:tc>
      </w:tr>
      <w:tr w:rsidR="00A70754" w:rsidRPr="00C52270" w14:paraId="031ACB2B" w14:textId="77777777" w:rsidTr="00C52270">
        <w:tc>
          <w:tcPr>
            <w:tcW w:w="905" w:type="pct"/>
          </w:tcPr>
          <w:p w14:paraId="62A72571" w14:textId="77777777" w:rsidR="00A70754" w:rsidRPr="00C52270" w:rsidRDefault="00A70754" w:rsidP="00C52270">
            <w:pPr>
              <w:pStyle w:val="Normal-TableText"/>
            </w:pPr>
            <w:r w:rsidRPr="00C52270">
              <w:t>Evidence of identity (EoI) basis</w:t>
            </w:r>
          </w:p>
        </w:tc>
        <w:tc>
          <w:tcPr>
            <w:tcW w:w="519" w:type="pct"/>
          </w:tcPr>
          <w:p w14:paraId="41545DDC" w14:textId="77777777" w:rsidR="00A70754" w:rsidRPr="00C52270" w:rsidRDefault="00A70754" w:rsidP="00C52270">
            <w:pPr>
              <w:pStyle w:val="Normal-TableText"/>
            </w:pPr>
            <w:r w:rsidRPr="00C52270">
              <w:t>None</w:t>
            </w:r>
          </w:p>
        </w:tc>
        <w:tc>
          <w:tcPr>
            <w:tcW w:w="1594" w:type="pct"/>
          </w:tcPr>
          <w:p w14:paraId="5CA18A6D" w14:textId="77777777" w:rsidR="00A70754" w:rsidRPr="00C52270" w:rsidRDefault="00A70754" w:rsidP="00C52270">
            <w:pPr>
              <w:pStyle w:val="Normal-TableText"/>
            </w:pPr>
            <w:r w:rsidRPr="00C52270">
              <w:t>Provision of images of documents from the Gatekeeper EoI Policy</w:t>
            </w:r>
          </w:p>
          <w:p w14:paraId="3C4858B5" w14:textId="77777777" w:rsidR="00A70754" w:rsidRPr="00C52270" w:rsidRDefault="00A70754" w:rsidP="00C52270">
            <w:pPr>
              <w:pStyle w:val="Normal-TableText"/>
            </w:pPr>
            <w:r w:rsidRPr="00C52270">
              <w:t>PoI Framework Policy:</w:t>
            </w:r>
          </w:p>
          <w:p w14:paraId="3E7FDAD1" w14:textId="77777777" w:rsidR="00A70754" w:rsidRPr="00C52270" w:rsidRDefault="00A70754" w:rsidP="00C52270">
            <w:pPr>
              <w:pStyle w:val="Bullet1"/>
            </w:pPr>
            <w:r w:rsidRPr="00C52270">
              <w:t>One Category B document</w:t>
            </w:r>
          </w:p>
          <w:p w14:paraId="49FA4D35" w14:textId="77777777" w:rsidR="00A70754" w:rsidRPr="00C52270" w:rsidRDefault="00A70754" w:rsidP="00C52270">
            <w:pPr>
              <w:pStyle w:val="Bullet1"/>
            </w:pPr>
            <w:r w:rsidRPr="00C52270">
              <w:t>Two Category C documents</w:t>
            </w:r>
          </w:p>
        </w:tc>
        <w:tc>
          <w:tcPr>
            <w:tcW w:w="817" w:type="pct"/>
          </w:tcPr>
          <w:p w14:paraId="2270B675" w14:textId="77777777" w:rsidR="00A70754" w:rsidRPr="00C52270" w:rsidRDefault="00A70754" w:rsidP="00C52270">
            <w:pPr>
              <w:pStyle w:val="Normal-TableText"/>
            </w:pPr>
            <w:r w:rsidRPr="00C52270">
              <w:t>“General” Gatekeeper requirements</w:t>
            </w:r>
          </w:p>
        </w:tc>
        <w:tc>
          <w:tcPr>
            <w:tcW w:w="1165" w:type="pct"/>
          </w:tcPr>
          <w:p w14:paraId="591475ED" w14:textId="77777777" w:rsidR="00A70754" w:rsidRPr="00C52270" w:rsidRDefault="00A70754" w:rsidP="00C52270">
            <w:pPr>
              <w:pStyle w:val="Normal-TableText"/>
            </w:pPr>
            <w:r w:rsidRPr="00C52270">
              <w:t>Gold Standard Enrolment Framework (GSEF)</w:t>
            </w:r>
            <w:r w:rsidRPr="001A34D1">
              <w:rPr>
                <w:rStyle w:val="FootnoteReference"/>
              </w:rPr>
              <w:footnoteReference w:id="11"/>
            </w:r>
          </w:p>
          <w:p w14:paraId="00FCF39F" w14:textId="77777777" w:rsidR="00A70754" w:rsidRPr="00C52270" w:rsidRDefault="00A70754" w:rsidP="00C52270">
            <w:pPr>
              <w:pStyle w:val="Normal-TableText"/>
            </w:pPr>
            <w:r w:rsidRPr="00C52270">
              <w:t>“High-assurance” Gatekeeper requirements</w:t>
            </w:r>
          </w:p>
        </w:tc>
      </w:tr>
      <w:tr w:rsidR="00A70754" w:rsidRPr="00C52270" w14:paraId="38847D1B" w14:textId="77777777" w:rsidTr="00C52270">
        <w:tc>
          <w:tcPr>
            <w:tcW w:w="905" w:type="pct"/>
          </w:tcPr>
          <w:p w14:paraId="35F0F123" w14:textId="77777777" w:rsidR="00A70754" w:rsidRPr="00C52270" w:rsidRDefault="00A70754" w:rsidP="00C52270">
            <w:pPr>
              <w:pStyle w:val="Normal-TableText"/>
            </w:pPr>
            <w:r w:rsidRPr="00C52270">
              <w:t>Known customer basis</w:t>
            </w:r>
          </w:p>
        </w:tc>
        <w:tc>
          <w:tcPr>
            <w:tcW w:w="519" w:type="pct"/>
          </w:tcPr>
          <w:p w14:paraId="775F99BF" w14:textId="77777777" w:rsidR="00A70754" w:rsidRPr="00C52270" w:rsidRDefault="00A70754" w:rsidP="00C52270">
            <w:pPr>
              <w:pStyle w:val="Normal-TableText"/>
            </w:pPr>
            <w:r w:rsidRPr="00C52270">
              <w:t>None</w:t>
            </w:r>
          </w:p>
        </w:tc>
        <w:tc>
          <w:tcPr>
            <w:tcW w:w="1594" w:type="pct"/>
          </w:tcPr>
          <w:p w14:paraId="299A37AA" w14:textId="77777777" w:rsidR="00A70754" w:rsidRPr="00C52270" w:rsidRDefault="00A70754" w:rsidP="00C52270">
            <w:pPr>
              <w:pStyle w:val="Normal-TableText"/>
            </w:pPr>
            <w:r w:rsidRPr="00C52270">
              <w:t>Evidence of existing relationship with agency.</w:t>
            </w:r>
          </w:p>
          <w:p w14:paraId="1C56313A" w14:textId="77777777" w:rsidR="00A70754" w:rsidRPr="00C52270" w:rsidRDefault="00A70754" w:rsidP="00C52270">
            <w:pPr>
              <w:pStyle w:val="Normal-TableText"/>
            </w:pPr>
            <w:r w:rsidRPr="00C52270">
              <w:t>Activation of credential requires successful responses (by the user) to agency challenges regarding shared information.</w:t>
            </w:r>
          </w:p>
        </w:tc>
        <w:tc>
          <w:tcPr>
            <w:tcW w:w="817" w:type="pct"/>
          </w:tcPr>
          <w:p w14:paraId="31AB47F3" w14:textId="77777777" w:rsidR="00A70754" w:rsidRPr="00C52270" w:rsidRDefault="00A70754" w:rsidP="00C52270">
            <w:pPr>
              <w:pStyle w:val="Normal-TableText"/>
            </w:pPr>
            <w:r w:rsidRPr="00C52270">
              <w:t>“General” Gatekeeper requirements</w:t>
            </w:r>
          </w:p>
        </w:tc>
        <w:tc>
          <w:tcPr>
            <w:tcW w:w="1165" w:type="pct"/>
          </w:tcPr>
          <w:p w14:paraId="12F412DE" w14:textId="77777777" w:rsidR="00A70754" w:rsidRPr="00C52270" w:rsidRDefault="00A70754" w:rsidP="00C52270">
            <w:pPr>
              <w:pStyle w:val="Normal-TableText"/>
            </w:pPr>
            <w:r w:rsidRPr="00C52270">
              <w:t>Not Applicable</w:t>
            </w:r>
          </w:p>
        </w:tc>
      </w:tr>
    </w:tbl>
    <w:p w14:paraId="4DC03FF6" w14:textId="77777777" w:rsidR="00A70754" w:rsidRDefault="00A70754" w:rsidP="00C52270">
      <w:bookmarkStart w:id="233" w:name="_Toc194766714"/>
      <w:bookmarkStart w:id="234" w:name="_Ref203751913"/>
    </w:p>
    <w:p w14:paraId="6362A153" w14:textId="77777777" w:rsidR="00A70754" w:rsidRPr="00DF35D8" w:rsidRDefault="00A70754" w:rsidP="00C52270">
      <w:pPr>
        <w:pStyle w:val="Heading2"/>
      </w:pPr>
      <w:r w:rsidRPr="001A34D1">
        <w:br w:type="page"/>
      </w:r>
      <w:bookmarkStart w:id="235" w:name="_Toc430770938"/>
      <w:r w:rsidRPr="00DF35D8">
        <w:lastRenderedPageBreak/>
        <w:t xml:space="preserve">Schedule A2. Registration of </w:t>
      </w:r>
      <w:bookmarkEnd w:id="233"/>
      <w:bookmarkEnd w:id="234"/>
      <w:r w:rsidRPr="00DF35D8">
        <w:t>authorised representatives</w:t>
      </w:r>
      <w:bookmarkEnd w:id="235"/>
    </w:p>
    <w:p w14:paraId="59D3C8A3" w14:textId="77777777" w:rsidR="00A70754" w:rsidRPr="00271719" w:rsidRDefault="00A70754" w:rsidP="00C52270">
      <w:r w:rsidRPr="00271719">
        <w:t>Authorised representatives may act on behalf of either individuals or businesses. Registration models for authorised representatives may follow all or only some of the following steps:</w:t>
      </w:r>
    </w:p>
    <w:p w14:paraId="2CC50D1A" w14:textId="77777777" w:rsidR="00A70754" w:rsidRPr="00C52270" w:rsidRDefault="00A70754" w:rsidP="00C52270">
      <w:pPr>
        <w:rPr>
          <w:rStyle w:val="Strong"/>
        </w:rPr>
      </w:pPr>
      <w:r w:rsidRPr="00C52270">
        <w:rPr>
          <w:rStyle w:val="Strong"/>
        </w:rPr>
        <w:t>The guidance provided below is indicative only.</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41"/>
        <w:gridCol w:w="1308"/>
        <w:gridCol w:w="2488"/>
        <w:gridCol w:w="1562"/>
        <w:gridCol w:w="1961"/>
      </w:tblGrid>
      <w:tr w:rsidR="00A70754" w:rsidRPr="00C52270" w14:paraId="6BDC782E" w14:textId="77777777" w:rsidTr="00C52270">
        <w:trPr>
          <w:cnfStyle w:val="100000000000" w:firstRow="1" w:lastRow="0" w:firstColumn="0" w:lastColumn="0" w:oddVBand="0" w:evenVBand="0" w:oddHBand="0" w:evenHBand="0" w:firstRowFirstColumn="0" w:firstRowLastColumn="0" w:lastRowFirstColumn="0" w:lastRowLastColumn="0"/>
          <w:trHeight w:val="337"/>
          <w:tblHeader/>
        </w:trPr>
        <w:tc>
          <w:tcPr>
            <w:tcW w:w="961" w:type="pct"/>
          </w:tcPr>
          <w:p w14:paraId="1E9469E7" w14:textId="77777777" w:rsidR="00A70754" w:rsidRPr="00C52270" w:rsidRDefault="00A70754" w:rsidP="00C52270">
            <w:pPr>
              <w:pStyle w:val="Normal-TableText"/>
            </w:pPr>
            <w:r w:rsidRPr="00C52270">
              <w:t>Registration basis</w:t>
            </w:r>
          </w:p>
        </w:tc>
        <w:tc>
          <w:tcPr>
            <w:tcW w:w="4039" w:type="pct"/>
            <w:gridSpan w:val="4"/>
          </w:tcPr>
          <w:p w14:paraId="3EAF7306" w14:textId="77777777" w:rsidR="00A70754" w:rsidRPr="00C52270" w:rsidRDefault="00A70754" w:rsidP="00C52270">
            <w:pPr>
              <w:pStyle w:val="Normal-TableText"/>
            </w:pPr>
            <w:r w:rsidRPr="00C52270">
              <w:t xml:space="preserve">Registration requirements by registration strength </w:t>
            </w:r>
          </w:p>
        </w:tc>
      </w:tr>
      <w:tr w:rsidR="00A70754" w:rsidRPr="00C52270" w14:paraId="519CA927" w14:textId="77777777" w:rsidTr="00C52270">
        <w:trPr>
          <w:cnfStyle w:val="100000000000" w:firstRow="1" w:lastRow="0" w:firstColumn="0" w:lastColumn="0" w:oddVBand="0" w:evenVBand="0" w:oddHBand="0" w:evenHBand="0" w:firstRowFirstColumn="0" w:firstRowLastColumn="0" w:lastRowFirstColumn="0" w:lastRowLastColumn="0"/>
          <w:tblHeader/>
        </w:trPr>
        <w:tc>
          <w:tcPr>
            <w:tcW w:w="961" w:type="pct"/>
          </w:tcPr>
          <w:p w14:paraId="03FB7619" w14:textId="77777777" w:rsidR="00A70754" w:rsidRPr="00C52270" w:rsidRDefault="00A70754" w:rsidP="00C52270">
            <w:pPr>
              <w:pStyle w:val="Normal-TableText"/>
            </w:pPr>
          </w:p>
        </w:tc>
        <w:tc>
          <w:tcPr>
            <w:tcW w:w="722" w:type="pct"/>
          </w:tcPr>
          <w:p w14:paraId="60EE5A72" w14:textId="77777777" w:rsidR="00A70754" w:rsidRPr="00C52270" w:rsidRDefault="00A70754" w:rsidP="00C52270">
            <w:pPr>
              <w:pStyle w:val="Normal-TableText"/>
            </w:pPr>
            <w:r w:rsidRPr="00C52270">
              <w:t>Level 1</w:t>
            </w:r>
          </w:p>
        </w:tc>
        <w:tc>
          <w:tcPr>
            <w:tcW w:w="1373" w:type="pct"/>
          </w:tcPr>
          <w:p w14:paraId="3310BE8D" w14:textId="77777777" w:rsidR="00A70754" w:rsidRPr="00C52270" w:rsidRDefault="00A70754" w:rsidP="00C52270">
            <w:pPr>
              <w:pStyle w:val="Normal-TableText"/>
            </w:pPr>
            <w:r w:rsidRPr="00C52270">
              <w:t>Level 2</w:t>
            </w:r>
          </w:p>
        </w:tc>
        <w:tc>
          <w:tcPr>
            <w:tcW w:w="862" w:type="pct"/>
          </w:tcPr>
          <w:p w14:paraId="246AF9B9" w14:textId="77777777" w:rsidR="00A70754" w:rsidRPr="00C52270" w:rsidRDefault="00A70754" w:rsidP="00C52270">
            <w:pPr>
              <w:pStyle w:val="Normal-TableText"/>
            </w:pPr>
            <w:r w:rsidRPr="00C52270">
              <w:t>Level 3</w:t>
            </w:r>
          </w:p>
        </w:tc>
        <w:tc>
          <w:tcPr>
            <w:tcW w:w="1080" w:type="pct"/>
          </w:tcPr>
          <w:p w14:paraId="36FAE129" w14:textId="77777777" w:rsidR="00A70754" w:rsidRPr="00C52270" w:rsidRDefault="00A70754" w:rsidP="00C52270">
            <w:pPr>
              <w:pStyle w:val="Normal-TableText"/>
            </w:pPr>
            <w:r w:rsidRPr="00C52270">
              <w:t>Level 4</w:t>
            </w:r>
          </w:p>
        </w:tc>
      </w:tr>
      <w:tr w:rsidR="00A70754" w:rsidRPr="00C52270" w14:paraId="1B5CACB9" w14:textId="77777777" w:rsidTr="00C52270">
        <w:tc>
          <w:tcPr>
            <w:tcW w:w="961" w:type="pct"/>
          </w:tcPr>
          <w:p w14:paraId="02120D0C" w14:textId="77777777" w:rsidR="00A70754" w:rsidRPr="00C52270" w:rsidRDefault="00A70754" w:rsidP="00C52270">
            <w:pPr>
              <w:pStyle w:val="Normal-TableText"/>
            </w:pPr>
            <w:r w:rsidRPr="00C52270">
              <w:t>Evidence of identity (EoI) basis for individual to be represented (Principal)</w:t>
            </w:r>
          </w:p>
        </w:tc>
        <w:tc>
          <w:tcPr>
            <w:tcW w:w="722" w:type="pct"/>
          </w:tcPr>
          <w:p w14:paraId="098B2A9A" w14:textId="77777777" w:rsidR="00A70754" w:rsidRPr="00C52270" w:rsidRDefault="00A70754" w:rsidP="00C52270">
            <w:pPr>
              <w:pStyle w:val="Normal-TableText"/>
            </w:pPr>
            <w:r w:rsidRPr="00C52270">
              <w:t>Not applicable</w:t>
            </w:r>
          </w:p>
        </w:tc>
        <w:tc>
          <w:tcPr>
            <w:tcW w:w="1373" w:type="pct"/>
          </w:tcPr>
          <w:p w14:paraId="3AEE13FD" w14:textId="77777777" w:rsidR="00A70754" w:rsidRPr="00C52270" w:rsidRDefault="00A70754" w:rsidP="00C52270">
            <w:pPr>
              <w:pStyle w:val="Normal-TableText"/>
            </w:pPr>
            <w:r w:rsidRPr="00C52270">
              <w:t>Provision of images</w:t>
            </w:r>
            <w:r w:rsidRPr="00C52270">
              <w:rPr>
                <w:rStyle w:val="FootnoteReference"/>
              </w:rPr>
              <w:footnoteReference w:id="12"/>
            </w:r>
            <w:r w:rsidRPr="00C52270">
              <w:t xml:space="preserve"> of documents from the Gatekeeper EoI Policy, PoI Framework Policy:</w:t>
            </w:r>
          </w:p>
          <w:p w14:paraId="5A81AAAA" w14:textId="77777777" w:rsidR="00C52270" w:rsidRDefault="00A70754" w:rsidP="00C52270">
            <w:pPr>
              <w:pStyle w:val="Bullet1"/>
            </w:pPr>
            <w:r w:rsidRPr="00C52270">
              <w:t>One Category B document</w:t>
            </w:r>
          </w:p>
          <w:p w14:paraId="3B7D1D8A" w14:textId="77777777" w:rsidR="00A70754" w:rsidRPr="00C52270" w:rsidRDefault="00A70754" w:rsidP="00C52270">
            <w:pPr>
              <w:pStyle w:val="Bullet1"/>
            </w:pPr>
            <w:r w:rsidRPr="00C52270">
              <w:t>Two Category C documents</w:t>
            </w:r>
          </w:p>
        </w:tc>
        <w:tc>
          <w:tcPr>
            <w:tcW w:w="862" w:type="pct"/>
          </w:tcPr>
          <w:p w14:paraId="49E3128C" w14:textId="77777777" w:rsidR="00A70754" w:rsidRPr="00C52270" w:rsidRDefault="00A70754" w:rsidP="00C52270">
            <w:pPr>
              <w:pStyle w:val="Normal-TableText"/>
            </w:pPr>
            <w:r w:rsidRPr="00C52270">
              <w:t>“General” gatekeeper requirements</w:t>
            </w:r>
          </w:p>
        </w:tc>
        <w:tc>
          <w:tcPr>
            <w:tcW w:w="1080" w:type="pct"/>
          </w:tcPr>
          <w:p w14:paraId="274B4F6A" w14:textId="77777777" w:rsidR="00A70754" w:rsidRPr="00C52270" w:rsidRDefault="00A70754" w:rsidP="00C52270">
            <w:pPr>
              <w:pStyle w:val="Normal-TableText"/>
            </w:pPr>
            <w:r w:rsidRPr="00C52270">
              <w:t>GSEF</w:t>
            </w:r>
          </w:p>
          <w:p w14:paraId="0F326516" w14:textId="77777777" w:rsidR="00A70754" w:rsidRPr="00C52270" w:rsidRDefault="00A70754" w:rsidP="00C52270">
            <w:pPr>
              <w:pStyle w:val="Normal-TableText"/>
            </w:pPr>
            <w:r w:rsidRPr="00C52270">
              <w:t>“High-assurance” Gatekeeper requirements</w:t>
            </w:r>
          </w:p>
        </w:tc>
      </w:tr>
      <w:tr w:rsidR="00A70754" w:rsidRPr="00C52270" w14:paraId="589BBDBA" w14:textId="77777777" w:rsidTr="00C52270">
        <w:tc>
          <w:tcPr>
            <w:tcW w:w="961" w:type="pct"/>
          </w:tcPr>
          <w:p w14:paraId="4D5B03BB" w14:textId="77777777" w:rsidR="00A70754" w:rsidRPr="00C52270" w:rsidRDefault="00A70754" w:rsidP="00C52270">
            <w:pPr>
              <w:pStyle w:val="Normal-TableText"/>
            </w:pPr>
            <w:r w:rsidRPr="00C52270">
              <w:t>EoI basis for representative</w:t>
            </w:r>
          </w:p>
        </w:tc>
        <w:tc>
          <w:tcPr>
            <w:tcW w:w="722" w:type="pct"/>
          </w:tcPr>
          <w:p w14:paraId="37AB048F" w14:textId="77777777" w:rsidR="00A70754" w:rsidRPr="00C52270" w:rsidRDefault="00A70754" w:rsidP="00C52270">
            <w:pPr>
              <w:pStyle w:val="Normal-TableText"/>
            </w:pPr>
            <w:r w:rsidRPr="00C52270">
              <w:t>Not applicable</w:t>
            </w:r>
          </w:p>
        </w:tc>
        <w:tc>
          <w:tcPr>
            <w:tcW w:w="1373" w:type="pct"/>
          </w:tcPr>
          <w:p w14:paraId="36DAC3CE" w14:textId="77777777" w:rsidR="00A70754" w:rsidRPr="00C52270" w:rsidRDefault="00A70754" w:rsidP="00C52270">
            <w:pPr>
              <w:pStyle w:val="Normal-TableText"/>
            </w:pPr>
            <w:r w:rsidRPr="00C52270">
              <w:t>Provision of images of documents from the Gatekeeper EoI Policy, PoI Framework Policy:</w:t>
            </w:r>
          </w:p>
          <w:p w14:paraId="01969839" w14:textId="77777777" w:rsidR="00C52270" w:rsidRDefault="00A70754" w:rsidP="00C52270">
            <w:pPr>
              <w:pStyle w:val="Bullet1"/>
            </w:pPr>
            <w:r w:rsidRPr="00C52270">
              <w:t>One Category B document</w:t>
            </w:r>
          </w:p>
          <w:p w14:paraId="095A62C8" w14:textId="77777777" w:rsidR="00A70754" w:rsidRPr="00C52270" w:rsidRDefault="00A70754" w:rsidP="00C52270">
            <w:pPr>
              <w:pStyle w:val="Bullet1"/>
            </w:pPr>
            <w:r w:rsidRPr="00C52270">
              <w:t>Two Category C documents</w:t>
            </w:r>
          </w:p>
        </w:tc>
        <w:tc>
          <w:tcPr>
            <w:tcW w:w="862" w:type="pct"/>
          </w:tcPr>
          <w:p w14:paraId="6B8C3C3E" w14:textId="77777777" w:rsidR="00A70754" w:rsidRPr="00C52270" w:rsidRDefault="00A70754" w:rsidP="00C52270">
            <w:pPr>
              <w:pStyle w:val="Normal-TableText"/>
            </w:pPr>
            <w:r w:rsidRPr="00C52270">
              <w:t>“General” Gatekeeper requirements</w:t>
            </w:r>
          </w:p>
        </w:tc>
        <w:tc>
          <w:tcPr>
            <w:tcW w:w="1080" w:type="pct"/>
          </w:tcPr>
          <w:p w14:paraId="7DEFF498" w14:textId="77777777" w:rsidR="00A70754" w:rsidRPr="00C52270" w:rsidRDefault="00A70754" w:rsidP="00C52270">
            <w:pPr>
              <w:pStyle w:val="Normal-TableText"/>
            </w:pPr>
            <w:r w:rsidRPr="00C52270">
              <w:t>GSEF</w:t>
            </w:r>
          </w:p>
          <w:p w14:paraId="79875A2F" w14:textId="77777777" w:rsidR="00A70754" w:rsidRPr="00C52270" w:rsidRDefault="00A70754" w:rsidP="00C52270">
            <w:pPr>
              <w:pStyle w:val="Normal-TableText"/>
            </w:pPr>
            <w:r w:rsidRPr="00C52270">
              <w:t>“High-assurance” Gatekeeper requirements</w:t>
            </w:r>
          </w:p>
        </w:tc>
      </w:tr>
      <w:tr w:rsidR="00A70754" w:rsidRPr="00C52270" w14:paraId="7197F802" w14:textId="77777777" w:rsidTr="00C52270">
        <w:tc>
          <w:tcPr>
            <w:tcW w:w="961" w:type="pct"/>
          </w:tcPr>
          <w:p w14:paraId="69CA5DC3" w14:textId="77777777" w:rsidR="00A70754" w:rsidRPr="00C52270" w:rsidRDefault="00A70754" w:rsidP="00C52270">
            <w:pPr>
              <w:pStyle w:val="Normal-TableText"/>
            </w:pPr>
            <w:r w:rsidRPr="00C52270">
              <w:t>Evidence of authority to act as a representative</w:t>
            </w:r>
          </w:p>
        </w:tc>
        <w:tc>
          <w:tcPr>
            <w:tcW w:w="722" w:type="pct"/>
          </w:tcPr>
          <w:p w14:paraId="137BEFD6" w14:textId="77777777" w:rsidR="00A70754" w:rsidRPr="00C52270" w:rsidRDefault="00A70754" w:rsidP="00C52270">
            <w:pPr>
              <w:pStyle w:val="Normal-TableText"/>
            </w:pPr>
            <w:r w:rsidRPr="00C52270">
              <w:t>Not applicable</w:t>
            </w:r>
          </w:p>
        </w:tc>
        <w:tc>
          <w:tcPr>
            <w:tcW w:w="1373" w:type="pct"/>
          </w:tcPr>
          <w:p w14:paraId="14ACB119" w14:textId="77777777" w:rsidR="00A70754" w:rsidRPr="00C52270" w:rsidRDefault="00A70754" w:rsidP="00C52270">
            <w:pPr>
              <w:pStyle w:val="Normal-TableText"/>
            </w:pPr>
            <w:r w:rsidRPr="00C52270">
              <w:t>Activation of representative credential requires successful responses to two shared information challenges in respect to the Principal</w:t>
            </w:r>
          </w:p>
        </w:tc>
        <w:tc>
          <w:tcPr>
            <w:tcW w:w="862" w:type="pct"/>
          </w:tcPr>
          <w:p w14:paraId="4012C314" w14:textId="77777777" w:rsidR="00A70754" w:rsidRPr="00C52270" w:rsidRDefault="00A70754" w:rsidP="00C52270">
            <w:pPr>
              <w:pStyle w:val="Normal-TableText"/>
            </w:pPr>
            <w:r w:rsidRPr="00C52270">
              <w:t>Provision of legally enforceable document attesting to the authority</w:t>
            </w:r>
          </w:p>
        </w:tc>
        <w:tc>
          <w:tcPr>
            <w:tcW w:w="1080" w:type="pct"/>
          </w:tcPr>
          <w:p w14:paraId="2AD2BC8B" w14:textId="77777777" w:rsidR="00A70754" w:rsidRPr="00C52270" w:rsidRDefault="00A70754" w:rsidP="00C52270">
            <w:pPr>
              <w:pStyle w:val="Normal-TableText"/>
            </w:pPr>
            <w:r w:rsidRPr="00C52270">
              <w:t>Fac</w:t>
            </w:r>
            <w:r w:rsidR="00BE178F">
              <w:t>e</w:t>
            </w:r>
            <w:r w:rsidR="00BE178F">
              <w:noBreakHyphen/>
            </w:r>
            <w:r w:rsidRPr="00C52270">
              <w:t>to-face provision of legally enforceable document attesting to the authority</w:t>
            </w:r>
          </w:p>
        </w:tc>
      </w:tr>
    </w:tbl>
    <w:p w14:paraId="6E126AEC" w14:textId="77777777" w:rsidR="00A70754" w:rsidRPr="00DF35D8" w:rsidRDefault="00A70754" w:rsidP="00C52270">
      <w:pPr>
        <w:pStyle w:val="Heading1"/>
      </w:pPr>
      <w:bookmarkStart w:id="236" w:name="_Ref203749484"/>
      <w:bookmarkStart w:id="237" w:name="_Toc430770939"/>
      <w:bookmarkStart w:id="238" w:name="_Ref193952355"/>
      <w:bookmarkEnd w:id="231"/>
      <w:bookmarkEnd w:id="232"/>
      <w:r w:rsidRPr="00DF35D8">
        <w:lastRenderedPageBreak/>
        <w:t>Schedule B: Authentication mechanisms</w:t>
      </w:r>
      <w:bookmarkEnd w:id="236"/>
      <w:bookmarkEnd w:id="237"/>
    </w:p>
    <w:p w14:paraId="539CC5DC" w14:textId="77777777" w:rsidR="00A70754" w:rsidRPr="00DF35D8" w:rsidRDefault="00A70754" w:rsidP="00C52270">
      <w:pPr>
        <w:pStyle w:val="Heading2"/>
      </w:pPr>
      <w:bookmarkStart w:id="239" w:name="_Toc205539515"/>
      <w:bookmarkStart w:id="240" w:name="_Toc206228268"/>
      <w:bookmarkStart w:id="241" w:name="_Toc430770940"/>
      <w:r w:rsidRPr="00DF35D8">
        <w:t>Standard credential types</w:t>
      </w:r>
      <w:bookmarkEnd w:id="239"/>
      <w:bookmarkEnd w:id="240"/>
      <w:bookmarkEnd w:id="241"/>
    </w:p>
    <w:p w14:paraId="405F78F1" w14:textId="77777777" w:rsidR="00A70754" w:rsidRPr="00C52270" w:rsidRDefault="00A70754" w:rsidP="00C52270">
      <w:pPr>
        <w:rPr>
          <w:rStyle w:val="Strong"/>
        </w:rPr>
      </w:pPr>
      <w:r w:rsidRPr="00C52270">
        <w:rPr>
          <w:rStyle w:val="Strong"/>
        </w:rPr>
        <w:t>Memorised password (either issuer-provided or subscriber-generated)</w:t>
      </w:r>
    </w:p>
    <w:p w14:paraId="29AF7E3C" w14:textId="77777777" w:rsidR="00A70754" w:rsidRDefault="00A70754" w:rsidP="00C52270">
      <w:r w:rsidRPr="00271719">
        <w:t>A traditional password or secret that is shared between the credential issuer and the subscriber.</w:t>
      </w:r>
    </w:p>
    <w:p w14:paraId="4C8A7E9D" w14:textId="77777777" w:rsidR="00A70754" w:rsidRPr="00C52270" w:rsidRDefault="00A70754" w:rsidP="00C52270">
      <w:pPr>
        <w:rPr>
          <w:rStyle w:val="Strong"/>
        </w:rPr>
      </w:pPr>
      <w:r w:rsidRPr="00C52270">
        <w:rPr>
          <w:rStyle w:val="Strong"/>
        </w:rPr>
        <w:t>User-supplied shared information (also referred to as “shared secret”)</w:t>
      </w:r>
    </w:p>
    <w:p w14:paraId="78283D6D" w14:textId="77777777" w:rsidR="00A70754" w:rsidRPr="00271719" w:rsidRDefault="00A70754" w:rsidP="00C52270">
      <w:r w:rsidRPr="00271719">
        <w:t>This credential is a set of challenges and responses typically established by the subscriber and managed by the credential issuer. They typically take the form of a question to which the answer is a “secret” held by the subscriber.</w:t>
      </w:r>
    </w:p>
    <w:p w14:paraId="3AC96A1F" w14:textId="77777777" w:rsidR="00A70754" w:rsidRPr="00C52270" w:rsidRDefault="00A70754" w:rsidP="00C52270">
      <w:pPr>
        <w:rPr>
          <w:rStyle w:val="Strong"/>
        </w:rPr>
      </w:pPr>
      <w:r w:rsidRPr="00C52270">
        <w:rPr>
          <w:rStyle w:val="Strong"/>
        </w:rPr>
        <w:t>Context-specific shared information</w:t>
      </w:r>
    </w:p>
    <w:p w14:paraId="5BF8F3E9" w14:textId="77777777" w:rsidR="00A70754" w:rsidRDefault="00A70754" w:rsidP="00C52270">
      <w:r w:rsidRPr="00271719">
        <w:t>Context-specific shared information differs from the user-supplied shared information in that the challenge is based on information pertaining to the relationship between the relying party and the subscriber.</w:t>
      </w:r>
    </w:p>
    <w:p w14:paraId="78B22AE0" w14:textId="77777777" w:rsidR="00A70754" w:rsidRPr="00C52270" w:rsidRDefault="00A70754" w:rsidP="00C52270">
      <w:pPr>
        <w:rPr>
          <w:rStyle w:val="Strong"/>
        </w:rPr>
      </w:pPr>
      <w:r w:rsidRPr="00C52270">
        <w:rPr>
          <w:rStyle w:val="Strong"/>
        </w:rPr>
        <w:t>Code book</w:t>
      </w:r>
    </w:p>
    <w:p w14:paraId="6623CF87" w14:textId="77777777" w:rsidR="00A70754" w:rsidRPr="00271719" w:rsidRDefault="00A70754" w:rsidP="00C52270">
      <w:r w:rsidRPr="00271719">
        <w:t>A code book may be held on a physical or electronic device and may be accessed sequentially or via a challenge mechanism (coordinates in a matrix, page reference etc.) to provide an authentication code. This authentication code can be strengthened by the introduction of a diversification method based upon a shared secret or other means.</w:t>
      </w:r>
    </w:p>
    <w:p w14:paraId="06DD6D80" w14:textId="77777777" w:rsidR="00A70754" w:rsidRPr="00C52270" w:rsidRDefault="00A70754" w:rsidP="00C52270">
      <w:pPr>
        <w:rPr>
          <w:rStyle w:val="Strong"/>
        </w:rPr>
      </w:pPr>
      <w:r w:rsidRPr="00C52270">
        <w:rPr>
          <w:rStyle w:val="Strong"/>
        </w:rPr>
        <w:t>Pr</w:t>
      </w:r>
      <w:r w:rsidR="00BE178F">
        <w:rPr>
          <w:rStyle w:val="Strong"/>
        </w:rPr>
        <w:t>e</w:t>
      </w:r>
      <w:r w:rsidR="00BE178F">
        <w:rPr>
          <w:rStyle w:val="Strong"/>
        </w:rPr>
        <w:noBreakHyphen/>
      </w:r>
      <w:r w:rsidRPr="00C52270">
        <w:rPr>
          <w:rStyle w:val="Strong"/>
        </w:rPr>
        <w:t>registered origin</w:t>
      </w:r>
    </w:p>
    <w:p w14:paraId="77BE79D9" w14:textId="77777777" w:rsidR="00A70754" w:rsidRPr="00271719" w:rsidRDefault="00A70754" w:rsidP="00C52270">
      <w:r w:rsidRPr="00271719">
        <w:t>A pr</w:t>
      </w:r>
      <w:r w:rsidR="00BE178F">
        <w:t>e</w:t>
      </w:r>
      <w:r w:rsidR="00BE178F">
        <w:noBreakHyphen/>
      </w:r>
      <w:r w:rsidRPr="00271719">
        <w:t>registered origin of the subscriber connection can be provided through caller-id, IP addresses and potentially other means.</w:t>
      </w:r>
    </w:p>
    <w:p w14:paraId="61557C6E" w14:textId="77777777" w:rsidR="00A70754" w:rsidRPr="00C52270" w:rsidRDefault="00A70754" w:rsidP="00C52270">
      <w:pPr>
        <w:rPr>
          <w:rStyle w:val="Strong"/>
        </w:rPr>
      </w:pPr>
      <w:r w:rsidRPr="00C52270">
        <w:rPr>
          <w:rStyle w:val="Strong"/>
        </w:rPr>
        <w:t>Call back to pr</w:t>
      </w:r>
      <w:r w:rsidR="00BE178F">
        <w:rPr>
          <w:rStyle w:val="Strong"/>
        </w:rPr>
        <w:t>e</w:t>
      </w:r>
      <w:r w:rsidR="00BE178F">
        <w:rPr>
          <w:rStyle w:val="Strong"/>
        </w:rPr>
        <w:noBreakHyphen/>
      </w:r>
      <w:r w:rsidRPr="00C52270">
        <w:rPr>
          <w:rStyle w:val="Strong"/>
        </w:rPr>
        <w:t>registered address</w:t>
      </w:r>
    </w:p>
    <w:p w14:paraId="279378E1" w14:textId="77777777" w:rsidR="00A70754" w:rsidRPr="00271719" w:rsidRDefault="00A70754" w:rsidP="00C52270">
      <w:r w:rsidRPr="00271719">
        <w:t>Out-of-band credentials provide for the delivery of a secret to a subscriber for subsequent presentation to the verifier.</w:t>
      </w:r>
      <w:r>
        <w:t xml:space="preserve"> </w:t>
      </w:r>
      <w:r w:rsidRPr="00271719">
        <w:t>Examples of out-of-band channels include telephone voice channel/IVR, mobile SMS and email.</w:t>
      </w:r>
    </w:p>
    <w:p w14:paraId="5F911F4F" w14:textId="77777777" w:rsidR="00A70754" w:rsidRPr="00C52270" w:rsidRDefault="00A70754" w:rsidP="00C52270">
      <w:pPr>
        <w:rPr>
          <w:rStyle w:val="Strong"/>
        </w:rPr>
      </w:pPr>
      <w:r w:rsidRPr="00C52270">
        <w:rPr>
          <w:rStyle w:val="Strong"/>
        </w:rPr>
        <w:t>Software cryptographic credential (soft certificate)</w:t>
      </w:r>
    </w:p>
    <w:p w14:paraId="5D6B1627" w14:textId="77777777" w:rsidR="00A70754" w:rsidRPr="00271719" w:rsidRDefault="00A70754" w:rsidP="00C52270">
      <w:r w:rsidRPr="00271719">
        <w:t>Software cryptographic credentials involve the storage of a cryptographic key, usually based on public key cryptography, within software on the subscriber’s connecting device (e.g. a personal computer) and protected by a password.</w:t>
      </w:r>
      <w:r>
        <w:t xml:space="preserve"> </w:t>
      </w:r>
      <w:r w:rsidRPr="00271719">
        <w:t>The cryptographic key (once unlocked by the password) is used to generate an authentication code.</w:t>
      </w:r>
    </w:p>
    <w:p w14:paraId="703DCB0E" w14:textId="77777777" w:rsidR="00A70754" w:rsidRPr="00C52270" w:rsidRDefault="00A70754" w:rsidP="00C52270">
      <w:pPr>
        <w:rPr>
          <w:rStyle w:val="Strong"/>
        </w:rPr>
      </w:pPr>
      <w:r w:rsidRPr="00C52270">
        <w:rPr>
          <w:rStyle w:val="Strong"/>
        </w:rPr>
        <w:t>On</w:t>
      </w:r>
      <w:r w:rsidR="00BE178F">
        <w:rPr>
          <w:rStyle w:val="Strong"/>
        </w:rPr>
        <w:t>e</w:t>
      </w:r>
      <w:r w:rsidR="00BE178F">
        <w:rPr>
          <w:rStyle w:val="Strong"/>
        </w:rPr>
        <w:noBreakHyphen/>
      </w:r>
      <w:r w:rsidRPr="00C52270">
        <w:rPr>
          <w:rStyle w:val="Strong"/>
        </w:rPr>
        <w:t>time password (OTP) device</w:t>
      </w:r>
    </w:p>
    <w:p w14:paraId="0DA3BFB7" w14:textId="77777777" w:rsidR="00A70754" w:rsidRPr="00271719" w:rsidRDefault="00A70754" w:rsidP="00C52270">
      <w:r w:rsidRPr="00271719">
        <w:t>An OTP device is a specialised hardware device that displays an OTP which is calculated within the device based on a secret shared with the credential issuer.</w:t>
      </w:r>
      <w:r>
        <w:t xml:space="preserve"> </w:t>
      </w:r>
      <w:r w:rsidRPr="00271719">
        <w:t>OTP devices may require a PIN to be submitted to activate the device to generate an OTP.</w:t>
      </w:r>
    </w:p>
    <w:p w14:paraId="5DFE8B0C" w14:textId="77777777" w:rsidR="00A70754" w:rsidRPr="00C52270" w:rsidRDefault="00A70754" w:rsidP="00B91B23">
      <w:pPr>
        <w:keepNext/>
        <w:rPr>
          <w:rStyle w:val="Strong"/>
        </w:rPr>
      </w:pPr>
      <w:r w:rsidRPr="00C52270">
        <w:rPr>
          <w:rStyle w:val="Strong"/>
        </w:rPr>
        <w:lastRenderedPageBreak/>
        <w:t>Challenge–response device</w:t>
      </w:r>
    </w:p>
    <w:p w14:paraId="092934B6" w14:textId="77777777" w:rsidR="00A70754" w:rsidRPr="00271719" w:rsidRDefault="00A70754" w:rsidP="00C52270">
      <w:r w:rsidRPr="00271719">
        <w:t>A challenge–response (C-R) device is a hardware token that generates a password/ passcode based upon information keyed into the device which is provided by the organisation/application seeking to authenticate the user.</w:t>
      </w:r>
      <w:r>
        <w:t xml:space="preserve"> </w:t>
      </w:r>
      <w:r w:rsidRPr="00271719">
        <w:t>C-R devices may require a PIN to be submitted to activate the device to generate the response.</w:t>
      </w:r>
    </w:p>
    <w:p w14:paraId="0CD7EC6F" w14:textId="77777777" w:rsidR="00A70754" w:rsidRPr="00C52270" w:rsidRDefault="00A70754" w:rsidP="00C52270">
      <w:pPr>
        <w:rPr>
          <w:rStyle w:val="Strong"/>
        </w:rPr>
      </w:pPr>
      <w:r w:rsidRPr="00C52270">
        <w:rPr>
          <w:rStyle w:val="Strong"/>
        </w:rPr>
        <w:t>CAPTCHA</w:t>
      </w:r>
    </w:p>
    <w:p w14:paraId="41297E55" w14:textId="77777777" w:rsidR="00B91B23" w:rsidRDefault="00A70754" w:rsidP="00C52270">
      <w:r w:rsidRPr="00271719">
        <w:t>A CAPTCHA is a type of challenge–response test used to ensure that the response is not generated by a computer. This is sometimes referred to as a revers</w:t>
      </w:r>
      <w:r w:rsidR="00BE178F">
        <w:t>e</w:t>
      </w:r>
      <w:r w:rsidR="00BE178F">
        <w:noBreakHyphen/>
      </w:r>
      <w:r w:rsidRPr="00271719">
        <w:t>Turing test.</w:t>
      </w:r>
    </w:p>
    <w:p w14:paraId="60C8A791" w14:textId="77777777" w:rsidR="00A70754" w:rsidRPr="00C52270" w:rsidRDefault="00A70754" w:rsidP="00C52270">
      <w:pPr>
        <w:rPr>
          <w:rStyle w:val="Strong"/>
        </w:rPr>
      </w:pPr>
      <w:r w:rsidRPr="00C52270">
        <w:rPr>
          <w:rStyle w:val="Strong"/>
        </w:rPr>
        <w:t>Grid authentication</w:t>
      </w:r>
    </w:p>
    <w:p w14:paraId="0CD157B8" w14:textId="77777777" w:rsidR="00A70754" w:rsidRPr="00271719" w:rsidRDefault="00A70754" w:rsidP="00C52270">
      <w:pPr>
        <w:rPr>
          <w:lang w:val="en-US"/>
        </w:rPr>
      </w:pPr>
      <w:r w:rsidRPr="00271719">
        <w:rPr>
          <w:lang w:val="en-US"/>
        </w:rPr>
        <w:t>Grid authentication provides organisations a means to implement simple, effective, two-factor authentication by leveraging a security grid card.</w:t>
      </w:r>
      <w:r>
        <w:rPr>
          <w:lang w:val="en-US"/>
        </w:rPr>
        <w:t xml:space="preserve"> </w:t>
      </w:r>
      <w:r w:rsidRPr="00271719">
        <w:rPr>
          <w:lang w:val="en-US"/>
        </w:rPr>
        <w:t>Users receive a security grid that contains a series of</w:t>
      </w:r>
      <w:r w:rsidR="00061CE2">
        <w:rPr>
          <w:lang w:val="en-US"/>
        </w:rPr>
        <w:t> </w:t>
      </w:r>
      <w:r w:rsidRPr="00271719">
        <w:rPr>
          <w:lang w:val="en-US"/>
        </w:rPr>
        <w:t>numbers and letters in easily marked columns and rows. These security grids can be delivered to users as credit card-sized cards, or printed on the backs of access badges, credit or ATM cards, or</w:t>
      </w:r>
      <w:r w:rsidR="00061CE2">
        <w:rPr>
          <w:lang w:val="en-US"/>
        </w:rPr>
        <w:t> </w:t>
      </w:r>
      <w:r w:rsidRPr="00271719">
        <w:rPr>
          <w:lang w:val="en-US"/>
        </w:rPr>
        <w:t>even printed on billing statements and other confidential communications.</w:t>
      </w:r>
    </w:p>
    <w:p w14:paraId="561EF2DA" w14:textId="77777777" w:rsidR="00A70754" w:rsidRPr="00C52270" w:rsidRDefault="00A70754" w:rsidP="00C52270">
      <w:pPr>
        <w:rPr>
          <w:rStyle w:val="Strong"/>
        </w:rPr>
      </w:pPr>
      <w:r w:rsidRPr="00C52270">
        <w:rPr>
          <w:rStyle w:val="Strong"/>
        </w:rPr>
        <w:t>Hardware cryptographic device (hard certificate)</w:t>
      </w:r>
    </w:p>
    <w:p w14:paraId="7C577A32" w14:textId="77777777" w:rsidR="00A70754" w:rsidRPr="00271719" w:rsidRDefault="00A70754" w:rsidP="00C52270">
      <w:r w:rsidRPr="00271719">
        <w:t>A hardware cryptographic device is a specialised device that generates an authentication code cryptographically based on data input to the device. Input information may be “challenge” information provided by the relying party, transactional information, or hash information. The input data can be entered through a device keypad or through a computer interface such as a USB port or smartcard interface. Typically these devices are PIN-protected.</w:t>
      </w:r>
    </w:p>
    <w:p w14:paraId="42F7CAAC" w14:textId="77777777" w:rsidR="00A70754" w:rsidRPr="00C52270" w:rsidRDefault="00A70754" w:rsidP="00C52270">
      <w:pPr>
        <w:rPr>
          <w:rStyle w:val="Strong"/>
        </w:rPr>
      </w:pPr>
      <w:r w:rsidRPr="00C52270">
        <w:rPr>
          <w:rStyle w:val="Strong"/>
        </w:rPr>
        <w:t>Biometric credentials</w:t>
      </w:r>
    </w:p>
    <w:p w14:paraId="372701BA" w14:textId="77777777" w:rsidR="00A70754" w:rsidRPr="00271719" w:rsidRDefault="00A70754" w:rsidP="00C52270">
      <w:r w:rsidRPr="00271719">
        <w:t>Biometrics (as authentication credentials in themselves) are considered unsuited to the authentication of external parties where the biometric capture facilities are outside the direct governance and control of relying party government agencies.</w:t>
      </w:r>
    </w:p>
    <w:p w14:paraId="6E79FCDB" w14:textId="77777777" w:rsidR="00A70754" w:rsidRPr="00271719" w:rsidRDefault="00A70754" w:rsidP="00C52270">
      <w:r w:rsidRPr="00271719">
        <w:t>The exception to this is voice authentication, which is maturing rapidly as basic authentication method.</w:t>
      </w:r>
    </w:p>
    <w:p w14:paraId="58E657EA" w14:textId="77777777" w:rsidR="00A70754" w:rsidRPr="00271719" w:rsidRDefault="00A70754" w:rsidP="00C52270">
      <w:r w:rsidRPr="00271719">
        <w:t>Biometrics might also play an important part as a second or third factor relating to use of a hardware cryptographic device, such as a smartcard, as a means of gaining access to the device within the subscriber’s environment.</w:t>
      </w:r>
    </w:p>
    <w:p w14:paraId="17C79DAD" w14:textId="77777777" w:rsidR="00A70754" w:rsidRPr="00C52270" w:rsidRDefault="00A70754" w:rsidP="00C52270">
      <w:pPr>
        <w:rPr>
          <w:rStyle w:val="Strong"/>
        </w:rPr>
      </w:pPr>
      <w:r w:rsidRPr="00C52270">
        <w:rPr>
          <w:rStyle w:val="Strong"/>
        </w:rPr>
        <w:t>Hybrid subscriber authentication mechanisms</w:t>
      </w:r>
    </w:p>
    <w:p w14:paraId="5FF8BE60" w14:textId="77777777" w:rsidR="00A70754" w:rsidRPr="00271719" w:rsidRDefault="00A70754" w:rsidP="00C52270">
      <w:r w:rsidRPr="00271719">
        <w:t>The term “hybrid authentication mechanisms” refers to the use of two or more credentials in combination in order to increase the effective level of strength of the authentication process.</w:t>
      </w:r>
      <w:r>
        <w:t xml:space="preserve"> </w:t>
      </w:r>
      <w:r w:rsidRPr="00271719">
        <w:t>The</w:t>
      </w:r>
      <w:r w:rsidR="00061CE2">
        <w:t> </w:t>
      </w:r>
      <w:r w:rsidRPr="00271719">
        <w:t>credentials can be of the same factor or different types of factors.</w:t>
      </w:r>
    </w:p>
    <w:p w14:paraId="64AC627B" w14:textId="77777777" w:rsidR="00A70754" w:rsidRPr="00271719" w:rsidRDefault="00A70754" w:rsidP="00C52270">
      <w:r w:rsidRPr="00271719">
        <w:t>As a general rule, increasing strength across levels can only be achieved by combining credentials of different factors. In other words combining two “what you know” credentials may not be sufficient to increase authentication strength across levels whereas the combination of a “what you know” credential and a “what you have” credential would be sufficient.</w:t>
      </w:r>
    </w:p>
    <w:p w14:paraId="444B0151" w14:textId="77777777" w:rsidR="00A70754" w:rsidRDefault="00A70754" w:rsidP="00C52270">
      <w:r w:rsidRPr="00271719">
        <w:t>Notwithstanding the above, an increase in the authentication process assurance within a level can be achieved by combining like factor credentials (e.g. two “what you know” credentials), and such approaches are being used increasingly in adaptive and context-based authentication methods within industry and government.</w:t>
      </w:r>
    </w:p>
    <w:p w14:paraId="0C7E6B34" w14:textId="77777777" w:rsidR="00A70754" w:rsidRPr="00C52270" w:rsidRDefault="00A70754" w:rsidP="00B91B23">
      <w:pPr>
        <w:keepNext/>
        <w:rPr>
          <w:rStyle w:val="Strong"/>
        </w:rPr>
      </w:pPr>
      <w:r w:rsidRPr="00C52270">
        <w:rPr>
          <w:rStyle w:val="Strong"/>
        </w:rPr>
        <w:lastRenderedPageBreak/>
        <w:t>Adaptive authentication mechanisms</w:t>
      </w:r>
    </w:p>
    <w:p w14:paraId="68E35725" w14:textId="77777777" w:rsidR="00A70754" w:rsidRDefault="00A70754" w:rsidP="00C52270">
      <w:r w:rsidRPr="00271719">
        <w:t>Adaptive authentication mechanisms are typically very structured in their use of various credentials, based on dynamic risk assessment, including consideration of location of the subscriber, time since last visit, consistency with prior interaction patterns etc.</w:t>
      </w:r>
      <w:r>
        <w:t xml:space="preserve"> </w:t>
      </w:r>
      <w:r w:rsidRPr="00271719">
        <w:t>As such, the benefits and appropriateness of this approach need to be determined within the specific business context and an overarching threat and risk assessment of the business system.</w:t>
      </w:r>
    </w:p>
    <w:p w14:paraId="74931B8D" w14:textId="77777777" w:rsidR="00C52270" w:rsidRDefault="00C52270" w:rsidP="00C52270"/>
    <w:p w14:paraId="4A94ECC1" w14:textId="77777777" w:rsidR="00C52270" w:rsidRDefault="00C52270" w:rsidP="00C52270">
      <w:pPr>
        <w:sectPr w:rsidR="00C52270" w:rsidSect="00D3101B">
          <w:headerReference w:type="default" r:id="rId24"/>
          <w:footerReference w:type="default" r:id="rId25"/>
          <w:pgSz w:w="11906" w:h="16838" w:code="9"/>
          <w:pgMar w:top="1418" w:right="1418" w:bottom="1134" w:left="1418" w:header="567" w:footer="567" w:gutter="0"/>
          <w:cols w:space="708"/>
          <w:docGrid w:linePitch="360"/>
        </w:sectPr>
      </w:pPr>
    </w:p>
    <w:p w14:paraId="4E4B7DC1" w14:textId="77777777" w:rsidR="00A70754" w:rsidRPr="00DF35D8" w:rsidRDefault="00A70754" w:rsidP="00C52270">
      <w:pPr>
        <w:pStyle w:val="Heading2"/>
      </w:pPr>
      <w:bookmarkStart w:id="242" w:name="_Ref203749618"/>
      <w:bookmarkStart w:id="243" w:name="_Ref203752086"/>
      <w:bookmarkStart w:id="244" w:name="_Toc430770941"/>
      <w:r w:rsidRPr="00DF35D8">
        <w:lastRenderedPageBreak/>
        <w:t>Schedule B1: Credential strength</w:t>
      </w:r>
      <w:bookmarkEnd w:id="242"/>
      <w:bookmarkEnd w:id="243"/>
      <w:bookmarkEnd w:id="244"/>
    </w:p>
    <w:p w14:paraId="4124468E" w14:textId="77777777" w:rsidR="00A70754" w:rsidRPr="00271719" w:rsidRDefault="00A70754" w:rsidP="00C52270">
      <w:r w:rsidRPr="00271719">
        <w:t xml:space="preserve">Note that the information provided in this Schedule is </w:t>
      </w:r>
      <w:r w:rsidRPr="003326A8">
        <w:rPr>
          <w:rStyle w:val="Strong"/>
        </w:rPr>
        <w:t>indicative</w:t>
      </w:r>
      <w:r w:rsidRPr="00271719">
        <w:t xml:space="preserve"> only and should be used as input to an agency’s overall </w:t>
      </w:r>
      <w:r w:rsidR="00BE178F">
        <w:t>e</w:t>
      </w:r>
      <w:r w:rsidR="00BE178F">
        <w:noBreakHyphen/>
      </w:r>
      <w:r>
        <w:t>Authentication</w:t>
      </w:r>
      <w:r w:rsidRPr="00271719">
        <w:t xml:space="preserve"> assessment.</w:t>
      </w:r>
    </w:p>
    <w:p w14:paraId="27B38F94" w14:textId="77777777" w:rsidR="00A70754" w:rsidRPr="00271719" w:rsidRDefault="00A70754" w:rsidP="00C52270">
      <w:bookmarkStart w:id="245" w:name="_Toc205912095"/>
      <w:bookmarkStart w:id="246" w:name="_Toc205912281"/>
      <w:r w:rsidRPr="003326A8">
        <w:rPr>
          <w:rStyle w:val="Strong"/>
        </w:rPr>
        <w:t>Note</w:t>
      </w:r>
      <w:r w:rsidRPr="00271719">
        <w:t>: The strength of these credentials may be reduced over time as a result of developments in technology.</w:t>
      </w:r>
      <w:bookmarkEnd w:id="245"/>
      <w:bookmarkEnd w:id="246"/>
      <w:r w:rsidRPr="00271719">
        <w:t xml:space="preserve"> Regardless of the strength, there are vulnerabilities with each credential type, and agencies should research and factor into risk assessment.</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640"/>
        <w:gridCol w:w="980"/>
        <w:gridCol w:w="1671"/>
        <w:gridCol w:w="2093"/>
        <w:gridCol w:w="1670"/>
        <w:gridCol w:w="1993"/>
        <w:gridCol w:w="2267"/>
        <w:gridCol w:w="1962"/>
      </w:tblGrid>
      <w:tr w:rsidR="00A70754" w:rsidRPr="00271719" w14:paraId="46AF1A33" w14:textId="77777777" w:rsidTr="0031028A">
        <w:trPr>
          <w:cnfStyle w:val="100000000000" w:firstRow="1" w:lastRow="0" w:firstColumn="0" w:lastColumn="0" w:oddVBand="0" w:evenVBand="0" w:oddHBand="0" w:evenHBand="0" w:firstRowFirstColumn="0" w:firstRowLastColumn="0" w:lastRowFirstColumn="0" w:lastRowLastColumn="0"/>
          <w:tblHeader/>
        </w:trPr>
        <w:tc>
          <w:tcPr>
            <w:tcW w:w="574" w:type="pct"/>
            <w:vMerge w:val="restart"/>
          </w:tcPr>
          <w:p w14:paraId="2E97DA03" w14:textId="77777777" w:rsidR="00A70754" w:rsidRPr="00DF35D8" w:rsidRDefault="00A70754" w:rsidP="0031028A">
            <w:pPr>
              <w:pStyle w:val="Normal-TableText"/>
            </w:pPr>
            <w:r w:rsidRPr="00DF35D8">
              <w:t>Credential</w:t>
            </w:r>
          </w:p>
        </w:tc>
        <w:tc>
          <w:tcPr>
            <w:tcW w:w="343" w:type="pct"/>
            <w:vMerge w:val="restart"/>
          </w:tcPr>
          <w:p w14:paraId="1293763E" w14:textId="77777777" w:rsidR="00A70754" w:rsidRPr="00DF35D8" w:rsidRDefault="00A70754" w:rsidP="0031028A">
            <w:pPr>
              <w:pStyle w:val="Normal-TableText"/>
            </w:pPr>
            <w:r w:rsidRPr="00DF35D8">
              <w:t>Factors</w:t>
            </w:r>
          </w:p>
        </w:tc>
        <w:tc>
          <w:tcPr>
            <w:tcW w:w="585" w:type="pct"/>
            <w:vMerge w:val="restart"/>
          </w:tcPr>
          <w:p w14:paraId="3E2BD123" w14:textId="77777777" w:rsidR="00A70754" w:rsidRPr="00DF35D8" w:rsidRDefault="00A70754" w:rsidP="0031028A">
            <w:pPr>
              <w:pStyle w:val="Normal-TableText"/>
            </w:pPr>
            <w:r w:rsidRPr="00DF35D8">
              <w:t>Use</w:t>
            </w:r>
          </w:p>
        </w:tc>
        <w:tc>
          <w:tcPr>
            <w:tcW w:w="733" w:type="pct"/>
            <w:vMerge w:val="restart"/>
          </w:tcPr>
          <w:p w14:paraId="3202F06D" w14:textId="77777777" w:rsidR="00A70754" w:rsidRPr="00DF35D8" w:rsidRDefault="00A70754" w:rsidP="0031028A">
            <w:pPr>
              <w:pStyle w:val="Normal-TableText"/>
            </w:pPr>
            <w:r w:rsidRPr="00DF35D8">
              <w:t>Variables affecting strength of credential</w:t>
            </w:r>
          </w:p>
        </w:tc>
        <w:tc>
          <w:tcPr>
            <w:tcW w:w="2764" w:type="pct"/>
            <w:gridSpan w:val="4"/>
          </w:tcPr>
          <w:p w14:paraId="35CE4EBB" w14:textId="77777777" w:rsidR="00A70754" w:rsidRPr="00DF35D8" w:rsidRDefault="00A70754" w:rsidP="0031028A">
            <w:pPr>
              <w:pStyle w:val="Normal-TableText"/>
              <w:jc w:val="center"/>
            </w:pPr>
            <w:r w:rsidRPr="00DF35D8">
              <w:t>Strength of credential</w:t>
            </w:r>
          </w:p>
        </w:tc>
      </w:tr>
      <w:tr w:rsidR="00A70754" w:rsidRPr="00271719" w14:paraId="71925EF9" w14:textId="77777777" w:rsidTr="0031028A">
        <w:trPr>
          <w:cnfStyle w:val="100000000000" w:firstRow="1" w:lastRow="0" w:firstColumn="0" w:lastColumn="0" w:oddVBand="0" w:evenVBand="0" w:oddHBand="0" w:evenHBand="0" w:firstRowFirstColumn="0" w:firstRowLastColumn="0" w:lastRowFirstColumn="0" w:lastRowLastColumn="0"/>
          <w:tblHeader/>
        </w:trPr>
        <w:tc>
          <w:tcPr>
            <w:tcW w:w="574" w:type="pct"/>
            <w:vMerge/>
          </w:tcPr>
          <w:p w14:paraId="468CEE32" w14:textId="77777777" w:rsidR="00A70754" w:rsidRPr="00DF35D8" w:rsidRDefault="00A70754" w:rsidP="0031028A">
            <w:pPr>
              <w:pStyle w:val="Normal-TableText"/>
            </w:pPr>
          </w:p>
        </w:tc>
        <w:tc>
          <w:tcPr>
            <w:tcW w:w="343" w:type="pct"/>
            <w:vMerge/>
          </w:tcPr>
          <w:p w14:paraId="279ABB93" w14:textId="77777777" w:rsidR="00A70754" w:rsidRPr="00DF35D8" w:rsidRDefault="00A70754" w:rsidP="0031028A">
            <w:pPr>
              <w:pStyle w:val="Normal-TableText"/>
            </w:pPr>
          </w:p>
        </w:tc>
        <w:tc>
          <w:tcPr>
            <w:tcW w:w="585" w:type="pct"/>
            <w:vMerge/>
          </w:tcPr>
          <w:p w14:paraId="761AADD9" w14:textId="77777777" w:rsidR="00A70754" w:rsidRPr="00DF35D8" w:rsidRDefault="00A70754" w:rsidP="0031028A">
            <w:pPr>
              <w:pStyle w:val="Normal-TableText"/>
            </w:pPr>
          </w:p>
        </w:tc>
        <w:tc>
          <w:tcPr>
            <w:tcW w:w="733" w:type="pct"/>
            <w:vMerge/>
          </w:tcPr>
          <w:p w14:paraId="788C478D" w14:textId="77777777" w:rsidR="00A70754" w:rsidRPr="00DF35D8" w:rsidRDefault="00A70754" w:rsidP="0031028A">
            <w:pPr>
              <w:pStyle w:val="Normal-TableText"/>
            </w:pPr>
          </w:p>
        </w:tc>
        <w:tc>
          <w:tcPr>
            <w:tcW w:w="585" w:type="pct"/>
          </w:tcPr>
          <w:p w14:paraId="38A1F7D1" w14:textId="77777777" w:rsidR="00A70754" w:rsidRPr="00DF35D8" w:rsidRDefault="00A70754" w:rsidP="0031028A">
            <w:pPr>
              <w:pStyle w:val="Normal-TableText"/>
            </w:pPr>
            <w:r w:rsidRPr="00DF35D8">
              <w:t>Level 1</w:t>
            </w:r>
          </w:p>
        </w:tc>
        <w:tc>
          <w:tcPr>
            <w:tcW w:w="698" w:type="pct"/>
          </w:tcPr>
          <w:p w14:paraId="38ACCFB0" w14:textId="77777777" w:rsidR="00A70754" w:rsidRPr="00DF35D8" w:rsidRDefault="00A70754" w:rsidP="0031028A">
            <w:pPr>
              <w:pStyle w:val="Normal-TableText"/>
            </w:pPr>
            <w:r w:rsidRPr="00DF35D8">
              <w:t>Level 2</w:t>
            </w:r>
          </w:p>
        </w:tc>
        <w:tc>
          <w:tcPr>
            <w:tcW w:w="794" w:type="pct"/>
          </w:tcPr>
          <w:p w14:paraId="58A866B5" w14:textId="77777777" w:rsidR="00A70754" w:rsidRPr="00DF35D8" w:rsidRDefault="00A70754" w:rsidP="0031028A">
            <w:pPr>
              <w:pStyle w:val="Normal-TableText"/>
            </w:pPr>
            <w:r w:rsidRPr="00DF35D8">
              <w:t>Level 3</w:t>
            </w:r>
          </w:p>
        </w:tc>
        <w:tc>
          <w:tcPr>
            <w:tcW w:w="687" w:type="pct"/>
          </w:tcPr>
          <w:p w14:paraId="4F790A71" w14:textId="77777777" w:rsidR="00A70754" w:rsidRPr="00DF35D8" w:rsidRDefault="00A70754" w:rsidP="0031028A">
            <w:pPr>
              <w:pStyle w:val="Normal-TableText"/>
            </w:pPr>
            <w:r w:rsidRPr="00DF35D8">
              <w:t>Level 4</w:t>
            </w:r>
          </w:p>
        </w:tc>
      </w:tr>
      <w:tr w:rsidR="00A70754" w:rsidRPr="00271719" w14:paraId="32DBC7E6" w14:textId="77777777" w:rsidTr="0031028A">
        <w:tc>
          <w:tcPr>
            <w:tcW w:w="574" w:type="pct"/>
          </w:tcPr>
          <w:p w14:paraId="17527311" w14:textId="77777777" w:rsidR="00A70754" w:rsidRPr="00271719" w:rsidRDefault="00A70754" w:rsidP="001A34D1">
            <w:pPr>
              <w:pStyle w:val="Normal-TableText"/>
            </w:pPr>
            <w:r w:rsidRPr="00271719">
              <w:t>Memorised password</w:t>
            </w:r>
          </w:p>
        </w:tc>
        <w:tc>
          <w:tcPr>
            <w:tcW w:w="343" w:type="pct"/>
          </w:tcPr>
          <w:p w14:paraId="51150959" w14:textId="77777777" w:rsidR="00A70754" w:rsidRPr="00271719" w:rsidRDefault="00A70754" w:rsidP="001A34D1">
            <w:pPr>
              <w:pStyle w:val="Normal-TableText"/>
            </w:pPr>
            <w:r w:rsidRPr="00271719" w:rsidDel="00CB1A07">
              <w:t>K</w:t>
            </w:r>
            <w:r w:rsidRPr="00271719">
              <w:t>now</w:t>
            </w:r>
          </w:p>
        </w:tc>
        <w:tc>
          <w:tcPr>
            <w:tcW w:w="585" w:type="pct"/>
          </w:tcPr>
          <w:p w14:paraId="2F1481AF" w14:textId="77777777" w:rsidR="00A70754" w:rsidRPr="00271719" w:rsidRDefault="00A70754" w:rsidP="001A34D1">
            <w:pPr>
              <w:pStyle w:val="Normal-TableText"/>
            </w:pPr>
            <w:r w:rsidRPr="00271719">
              <w:t>Subscriber authentication</w:t>
            </w:r>
          </w:p>
        </w:tc>
        <w:tc>
          <w:tcPr>
            <w:tcW w:w="733" w:type="pct"/>
          </w:tcPr>
          <w:p w14:paraId="40BFF50F" w14:textId="77777777" w:rsidR="00A70754" w:rsidRDefault="00A70754" w:rsidP="001A34D1">
            <w:pPr>
              <w:pStyle w:val="Normal-TableText"/>
            </w:pPr>
            <w:r w:rsidRPr="00271719">
              <w:t>Ability to guess:</w:t>
            </w:r>
          </w:p>
          <w:p w14:paraId="1F291C2A" w14:textId="77777777" w:rsidR="00A70754" w:rsidRPr="00271719" w:rsidRDefault="00A70754" w:rsidP="0031028A">
            <w:pPr>
              <w:pStyle w:val="Bullet1"/>
            </w:pPr>
            <w:r w:rsidRPr="00271719">
              <w:t>password length and character set</w:t>
            </w:r>
          </w:p>
          <w:p w14:paraId="072A3753" w14:textId="77777777" w:rsidR="00A70754" w:rsidRPr="00271719" w:rsidRDefault="00A70754" w:rsidP="0031028A">
            <w:pPr>
              <w:pStyle w:val="Bullet1"/>
            </w:pPr>
            <w:r w:rsidRPr="00271719" w:rsidDel="00CB1A07">
              <w:t>p</w:t>
            </w:r>
            <w:r w:rsidRPr="00271719">
              <w:t>assword lifetime</w:t>
            </w:r>
          </w:p>
          <w:p w14:paraId="79992A3D" w14:textId="77777777" w:rsidR="00A70754" w:rsidRPr="00271719" w:rsidRDefault="00A70754" w:rsidP="0031028A">
            <w:pPr>
              <w:pStyle w:val="Bullet1"/>
            </w:pPr>
            <w:r w:rsidRPr="00271719" w:rsidDel="00CB1A07">
              <w:t>i</w:t>
            </w:r>
            <w:r w:rsidRPr="00271719">
              <w:t>nvalid-password strategies</w:t>
            </w:r>
          </w:p>
          <w:p w14:paraId="03F6641E" w14:textId="77777777" w:rsidR="00A70754" w:rsidRPr="00271719" w:rsidRDefault="00A70754" w:rsidP="0031028A">
            <w:pPr>
              <w:pStyle w:val="Bullet1"/>
            </w:pPr>
            <w:r w:rsidRPr="00271719" w:rsidDel="00CB1A07">
              <w:t>p</w:t>
            </w:r>
            <w:r w:rsidRPr="00271719">
              <w:t>assword storage</w:t>
            </w:r>
          </w:p>
          <w:p w14:paraId="1E6B936A" w14:textId="77777777" w:rsidR="00A70754" w:rsidRPr="00271719" w:rsidRDefault="00A70754" w:rsidP="0031028A">
            <w:pPr>
              <w:pStyle w:val="Bullet1"/>
            </w:pPr>
            <w:r w:rsidRPr="00271719" w:rsidDel="00CB1A07">
              <w:t>p</w:t>
            </w:r>
            <w:r w:rsidRPr="00271719">
              <w:t>assword entry tools</w:t>
            </w:r>
          </w:p>
        </w:tc>
        <w:tc>
          <w:tcPr>
            <w:tcW w:w="585" w:type="pct"/>
          </w:tcPr>
          <w:p w14:paraId="20030C0C" w14:textId="77777777" w:rsidR="00A70754" w:rsidRPr="00271719" w:rsidRDefault="00A70754" w:rsidP="001A34D1">
            <w:pPr>
              <w:pStyle w:val="Normal-TableText"/>
            </w:pPr>
            <w:r w:rsidRPr="00271719">
              <w:sym w:font="Wingdings" w:char="F0FC"/>
            </w:r>
          </w:p>
          <w:p w14:paraId="2FF1E73A" w14:textId="77777777" w:rsidR="00A70754" w:rsidRPr="00271719" w:rsidRDefault="00A70754" w:rsidP="001A34D1">
            <w:pPr>
              <w:pStyle w:val="Normal-TableText"/>
            </w:pPr>
            <w:r w:rsidRPr="00271719">
              <w:t xml:space="preserve">The probability that an attacker can guess a valid authentication code over the lifetime of the credential is less than xx </w:t>
            </w:r>
          </w:p>
        </w:tc>
        <w:tc>
          <w:tcPr>
            <w:tcW w:w="698" w:type="pct"/>
          </w:tcPr>
          <w:p w14:paraId="6E405EC1" w14:textId="77777777" w:rsidR="00A70754" w:rsidRPr="00271719" w:rsidRDefault="00A70754" w:rsidP="001A34D1">
            <w:pPr>
              <w:pStyle w:val="Normal-TableText"/>
            </w:pPr>
            <w:r w:rsidRPr="00271719">
              <w:sym w:font="Wingdings" w:char="F0FC"/>
            </w:r>
          </w:p>
          <w:p w14:paraId="36800547" w14:textId="77777777" w:rsidR="00A70754" w:rsidRPr="00271719" w:rsidRDefault="00A70754" w:rsidP="001A34D1">
            <w:pPr>
              <w:pStyle w:val="Normal-TableText"/>
            </w:pPr>
            <w:r w:rsidRPr="00271719">
              <w:t>The probability that an attacker can guess a valid authentication code over the lifetime of the credential is &lt;yy</w:t>
            </w:r>
          </w:p>
          <w:p w14:paraId="685755AC" w14:textId="77777777" w:rsidR="00A70754" w:rsidRPr="00271719" w:rsidRDefault="00A70754" w:rsidP="001A34D1">
            <w:pPr>
              <w:pStyle w:val="Normal-TableText"/>
            </w:pPr>
            <w:r w:rsidRPr="00271719">
              <w:t>Credential issuer blocks subscriber account after successive invalid submissions</w:t>
            </w:r>
          </w:p>
        </w:tc>
        <w:tc>
          <w:tcPr>
            <w:tcW w:w="794" w:type="pct"/>
          </w:tcPr>
          <w:p w14:paraId="797EA25D" w14:textId="77777777" w:rsidR="00A70754" w:rsidRPr="00271719" w:rsidRDefault="00A70754" w:rsidP="001A34D1">
            <w:pPr>
              <w:pStyle w:val="Normal-TableText"/>
            </w:pPr>
            <w:r w:rsidRPr="00271719">
              <w:sym w:font="Wingdings" w:char="F0FB"/>
            </w:r>
          </w:p>
        </w:tc>
        <w:tc>
          <w:tcPr>
            <w:tcW w:w="687" w:type="pct"/>
          </w:tcPr>
          <w:p w14:paraId="0A27C5CC" w14:textId="77777777" w:rsidR="00A70754" w:rsidRPr="00271719" w:rsidRDefault="00A70754" w:rsidP="001A34D1">
            <w:pPr>
              <w:pStyle w:val="Normal-TableText"/>
            </w:pPr>
            <w:r w:rsidRPr="00271719">
              <w:sym w:font="Wingdings" w:char="F0FB"/>
            </w:r>
          </w:p>
        </w:tc>
      </w:tr>
      <w:tr w:rsidR="00A70754" w:rsidRPr="00271719" w14:paraId="3FA4C383" w14:textId="77777777" w:rsidTr="0031028A">
        <w:tc>
          <w:tcPr>
            <w:tcW w:w="574" w:type="pct"/>
          </w:tcPr>
          <w:p w14:paraId="3490A383" w14:textId="77777777" w:rsidR="00A70754" w:rsidRPr="00271719" w:rsidRDefault="00A70754" w:rsidP="001A34D1">
            <w:pPr>
              <w:pStyle w:val="Normal-TableText"/>
            </w:pPr>
            <w:r w:rsidRPr="00271719">
              <w:lastRenderedPageBreak/>
              <w:t>User-supplied shared information</w:t>
            </w:r>
          </w:p>
        </w:tc>
        <w:tc>
          <w:tcPr>
            <w:tcW w:w="343" w:type="pct"/>
          </w:tcPr>
          <w:p w14:paraId="2BDDB414" w14:textId="77777777" w:rsidR="00A70754" w:rsidRPr="00271719" w:rsidRDefault="00A70754" w:rsidP="001A34D1">
            <w:pPr>
              <w:pStyle w:val="Normal-TableText"/>
            </w:pPr>
            <w:r w:rsidRPr="00271719" w:rsidDel="00CB1A07">
              <w:t>K</w:t>
            </w:r>
            <w:r w:rsidRPr="00271719">
              <w:t>now</w:t>
            </w:r>
          </w:p>
        </w:tc>
        <w:tc>
          <w:tcPr>
            <w:tcW w:w="585" w:type="pct"/>
          </w:tcPr>
          <w:p w14:paraId="735234C9" w14:textId="77777777" w:rsidR="00A70754" w:rsidRPr="00271719" w:rsidRDefault="00A70754" w:rsidP="001A34D1">
            <w:pPr>
              <w:pStyle w:val="Normal-TableText"/>
            </w:pPr>
            <w:r w:rsidRPr="00271719">
              <w:t>Step-up authentication.</w:t>
            </w:r>
          </w:p>
          <w:p w14:paraId="33BFF4D6" w14:textId="77777777" w:rsidR="00A70754" w:rsidRPr="00271719" w:rsidRDefault="00A70754" w:rsidP="001A34D1">
            <w:pPr>
              <w:pStyle w:val="Normal-TableText"/>
            </w:pPr>
            <w:r w:rsidRPr="00271719">
              <w:t>Credential management e.g. PIN reset on OTP device</w:t>
            </w:r>
          </w:p>
        </w:tc>
        <w:tc>
          <w:tcPr>
            <w:tcW w:w="733" w:type="pct"/>
          </w:tcPr>
          <w:p w14:paraId="66208C48" w14:textId="77777777" w:rsidR="00A70754" w:rsidRPr="00271719" w:rsidRDefault="00A70754" w:rsidP="001A34D1">
            <w:pPr>
              <w:pStyle w:val="Normal-TableText"/>
            </w:pPr>
            <w:r w:rsidRPr="00271719">
              <w:t>Size of information set</w:t>
            </w:r>
          </w:p>
          <w:p w14:paraId="09B29E7F" w14:textId="77777777" w:rsidR="00A70754" w:rsidRPr="00271719" w:rsidRDefault="00A70754" w:rsidP="001A34D1">
            <w:pPr>
              <w:pStyle w:val="Normal-TableText"/>
            </w:pPr>
            <w:r w:rsidRPr="00271719">
              <w:t>Invalid-response strategies</w:t>
            </w:r>
          </w:p>
        </w:tc>
        <w:tc>
          <w:tcPr>
            <w:tcW w:w="585" w:type="pct"/>
          </w:tcPr>
          <w:p w14:paraId="247716AD" w14:textId="77777777" w:rsidR="00A70754" w:rsidRPr="00271719" w:rsidRDefault="00A70754" w:rsidP="001A34D1">
            <w:pPr>
              <w:pStyle w:val="Normal-TableText"/>
            </w:pPr>
            <w:r w:rsidRPr="00271719">
              <w:sym w:font="Wingdings" w:char="F0FC"/>
            </w:r>
          </w:p>
          <w:p w14:paraId="07ADA898" w14:textId="77777777" w:rsidR="00A70754" w:rsidRPr="00271719" w:rsidRDefault="00A70754" w:rsidP="001A34D1">
            <w:pPr>
              <w:pStyle w:val="Normal-TableText"/>
            </w:pPr>
            <w:r w:rsidRPr="00271719">
              <w:t xml:space="preserve">The probability that an attacker can guess a valid authentication code over the lifetime of the credential is less than xx </w:t>
            </w:r>
          </w:p>
        </w:tc>
        <w:tc>
          <w:tcPr>
            <w:tcW w:w="698" w:type="pct"/>
          </w:tcPr>
          <w:p w14:paraId="2C29761C" w14:textId="77777777" w:rsidR="00A70754" w:rsidRPr="00271719" w:rsidRDefault="00A70754" w:rsidP="001A34D1">
            <w:pPr>
              <w:pStyle w:val="Normal-TableText"/>
            </w:pPr>
            <w:r w:rsidRPr="00271719">
              <w:sym w:font="Wingdings" w:char="F0FC"/>
            </w:r>
          </w:p>
          <w:p w14:paraId="4DA4CE10" w14:textId="77777777" w:rsidR="00A70754" w:rsidRPr="00271719" w:rsidRDefault="00A70754" w:rsidP="001A34D1">
            <w:pPr>
              <w:pStyle w:val="Normal-TableText"/>
            </w:pPr>
            <w:r w:rsidRPr="00271719">
              <w:t>The probability that an attacker can guess a valid authentication code over the lifetime of the credential is less than yy</w:t>
            </w:r>
          </w:p>
          <w:p w14:paraId="46821700" w14:textId="77777777" w:rsidR="00A70754" w:rsidRPr="00271719" w:rsidRDefault="00A70754" w:rsidP="001A34D1">
            <w:pPr>
              <w:pStyle w:val="Normal-TableText"/>
            </w:pPr>
            <w:r w:rsidRPr="00271719">
              <w:t>Credential issuer blocks subscriber account after successive invalid submissions</w:t>
            </w:r>
          </w:p>
        </w:tc>
        <w:tc>
          <w:tcPr>
            <w:tcW w:w="794" w:type="pct"/>
          </w:tcPr>
          <w:p w14:paraId="07B93704" w14:textId="77777777" w:rsidR="00A70754" w:rsidRPr="00271719" w:rsidRDefault="00A70754" w:rsidP="001A34D1">
            <w:pPr>
              <w:pStyle w:val="Normal-TableText"/>
            </w:pPr>
            <w:r w:rsidRPr="00271719">
              <w:sym w:font="Wingdings" w:char="F0FB"/>
            </w:r>
          </w:p>
        </w:tc>
        <w:tc>
          <w:tcPr>
            <w:tcW w:w="687" w:type="pct"/>
          </w:tcPr>
          <w:p w14:paraId="67804A06" w14:textId="77777777" w:rsidR="00A70754" w:rsidRPr="00271719" w:rsidRDefault="00A70754" w:rsidP="001A34D1">
            <w:pPr>
              <w:pStyle w:val="Normal-TableText"/>
            </w:pPr>
            <w:r w:rsidRPr="00271719">
              <w:sym w:font="Wingdings" w:char="F0FB"/>
            </w:r>
          </w:p>
        </w:tc>
      </w:tr>
      <w:tr w:rsidR="00A70754" w:rsidRPr="00271719" w14:paraId="16F65A6B" w14:textId="77777777" w:rsidTr="0031028A">
        <w:tc>
          <w:tcPr>
            <w:tcW w:w="574" w:type="pct"/>
          </w:tcPr>
          <w:p w14:paraId="2EED51AE" w14:textId="77777777" w:rsidR="00A70754" w:rsidRPr="00271719" w:rsidRDefault="00A70754" w:rsidP="001A34D1">
            <w:pPr>
              <w:pStyle w:val="Normal-TableText"/>
            </w:pPr>
            <w:r w:rsidRPr="00271719">
              <w:t>Context-specific shared information</w:t>
            </w:r>
          </w:p>
        </w:tc>
        <w:tc>
          <w:tcPr>
            <w:tcW w:w="343" w:type="pct"/>
          </w:tcPr>
          <w:p w14:paraId="616358ED" w14:textId="77777777" w:rsidR="00A70754" w:rsidRPr="00271719" w:rsidRDefault="00A70754" w:rsidP="001A34D1">
            <w:pPr>
              <w:pStyle w:val="Normal-TableText"/>
            </w:pPr>
            <w:r w:rsidRPr="00271719" w:rsidDel="00CB1A07">
              <w:t>K</w:t>
            </w:r>
            <w:r w:rsidRPr="00271719">
              <w:t>now</w:t>
            </w:r>
          </w:p>
        </w:tc>
        <w:tc>
          <w:tcPr>
            <w:tcW w:w="585" w:type="pct"/>
          </w:tcPr>
          <w:p w14:paraId="3B575856" w14:textId="77777777" w:rsidR="00A70754" w:rsidRPr="00271719" w:rsidRDefault="00A70754" w:rsidP="001A34D1">
            <w:pPr>
              <w:pStyle w:val="Normal-TableText"/>
            </w:pPr>
            <w:r w:rsidRPr="00271719">
              <w:t>Step-up authentication</w:t>
            </w:r>
          </w:p>
          <w:p w14:paraId="20E4A5B9" w14:textId="77777777" w:rsidR="00A70754" w:rsidRDefault="00A70754" w:rsidP="001A34D1">
            <w:pPr>
              <w:pStyle w:val="Normal-TableText"/>
            </w:pPr>
            <w:r w:rsidRPr="00271719">
              <w:t>Credential management e.g. PIN reset on OTP device</w:t>
            </w:r>
          </w:p>
          <w:p w14:paraId="7EB672CF" w14:textId="77777777" w:rsidR="00A70754" w:rsidRPr="00271719" w:rsidRDefault="00A70754" w:rsidP="001A34D1">
            <w:pPr>
              <w:pStyle w:val="Normal-TableText"/>
            </w:pPr>
            <w:r w:rsidRPr="00271719">
              <w:t>Enrolment</w:t>
            </w:r>
          </w:p>
        </w:tc>
        <w:tc>
          <w:tcPr>
            <w:tcW w:w="733" w:type="pct"/>
          </w:tcPr>
          <w:p w14:paraId="385F6FC7" w14:textId="77777777" w:rsidR="00A70754" w:rsidRPr="00271719" w:rsidRDefault="00A70754" w:rsidP="001A34D1">
            <w:pPr>
              <w:pStyle w:val="Normal-TableText"/>
            </w:pPr>
            <w:r w:rsidRPr="00271719">
              <w:t>Predictability of shared information by known parties.</w:t>
            </w:r>
          </w:p>
          <w:p w14:paraId="404FF372" w14:textId="77777777" w:rsidR="00A70754" w:rsidRPr="00271719" w:rsidRDefault="00A70754" w:rsidP="001A34D1">
            <w:pPr>
              <w:pStyle w:val="Normal-TableText"/>
            </w:pPr>
            <w:r w:rsidRPr="00271719">
              <w:t>Invalid-response strategies</w:t>
            </w:r>
          </w:p>
        </w:tc>
        <w:tc>
          <w:tcPr>
            <w:tcW w:w="585" w:type="pct"/>
          </w:tcPr>
          <w:p w14:paraId="563B2132" w14:textId="77777777" w:rsidR="00A70754" w:rsidRPr="00271719" w:rsidRDefault="00A70754" w:rsidP="001A34D1">
            <w:pPr>
              <w:pStyle w:val="Normal-TableText"/>
            </w:pPr>
            <w:r w:rsidRPr="00271719">
              <w:sym w:font="Wingdings" w:char="F0FC"/>
            </w:r>
          </w:p>
        </w:tc>
        <w:tc>
          <w:tcPr>
            <w:tcW w:w="698" w:type="pct"/>
          </w:tcPr>
          <w:p w14:paraId="357571A0" w14:textId="77777777" w:rsidR="00A70754" w:rsidRPr="00271719" w:rsidRDefault="00A70754" w:rsidP="001A34D1">
            <w:pPr>
              <w:pStyle w:val="Normal-TableText"/>
            </w:pPr>
            <w:r w:rsidRPr="00271719">
              <w:sym w:font="Wingdings" w:char="F0FC"/>
            </w:r>
          </w:p>
          <w:p w14:paraId="7594E7A1" w14:textId="77777777" w:rsidR="00A70754" w:rsidRPr="00271719" w:rsidRDefault="00A70754" w:rsidP="001A34D1">
            <w:pPr>
              <w:pStyle w:val="Normal-TableText"/>
            </w:pPr>
            <w:r w:rsidRPr="00271719">
              <w:t>Credential issuer blocks subscriber account after successive invalid submissions</w:t>
            </w:r>
          </w:p>
        </w:tc>
        <w:tc>
          <w:tcPr>
            <w:tcW w:w="794" w:type="pct"/>
          </w:tcPr>
          <w:p w14:paraId="6C8709E4" w14:textId="77777777" w:rsidR="00A70754" w:rsidRPr="00271719" w:rsidRDefault="00A70754" w:rsidP="001A34D1">
            <w:pPr>
              <w:pStyle w:val="Normal-TableText"/>
            </w:pPr>
            <w:r w:rsidRPr="00271719">
              <w:sym w:font="Wingdings" w:char="F0FB"/>
            </w:r>
          </w:p>
        </w:tc>
        <w:tc>
          <w:tcPr>
            <w:tcW w:w="687" w:type="pct"/>
          </w:tcPr>
          <w:p w14:paraId="13935A28" w14:textId="77777777" w:rsidR="00A70754" w:rsidRPr="00271719" w:rsidRDefault="00A70754" w:rsidP="001A34D1">
            <w:pPr>
              <w:pStyle w:val="Normal-TableText"/>
            </w:pPr>
            <w:r w:rsidRPr="00271719">
              <w:sym w:font="Wingdings" w:char="F0FB"/>
            </w:r>
          </w:p>
        </w:tc>
      </w:tr>
      <w:tr w:rsidR="00A70754" w:rsidRPr="00271719" w14:paraId="6152A94F" w14:textId="77777777" w:rsidTr="0031028A">
        <w:tc>
          <w:tcPr>
            <w:tcW w:w="574" w:type="pct"/>
          </w:tcPr>
          <w:p w14:paraId="03F782F5" w14:textId="77777777" w:rsidR="00A70754" w:rsidRPr="00271719" w:rsidRDefault="0031028A" w:rsidP="001A34D1">
            <w:pPr>
              <w:pStyle w:val="Normal-TableText"/>
            </w:pPr>
            <w:r>
              <w:lastRenderedPageBreak/>
              <w:t>Code book</w:t>
            </w:r>
          </w:p>
        </w:tc>
        <w:tc>
          <w:tcPr>
            <w:tcW w:w="343" w:type="pct"/>
          </w:tcPr>
          <w:p w14:paraId="49679A70" w14:textId="77777777" w:rsidR="00A70754" w:rsidRPr="00271719" w:rsidRDefault="00A70754" w:rsidP="001A34D1">
            <w:pPr>
              <w:pStyle w:val="Normal-TableText"/>
            </w:pPr>
            <w:r w:rsidRPr="00271719" w:rsidDel="00CB1A07">
              <w:t>K</w:t>
            </w:r>
            <w:r w:rsidRPr="00271719">
              <w:t>now</w:t>
            </w:r>
          </w:p>
          <w:p w14:paraId="269CA5B0" w14:textId="77777777" w:rsidR="00A70754" w:rsidRPr="00271719" w:rsidRDefault="00A70754" w:rsidP="001A34D1">
            <w:pPr>
              <w:pStyle w:val="Normal-TableText"/>
            </w:pPr>
            <w:r w:rsidRPr="00271719" w:rsidDel="00CB1A07">
              <w:t>H</w:t>
            </w:r>
            <w:r w:rsidRPr="00271719">
              <w:t>ave</w:t>
            </w:r>
          </w:p>
        </w:tc>
        <w:tc>
          <w:tcPr>
            <w:tcW w:w="585" w:type="pct"/>
          </w:tcPr>
          <w:p w14:paraId="628D1319" w14:textId="77777777" w:rsidR="00A70754" w:rsidRPr="00271719" w:rsidRDefault="00A70754" w:rsidP="001A34D1">
            <w:pPr>
              <w:pStyle w:val="Normal-TableText"/>
            </w:pPr>
            <w:r w:rsidRPr="00271719">
              <w:t>Subscriber authentication</w:t>
            </w:r>
          </w:p>
        </w:tc>
        <w:tc>
          <w:tcPr>
            <w:tcW w:w="733" w:type="pct"/>
          </w:tcPr>
          <w:p w14:paraId="59228ED5" w14:textId="77777777" w:rsidR="00A70754" w:rsidRPr="00271719" w:rsidRDefault="00A70754" w:rsidP="001A34D1">
            <w:pPr>
              <w:pStyle w:val="Normal-TableText"/>
            </w:pPr>
            <w:r w:rsidRPr="00271719">
              <w:t>Physical security of Code book</w:t>
            </w:r>
          </w:p>
          <w:p w14:paraId="1DCE58AC" w14:textId="77777777" w:rsidR="00A70754" w:rsidRPr="00271719" w:rsidRDefault="00A70754" w:rsidP="001A34D1">
            <w:pPr>
              <w:pStyle w:val="Normal-TableText"/>
            </w:pPr>
            <w:r w:rsidRPr="00271719">
              <w:t>Ability to guess:</w:t>
            </w:r>
          </w:p>
          <w:p w14:paraId="102C896A" w14:textId="77777777" w:rsidR="00A70754" w:rsidRPr="00271719" w:rsidRDefault="00A70754" w:rsidP="0031028A">
            <w:pPr>
              <w:pStyle w:val="Bullet1"/>
            </w:pPr>
            <w:r w:rsidRPr="00271719" w:rsidDel="00CB1A07">
              <w:t>c</w:t>
            </w:r>
            <w:r w:rsidRPr="00271719">
              <w:t>ode length and character set</w:t>
            </w:r>
          </w:p>
          <w:p w14:paraId="17A07390" w14:textId="77777777" w:rsidR="00A70754" w:rsidRPr="00271719" w:rsidRDefault="00A70754" w:rsidP="0031028A">
            <w:pPr>
              <w:pStyle w:val="Bullet1"/>
            </w:pPr>
            <w:r w:rsidRPr="00271719" w:rsidDel="00CB1A07">
              <w:t>c</w:t>
            </w:r>
            <w:r w:rsidRPr="00271719">
              <w:t>ode book lifetime</w:t>
            </w:r>
          </w:p>
          <w:p w14:paraId="017E1CCE" w14:textId="77777777" w:rsidR="00A70754" w:rsidRPr="00271719" w:rsidRDefault="00A70754" w:rsidP="0031028A">
            <w:pPr>
              <w:pStyle w:val="Bullet1"/>
            </w:pPr>
            <w:r w:rsidRPr="00271719" w:rsidDel="00CB1A07">
              <w:t>i</w:t>
            </w:r>
            <w:r w:rsidRPr="00271719">
              <w:t>nvalid-code strategies</w:t>
            </w:r>
          </w:p>
        </w:tc>
        <w:tc>
          <w:tcPr>
            <w:tcW w:w="585" w:type="pct"/>
          </w:tcPr>
          <w:p w14:paraId="5E23B4DF" w14:textId="77777777" w:rsidR="00A70754" w:rsidRPr="00271719" w:rsidRDefault="00A70754" w:rsidP="001A34D1">
            <w:pPr>
              <w:pStyle w:val="Normal-TableText"/>
            </w:pPr>
            <w:r w:rsidRPr="00271719">
              <w:sym w:font="Wingdings" w:char="F0FC"/>
            </w:r>
          </w:p>
          <w:p w14:paraId="1ADEA508" w14:textId="77777777" w:rsidR="00A70754" w:rsidRPr="00271719" w:rsidRDefault="00A70754" w:rsidP="001A34D1">
            <w:pPr>
              <w:pStyle w:val="Normal-TableText"/>
            </w:pPr>
            <w:r w:rsidRPr="00271719">
              <w:t>The probability that an attacker can guess a valid authentication code over the lifetime of the credential is less than xx</w:t>
            </w:r>
          </w:p>
        </w:tc>
        <w:tc>
          <w:tcPr>
            <w:tcW w:w="698" w:type="pct"/>
          </w:tcPr>
          <w:p w14:paraId="6A6DF6ED" w14:textId="77777777" w:rsidR="00A70754" w:rsidRPr="00271719" w:rsidRDefault="00A70754" w:rsidP="001A34D1">
            <w:pPr>
              <w:pStyle w:val="Normal-TableText"/>
            </w:pPr>
            <w:r w:rsidRPr="00271719">
              <w:sym w:font="Wingdings" w:char="F0FC"/>
            </w:r>
          </w:p>
          <w:p w14:paraId="17A6C5D4" w14:textId="77777777" w:rsidR="00A70754" w:rsidRPr="00271719" w:rsidRDefault="00A70754" w:rsidP="001A34D1">
            <w:pPr>
              <w:pStyle w:val="Normal-TableText"/>
            </w:pPr>
            <w:r w:rsidRPr="00271719">
              <w:t>The probability that an attacker can guess a valid authentication code over the lifetime of the credential is less than yy</w:t>
            </w:r>
          </w:p>
          <w:p w14:paraId="740026C9" w14:textId="77777777" w:rsidR="00A70754" w:rsidRPr="00271719" w:rsidRDefault="00A70754" w:rsidP="001A34D1">
            <w:pPr>
              <w:pStyle w:val="Normal-TableText"/>
            </w:pPr>
            <w:r w:rsidRPr="00271719">
              <w:t>Authentication code diversification through shared secret</w:t>
            </w:r>
          </w:p>
          <w:p w14:paraId="44DCE5E1" w14:textId="77777777" w:rsidR="00A70754" w:rsidRPr="00271719" w:rsidRDefault="00A70754" w:rsidP="001A34D1">
            <w:pPr>
              <w:pStyle w:val="Normal-TableText"/>
            </w:pPr>
            <w:r w:rsidRPr="00271719">
              <w:t>Credential issuer blocks subscriber account after successive invalid submissions</w:t>
            </w:r>
          </w:p>
        </w:tc>
        <w:tc>
          <w:tcPr>
            <w:tcW w:w="794" w:type="pct"/>
          </w:tcPr>
          <w:p w14:paraId="696BC220" w14:textId="77777777" w:rsidR="00A70754" w:rsidRPr="00271719" w:rsidRDefault="00A70754" w:rsidP="001A34D1">
            <w:pPr>
              <w:pStyle w:val="Normal-TableText"/>
            </w:pPr>
            <w:r w:rsidRPr="00271719">
              <w:sym w:font="Wingdings" w:char="F0FC"/>
            </w:r>
          </w:p>
          <w:p w14:paraId="66033A36" w14:textId="77777777" w:rsidR="00A70754" w:rsidRPr="00271719" w:rsidRDefault="00A70754" w:rsidP="001A34D1">
            <w:pPr>
              <w:pStyle w:val="Normal-TableText"/>
            </w:pPr>
            <w:r w:rsidRPr="00271719">
              <w:t>The probability that an attacker can guess a valid authentication code over the lifetime of the credential is less than zz</w:t>
            </w:r>
            <w:r>
              <w:t>.</w:t>
            </w:r>
          </w:p>
          <w:p w14:paraId="24DD1BBC" w14:textId="77777777" w:rsidR="00A70754" w:rsidRPr="00271719" w:rsidRDefault="00A70754" w:rsidP="001A34D1">
            <w:pPr>
              <w:pStyle w:val="Normal-TableText"/>
            </w:pPr>
            <w:r w:rsidRPr="00271719">
              <w:t>Authentication code diversification through shared secret</w:t>
            </w:r>
            <w:r>
              <w:t>.</w:t>
            </w:r>
          </w:p>
        </w:tc>
        <w:tc>
          <w:tcPr>
            <w:tcW w:w="687" w:type="pct"/>
          </w:tcPr>
          <w:p w14:paraId="517DC746" w14:textId="77777777" w:rsidR="00A70754" w:rsidRPr="00271719" w:rsidRDefault="00A70754" w:rsidP="001A34D1">
            <w:pPr>
              <w:pStyle w:val="Normal-TableText"/>
            </w:pPr>
            <w:r w:rsidRPr="00271719">
              <w:sym w:font="Wingdings" w:char="F0FB"/>
            </w:r>
          </w:p>
        </w:tc>
      </w:tr>
      <w:tr w:rsidR="00A70754" w:rsidRPr="00271719" w14:paraId="722FAAAC" w14:textId="77777777" w:rsidTr="0031028A">
        <w:tc>
          <w:tcPr>
            <w:tcW w:w="574" w:type="pct"/>
          </w:tcPr>
          <w:p w14:paraId="3B363695" w14:textId="77777777" w:rsidR="00A70754" w:rsidRPr="00271719" w:rsidRDefault="00A70754" w:rsidP="001A34D1">
            <w:pPr>
              <w:pStyle w:val="Normal-TableText"/>
            </w:pPr>
            <w:r w:rsidRPr="00271719">
              <w:t>Pr</w:t>
            </w:r>
            <w:r w:rsidR="00BE178F">
              <w:t>e</w:t>
            </w:r>
            <w:r w:rsidR="00BE178F">
              <w:noBreakHyphen/>
            </w:r>
            <w:r w:rsidRPr="00271719">
              <w:t>registered origin</w:t>
            </w:r>
          </w:p>
          <w:p w14:paraId="29D8C7C6" w14:textId="77777777" w:rsidR="00A70754" w:rsidRPr="00271719" w:rsidRDefault="00A70754" w:rsidP="0031028A">
            <w:pPr>
              <w:pStyle w:val="Bullet1"/>
            </w:pPr>
            <w:r w:rsidRPr="00271719" w:rsidDel="00CB1A07">
              <w:t>c</w:t>
            </w:r>
            <w:r w:rsidRPr="00271719">
              <w:t>aller-id</w:t>
            </w:r>
          </w:p>
          <w:p w14:paraId="7C74C201" w14:textId="77777777" w:rsidR="00A70754" w:rsidRPr="00271719" w:rsidRDefault="00A70754" w:rsidP="0031028A">
            <w:pPr>
              <w:pStyle w:val="Bullet1"/>
            </w:pPr>
            <w:r w:rsidRPr="00271719">
              <w:t>IP address</w:t>
            </w:r>
          </w:p>
        </w:tc>
        <w:tc>
          <w:tcPr>
            <w:tcW w:w="343" w:type="pct"/>
          </w:tcPr>
          <w:p w14:paraId="2643A0B8" w14:textId="77777777" w:rsidR="00A70754" w:rsidRPr="00271719" w:rsidRDefault="00A70754" w:rsidP="001A34D1">
            <w:pPr>
              <w:pStyle w:val="Normal-TableText"/>
            </w:pPr>
            <w:r w:rsidRPr="00271719" w:rsidDel="00CB1A07">
              <w:t>H</w:t>
            </w:r>
            <w:r w:rsidRPr="00271719">
              <w:t>ave</w:t>
            </w:r>
          </w:p>
        </w:tc>
        <w:tc>
          <w:tcPr>
            <w:tcW w:w="585" w:type="pct"/>
          </w:tcPr>
          <w:p w14:paraId="0B796C2B" w14:textId="77777777" w:rsidR="00A70754" w:rsidRPr="00271719" w:rsidRDefault="00A70754" w:rsidP="001A34D1">
            <w:pPr>
              <w:pStyle w:val="Normal-TableText"/>
            </w:pPr>
            <w:r w:rsidRPr="00271719">
              <w:t>Subscriber authentication</w:t>
            </w:r>
          </w:p>
        </w:tc>
        <w:tc>
          <w:tcPr>
            <w:tcW w:w="733" w:type="pct"/>
          </w:tcPr>
          <w:p w14:paraId="4C375F60" w14:textId="77777777" w:rsidR="00A70754" w:rsidRPr="00271719" w:rsidRDefault="00A70754" w:rsidP="001A34D1">
            <w:pPr>
              <w:pStyle w:val="Normal-TableText"/>
            </w:pPr>
            <w:r w:rsidRPr="00271719">
              <w:t>Management of changes to pr</w:t>
            </w:r>
            <w:r w:rsidR="00BE178F">
              <w:t>e</w:t>
            </w:r>
            <w:r w:rsidR="00BE178F">
              <w:noBreakHyphen/>
            </w:r>
            <w:r w:rsidRPr="00271719">
              <w:t>registered addresses</w:t>
            </w:r>
          </w:p>
        </w:tc>
        <w:tc>
          <w:tcPr>
            <w:tcW w:w="585" w:type="pct"/>
          </w:tcPr>
          <w:p w14:paraId="0352B0BB" w14:textId="77777777" w:rsidR="00A70754" w:rsidRPr="00271719" w:rsidRDefault="00A70754" w:rsidP="001A34D1">
            <w:pPr>
              <w:pStyle w:val="Normal-TableText"/>
            </w:pPr>
            <w:r w:rsidRPr="00271719">
              <w:sym w:font="Wingdings" w:char="F0FC"/>
            </w:r>
          </w:p>
        </w:tc>
        <w:tc>
          <w:tcPr>
            <w:tcW w:w="698" w:type="pct"/>
          </w:tcPr>
          <w:p w14:paraId="1652BB05" w14:textId="77777777" w:rsidR="00A70754" w:rsidRPr="00271719" w:rsidRDefault="00A70754" w:rsidP="001A34D1">
            <w:pPr>
              <w:pStyle w:val="Normal-TableText"/>
            </w:pPr>
            <w:r w:rsidRPr="00271719">
              <w:sym w:font="Wingdings" w:char="F0FB"/>
            </w:r>
          </w:p>
        </w:tc>
        <w:tc>
          <w:tcPr>
            <w:tcW w:w="794" w:type="pct"/>
          </w:tcPr>
          <w:p w14:paraId="7EDD746C" w14:textId="77777777" w:rsidR="00A70754" w:rsidRPr="00271719" w:rsidRDefault="00A70754" w:rsidP="001A34D1">
            <w:pPr>
              <w:pStyle w:val="Normal-TableText"/>
            </w:pPr>
            <w:r w:rsidRPr="00271719">
              <w:sym w:font="Wingdings" w:char="F0FB"/>
            </w:r>
          </w:p>
        </w:tc>
        <w:tc>
          <w:tcPr>
            <w:tcW w:w="687" w:type="pct"/>
          </w:tcPr>
          <w:p w14:paraId="10C860A1" w14:textId="77777777" w:rsidR="00A70754" w:rsidRPr="00271719" w:rsidRDefault="00A70754" w:rsidP="001A34D1">
            <w:pPr>
              <w:pStyle w:val="Normal-TableText"/>
            </w:pPr>
            <w:r w:rsidRPr="00271719">
              <w:sym w:font="Wingdings" w:char="F0FB"/>
            </w:r>
          </w:p>
        </w:tc>
      </w:tr>
      <w:tr w:rsidR="00A70754" w:rsidRPr="00271719" w14:paraId="1F037AB7" w14:textId="77777777" w:rsidTr="0031028A">
        <w:tc>
          <w:tcPr>
            <w:tcW w:w="574" w:type="pct"/>
          </w:tcPr>
          <w:p w14:paraId="29B36C71" w14:textId="77777777" w:rsidR="00A70754" w:rsidRPr="00271719" w:rsidRDefault="00A70754" w:rsidP="001A34D1">
            <w:pPr>
              <w:pStyle w:val="Normal-TableText"/>
            </w:pPr>
            <w:r w:rsidRPr="00271719">
              <w:lastRenderedPageBreak/>
              <w:t>Call back to pr</w:t>
            </w:r>
            <w:r w:rsidR="00BE178F">
              <w:t>e</w:t>
            </w:r>
            <w:r w:rsidR="00BE178F">
              <w:noBreakHyphen/>
            </w:r>
            <w:r w:rsidRPr="00271719">
              <w:t>registered address:</w:t>
            </w:r>
          </w:p>
          <w:p w14:paraId="6353EA83" w14:textId="77777777" w:rsidR="00A70754" w:rsidRPr="00271719" w:rsidRDefault="00A70754" w:rsidP="0031028A">
            <w:pPr>
              <w:pStyle w:val="Bullet1"/>
            </w:pPr>
            <w:r w:rsidRPr="00271719" w:rsidDel="00CB1A07">
              <w:t>v</w:t>
            </w:r>
            <w:r w:rsidRPr="00271719">
              <w:t>oice</w:t>
            </w:r>
          </w:p>
          <w:p w14:paraId="25589E06" w14:textId="77777777" w:rsidR="00A70754" w:rsidRPr="00271719" w:rsidRDefault="00A70754" w:rsidP="0031028A">
            <w:pPr>
              <w:pStyle w:val="Bullet1"/>
            </w:pPr>
            <w:r w:rsidRPr="00271719">
              <w:t>SMS OTP</w:t>
            </w:r>
          </w:p>
          <w:p w14:paraId="53B31E60" w14:textId="77777777" w:rsidR="00A70754" w:rsidRPr="00271719" w:rsidRDefault="00A70754" w:rsidP="0031028A">
            <w:pPr>
              <w:pStyle w:val="Bullet1"/>
            </w:pPr>
            <w:r w:rsidRPr="00271719" w:rsidDel="00CB1A07">
              <w:t>e</w:t>
            </w:r>
            <w:r w:rsidRPr="00271719">
              <w:t>mail OTP</w:t>
            </w:r>
          </w:p>
        </w:tc>
        <w:tc>
          <w:tcPr>
            <w:tcW w:w="343" w:type="pct"/>
          </w:tcPr>
          <w:p w14:paraId="19A12CAF" w14:textId="77777777" w:rsidR="00A70754" w:rsidRPr="00271719" w:rsidRDefault="00A70754" w:rsidP="001A34D1">
            <w:pPr>
              <w:pStyle w:val="Normal-TableText"/>
            </w:pPr>
            <w:r w:rsidRPr="00271719" w:rsidDel="00CB1A07">
              <w:t>H</w:t>
            </w:r>
            <w:r w:rsidRPr="00271719">
              <w:t>ave</w:t>
            </w:r>
          </w:p>
        </w:tc>
        <w:tc>
          <w:tcPr>
            <w:tcW w:w="585" w:type="pct"/>
          </w:tcPr>
          <w:p w14:paraId="573BE6F3" w14:textId="77777777" w:rsidR="00A70754" w:rsidRPr="00271719" w:rsidRDefault="00A70754" w:rsidP="001A34D1">
            <w:pPr>
              <w:pStyle w:val="Normal-TableText"/>
            </w:pPr>
            <w:r w:rsidRPr="00271719">
              <w:t>Subscriber authentication</w:t>
            </w:r>
          </w:p>
        </w:tc>
        <w:tc>
          <w:tcPr>
            <w:tcW w:w="733" w:type="pct"/>
          </w:tcPr>
          <w:p w14:paraId="3017ED04" w14:textId="77777777" w:rsidR="00A70754" w:rsidRPr="00271719" w:rsidRDefault="00A70754" w:rsidP="001A34D1">
            <w:pPr>
              <w:pStyle w:val="Normal-TableText"/>
            </w:pPr>
            <w:r w:rsidRPr="00271719">
              <w:t>Management of changes to pr</w:t>
            </w:r>
            <w:r w:rsidR="00BE178F">
              <w:t>e</w:t>
            </w:r>
            <w:r w:rsidR="00BE178F">
              <w:noBreakHyphen/>
            </w:r>
            <w:r w:rsidRPr="00271719">
              <w:t>registered addresses</w:t>
            </w:r>
          </w:p>
          <w:p w14:paraId="20EC8C25" w14:textId="77777777" w:rsidR="00A70754" w:rsidRPr="00271719" w:rsidRDefault="00A70754" w:rsidP="001A34D1">
            <w:pPr>
              <w:pStyle w:val="Normal-TableText"/>
            </w:pPr>
            <w:r w:rsidRPr="00271719">
              <w:t>Evidence of subscriber’s custody of the address/channel</w:t>
            </w:r>
          </w:p>
        </w:tc>
        <w:tc>
          <w:tcPr>
            <w:tcW w:w="585" w:type="pct"/>
          </w:tcPr>
          <w:p w14:paraId="2DC92B2E" w14:textId="77777777" w:rsidR="00A70754" w:rsidRPr="00271719" w:rsidRDefault="00A70754" w:rsidP="001A34D1">
            <w:pPr>
              <w:pStyle w:val="Normal-TableText"/>
            </w:pPr>
            <w:r w:rsidRPr="00271719">
              <w:sym w:font="Wingdings" w:char="F0FC"/>
            </w:r>
          </w:p>
        </w:tc>
        <w:tc>
          <w:tcPr>
            <w:tcW w:w="698" w:type="pct"/>
          </w:tcPr>
          <w:p w14:paraId="198A3EFB" w14:textId="77777777" w:rsidR="00A70754" w:rsidRPr="00271719" w:rsidRDefault="00A70754" w:rsidP="001A34D1">
            <w:pPr>
              <w:pStyle w:val="Normal-TableText"/>
            </w:pPr>
            <w:r w:rsidRPr="00271719">
              <w:sym w:font="Wingdings" w:char="F0FC"/>
            </w:r>
          </w:p>
          <w:p w14:paraId="679EF0A8" w14:textId="77777777" w:rsidR="00A70754" w:rsidRPr="00271719" w:rsidRDefault="00A70754" w:rsidP="0031028A">
            <w:pPr>
              <w:pStyle w:val="Normal-TableText"/>
              <w:rPr>
                <w:sz w:val="18"/>
                <w:szCs w:val="18"/>
              </w:rPr>
            </w:pPr>
          </w:p>
        </w:tc>
        <w:tc>
          <w:tcPr>
            <w:tcW w:w="794" w:type="pct"/>
          </w:tcPr>
          <w:p w14:paraId="57835630" w14:textId="77777777" w:rsidR="00A70754" w:rsidRPr="00271719" w:rsidRDefault="00A70754" w:rsidP="001A34D1">
            <w:pPr>
              <w:pStyle w:val="Normal-TableText"/>
            </w:pPr>
            <w:r w:rsidRPr="00271719">
              <w:sym w:font="Wingdings" w:char="F0FC"/>
            </w:r>
          </w:p>
          <w:p w14:paraId="648E64A0" w14:textId="77777777" w:rsidR="00A70754" w:rsidRPr="00271719" w:rsidRDefault="00A70754" w:rsidP="001A34D1">
            <w:pPr>
              <w:pStyle w:val="Normal-TableText"/>
            </w:pPr>
            <w:r w:rsidRPr="00271719">
              <w:t>When combined with memorised password</w:t>
            </w:r>
            <w:r>
              <w:t>.</w:t>
            </w:r>
          </w:p>
        </w:tc>
        <w:tc>
          <w:tcPr>
            <w:tcW w:w="687" w:type="pct"/>
          </w:tcPr>
          <w:p w14:paraId="45B72B43" w14:textId="77777777" w:rsidR="00A70754" w:rsidRPr="00271719" w:rsidRDefault="00A70754" w:rsidP="001A34D1">
            <w:pPr>
              <w:pStyle w:val="Normal-TableText"/>
            </w:pPr>
            <w:r w:rsidRPr="00271719">
              <w:sym w:font="Wingdings" w:char="F0FB"/>
            </w:r>
          </w:p>
        </w:tc>
      </w:tr>
      <w:tr w:rsidR="00A70754" w:rsidRPr="00271719" w14:paraId="5520BF4A" w14:textId="77777777" w:rsidTr="0031028A">
        <w:tc>
          <w:tcPr>
            <w:tcW w:w="574" w:type="pct"/>
          </w:tcPr>
          <w:p w14:paraId="63877BFF" w14:textId="77777777" w:rsidR="00A70754" w:rsidRPr="00271719" w:rsidRDefault="00A70754" w:rsidP="001A34D1">
            <w:pPr>
              <w:pStyle w:val="Normal-TableText"/>
            </w:pPr>
            <w:r w:rsidRPr="00271719">
              <w:t>Voice biometric</w:t>
            </w:r>
          </w:p>
        </w:tc>
        <w:tc>
          <w:tcPr>
            <w:tcW w:w="343" w:type="pct"/>
          </w:tcPr>
          <w:p w14:paraId="5FACC458" w14:textId="77777777" w:rsidR="00A70754" w:rsidRPr="00271719" w:rsidRDefault="00A70754" w:rsidP="001A34D1">
            <w:pPr>
              <w:pStyle w:val="Normal-TableText"/>
            </w:pPr>
            <w:r w:rsidRPr="00271719" w:rsidDel="00CB1A07">
              <w:t>A</w:t>
            </w:r>
            <w:r w:rsidRPr="00271719">
              <w:t>re</w:t>
            </w:r>
          </w:p>
        </w:tc>
        <w:tc>
          <w:tcPr>
            <w:tcW w:w="585" w:type="pct"/>
          </w:tcPr>
          <w:p w14:paraId="01F55497" w14:textId="77777777" w:rsidR="00A70754" w:rsidRPr="00271719" w:rsidRDefault="00A70754" w:rsidP="001A34D1">
            <w:pPr>
              <w:pStyle w:val="Normal-TableText"/>
            </w:pPr>
            <w:r w:rsidRPr="00271719">
              <w:t>Subscriber authentication</w:t>
            </w:r>
          </w:p>
        </w:tc>
        <w:tc>
          <w:tcPr>
            <w:tcW w:w="733" w:type="pct"/>
          </w:tcPr>
          <w:p w14:paraId="3BBAD88E" w14:textId="77777777" w:rsidR="00A70754" w:rsidRPr="00271719" w:rsidRDefault="00A70754" w:rsidP="001A34D1">
            <w:pPr>
              <w:pStyle w:val="Normal-TableText"/>
            </w:pPr>
            <w:r w:rsidRPr="00271719">
              <w:t>Technology maturity</w:t>
            </w:r>
          </w:p>
        </w:tc>
        <w:tc>
          <w:tcPr>
            <w:tcW w:w="585" w:type="pct"/>
          </w:tcPr>
          <w:p w14:paraId="0A12A62B" w14:textId="77777777" w:rsidR="00A70754" w:rsidRPr="00271719" w:rsidRDefault="00A70754" w:rsidP="001A34D1">
            <w:pPr>
              <w:pStyle w:val="Normal-TableText"/>
            </w:pPr>
            <w:r w:rsidRPr="00271719">
              <w:sym w:font="Wingdings" w:char="F0FC"/>
            </w:r>
          </w:p>
        </w:tc>
        <w:tc>
          <w:tcPr>
            <w:tcW w:w="698" w:type="pct"/>
          </w:tcPr>
          <w:p w14:paraId="087D7D4A" w14:textId="77777777" w:rsidR="00A70754" w:rsidRPr="00271719" w:rsidRDefault="00A70754" w:rsidP="001A34D1">
            <w:pPr>
              <w:pStyle w:val="Normal-TableText"/>
            </w:pPr>
            <w:r w:rsidRPr="00271719">
              <w:sym w:font="Wingdings" w:char="F0FC"/>
            </w:r>
          </w:p>
          <w:p w14:paraId="513C462A" w14:textId="77777777" w:rsidR="00A70754" w:rsidRPr="00271719" w:rsidRDefault="00A70754" w:rsidP="0031028A">
            <w:pPr>
              <w:pStyle w:val="Normal-TableText"/>
              <w:rPr>
                <w:sz w:val="18"/>
                <w:szCs w:val="18"/>
              </w:rPr>
            </w:pPr>
          </w:p>
        </w:tc>
        <w:tc>
          <w:tcPr>
            <w:tcW w:w="794" w:type="pct"/>
          </w:tcPr>
          <w:p w14:paraId="105CA1A3" w14:textId="77777777" w:rsidR="00A70754" w:rsidRPr="00271719" w:rsidRDefault="00A70754" w:rsidP="001A34D1">
            <w:pPr>
              <w:pStyle w:val="Normal-TableText"/>
            </w:pPr>
            <w:r w:rsidRPr="00271719">
              <w:sym w:font="Wingdings" w:char="F0FB"/>
            </w:r>
          </w:p>
        </w:tc>
        <w:tc>
          <w:tcPr>
            <w:tcW w:w="687" w:type="pct"/>
          </w:tcPr>
          <w:p w14:paraId="4CB19EAA" w14:textId="77777777" w:rsidR="00A70754" w:rsidRPr="00271719" w:rsidRDefault="00A70754" w:rsidP="001A34D1">
            <w:pPr>
              <w:pStyle w:val="Normal-TableText"/>
            </w:pPr>
            <w:r w:rsidRPr="00271719">
              <w:sym w:font="Wingdings" w:char="F0FB"/>
            </w:r>
          </w:p>
        </w:tc>
      </w:tr>
      <w:tr w:rsidR="00A70754" w:rsidRPr="00271719" w14:paraId="0AFA60B5" w14:textId="77777777" w:rsidTr="0031028A">
        <w:tc>
          <w:tcPr>
            <w:tcW w:w="574" w:type="pct"/>
          </w:tcPr>
          <w:p w14:paraId="64576A6C" w14:textId="77777777" w:rsidR="00A70754" w:rsidRPr="00271719" w:rsidRDefault="00A70754" w:rsidP="001A34D1">
            <w:pPr>
              <w:pStyle w:val="Normal-TableText"/>
            </w:pPr>
            <w:r w:rsidRPr="00271719">
              <w:t>Software cryptographic credential</w:t>
            </w:r>
          </w:p>
          <w:p w14:paraId="089AAAB2" w14:textId="77777777" w:rsidR="00A70754" w:rsidRPr="00271719" w:rsidRDefault="00A70754" w:rsidP="001A34D1">
            <w:pPr>
              <w:pStyle w:val="Normal-TableText"/>
            </w:pPr>
            <w:r w:rsidRPr="00271719">
              <w:t>Symmetric key</w:t>
            </w:r>
          </w:p>
        </w:tc>
        <w:tc>
          <w:tcPr>
            <w:tcW w:w="343" w:type="pct"/>
          </w:tcPr>
          <w:p w14:paraId="30933300" w14:textId="77777777" w:rsidR="00A70754" w:rsidRPr="00271719" w:rsidRDefault="00A70754" w:rsidP="001A34D1">
            <w:pPr>
              <w:pStyle w:val="Normal-TableText"/>
            </w:pPr>
            <w:r w:rsidRPr="00271719" w:rsidDel="00CB1A07">
              <w:t>K</w:t>
            </w:r>
            <w:r w:rsidRPr="00271719">
              <w:t>now</w:t>
            </w:r>
          </w:p>
          <w:p w14:paraId="1A1853A7" w14:textId="77777777" w:rsidR="00A70754" w:rsidRPr="00271719" w:rsidRDefault="00A70754" w:rsidP="001A34D1">
            <w:pPr>
              <w:pStyle w:val="Normal-TableText"/>
            </w:pPr>
            <w:r w:rsidRPr="00271719">
              <w:t>(Have)</w:t>
            </w:r>
          </w:p>
        </w:tc>
        <w:tc>
          <w:tcPr>
            <w:tcW w:w="585" w:type="pct"/>
          </w:tcPr>
          <w:p w14:paraId="324E008A" w14:textId="77777777" w:rsidR="00A70754" w:rsidRPr="00271719" w:rsidRDefault="00A70754" w:rsidP="001A34D1">
            <w:pPr>
              <w:pStyle w:val="Normal-TableText"/>
            </w:pPr>
            <w:r w:rsidRPr="00271719">
              <w:t>Subscriber and transaction authentication</w:t>
            </w:r>
          </w:p>
        </w:tc>
        <w:tc>
          <w:tcPr>
            <w:tcW w:w="733" w:type="pct"/>
          </w:tcPr>
          <w:p w14:paraId="757783EC" w14:textId="77777777" w:rsidR="00A70754" w:rsidRPr="00271719" w:rsidRDefault="00A70754" w:rsidP="001A34D1">
            <w:pPr>
              <w:pStyle w:val="Normal-TableText"/>
            </w:pPr>
            <w:r w:rsidRPr="00271719">
              <w:t>Management of keys in software</w:t>
            </w:r>
          </w:p>
          <w:p w14:paraId="050CF41E" w14:textId="77777777" w:rsidR="00A70754" w:rsidRPr="00271719" w:rsidRDefault="00A70754" w:rsidP="001A34D1">
            <w:pPr>
              <w:pStyle w:val="Normal-TableText"/>
            </w:pPr>
            <w:r w:rsidRPr="00271719">
              <w:t>Key length and algorithms</w:t>
            </w:r>
          </w:p>
          <w:p w14:paraId="5CFDCE48" w14:textId="77777777" w:rsidR="00A70754" w:rsidRPr="00271719" w:rsidRDefault="00A70754" w:rsidP="001A34D1">
            <w:pPr>
              <w:pStyle w:val="Normal-TableText"/>
            </w:pPr>
            <w:r w:rsidRPr="00271719">
              <w:t>Credential passcode policy</w:t>
            </w:r>
          </w:p>
          <w:p w14:paraId="0FDF8084" w14:textId="77777777" w:rsidR="00A70754" w:rsidRPr="00271719" w:rsidRDefault="00A70754" w:rsidP="001A34D1">
            <w:pPr>
              <w:pStyle w:val="Normal-TableText"/>
            </w:pPr>
            <w:r w:rsidRPr="00271719">
              <w:t>Invalid-code strategies</w:t>
            </w:r>
          </w:p>
          <w:p w14:paraId="0C521210" w14:textId="77777777" w:rsidR="00A70754" w:rsidRPr="00271719" w:rsidRDefault="00A70754" w:rsidP="001A34D1">
            <w:pPr>
              <w:pStyle w:val="Normal-TableText"/>
            </w:pPr>
            <w:r w:rsidRPr="00271719">
              <w:t>Key rollover strategies</w:t>
            </w:r>
          </w:p>
        </w:tc>
        <w:tc>
          <w:tcPr>
            <w:tcW w:w="585" w:type="pct"/>
          </w:tcPr>
          <w:p w14:paraId="438B9594" w14:textId="77777777" w:rsidR="00A70754" w:rsidRPr="00271719" w:rsidRDefault="00A70754" w:rsidP="001A34D1">
            <w:pPr>
              <w:pStyle w:val="Normal-TableText"/>
            </w:pPr>
            <w:r w:rsidRPr="00271719">
              <w:sym w:font="Wingdings" w:char="F0FC"/>
            </w:r>
          </w:p>
        </w:tc>
        <w:tc>
          <w:tcPr>
            <w:tcW w:w="698" w:type="pct"/>
          </w:tcPr>
          <w:p w14:paraId="5CF61738" w14:textId="77777777" w:rsidR="00A70754" w:rsidRPr="00271719" w:rsidRDefault="00A70754" w:rsidP="001A34D1">
            <w:pPr>
              <w:pStyle w:val="Normal-TableText"/>
            </w:pPr>
            <w:r w:rsidRPr="00271719">
              <w:sym w:font="Wingdings" w:char="F0FC"/>
            </w:r>
          </w:p>
        </w:tc>
        <w:tc>
          <w:tcPr>
            <w:tcW w:w="794" w:type="pct"/>
          </w:tcPr>
          <w:p w14:paraId="67E5B1FB" w14:textId="77777777" w:rsidR="00A70754" w:rsidRPr="00271719" w:rsidRDefault="00A70754" w:rsidP="001A34D1">
            <w:pPr>
              <w:pStyle w:val="Normal-TableText"/>
            </w:pPr>
            <w:r w:rsidRPr="00271719">
              <w:sym w:font="Wingdings" w:char="F0FC"/>
            </w:r>
          </w:p>
          <w:p w14:paraId="71E9E6F0" w14:textId="77777777" w:rsidR="00A70754" w:rsidRPr="00271719" w:rsidRDefault="00A70754" w:rsidP="001A34D1">
            <w:pPr>
              <w:pStyle w:val="Normal-TableText"/>
            </w:pPr>
            <w:r w:rsidRPr="00271719">
              <w:t>Each authentication requires PIN entry</w:t>
            </w:r>
            <w:r>
              <w:t>.</w:t>
            </w:r>
          </w:p>
          <w:p w14:paraId="354D6F96" w14:textId="77777777" w:rsidR="00A70754" w:rsidRPr="00271719" w:rsidRDefault="00A70754" w:rsidP="001A34D1">
            <w:pPr>
              <w:pStyle w:val="Normal-TableText"/>
            </w:pPr>
            <w:r w:rsidRPr="00271719">
              <w:t>Clear text keys destroyed after use</w:t>
            </w:r>
            <w:r>
              <w:t>.</w:t>
            </w:r>
          </w:p>
          <w:p w14:paraId="76BEA4A1" w14:textId="77777777" w:rsidR="00A70754" w:rsidRPr="00271719" w:rsidRDefault="00A70754" w:rsidP="001A34D1">
            <w:pPr>
              <w:pStyle w:val="Normal-TableText"/>
            </w:pPr>
            <w:r w:rsidRPr="00271719">
              <w:t>Algorithm complies with xx standards</w:t>
            </w:r>
            <w:r>
              <w:t>.</w:t>
            </w:r>
          </w:p>
          <w:p w14:paraId="0ABEBE36" w14:textId="77777777" w:rsidR="00A70754" w:rsidRPr="00271719" w:rsidRDefault="00A70754" w:rsidP="001A34D1">
            <w:pPr>
              <w:pStyle w:val="Normal-TableText"/>
            </w:pPr>
            <w:r w:rsidRPr="00271719">
              <w:t>Credential issuer blocks subscriber account after successive invalid submissions</w:t>
            </w:r>
            <w:r>
              <w:t>.</w:t>
            </w:r>
          </w:p>
        </w:tc>
        <w:tc>
          <w:tcPr>
            <w:tcW w:w="687" w:type="pct"/>
          </w:tcPr>
          <w:p w14:paraId="5293CBB3" w14:textId="77777777" w:rsidR="00A70754" w:rsidRPr="00271719" w:rsidRDefault="00A70754" w:rsidP="001A34D1">
            <w:pPr>
              <w:pStyle w:val="Normal-TableText"/>
            </w:pPr>
            <w:r w:rsidRPr="00271719">
              <w:sym w:font="Wingdings" w:char="F0FB"/>
            </w:r>
          </w:p>
        </w:tc>
      </w:tr>
      <w:tr w:rsidR="00A70754" w:rsidRPr="00271719" w14:paraId="48706849" w14:textId="77777777" w:rsidTr="0031028A">
        <w:tc>
          <w:tcPr>
            <w:tcW w:w="574" w:type="pct"/>
          </w:tcPr>
          <w:p w14:paraId="425CA897" w14:textId="77777777" w:rsidR="00A70754" w:rsidRPr="00271719" w:rsidRDefault="00A70754" w:rsidP="001A34D1">
            <w:pPr>
              <w:pStyle w:val="Normal-TableText"/>
            </w:pPr>
            <w:r w:rsidRPr="00271719">
              <w:lastRenderedPageBreak/>
              <w:t>Software cryptographic credential</w:t>
            </w:r>
          </w:p>
          <w:p w14:paraId="77BC8277" w14:textId="77777777" w:rsidR="00A70754" w:rsidRPr="00271719" w:rsidRDefault="00A70754" w:rsidP="001A34D1">
            <w:pPr>
              <w:pStyle w:val="Normal-TableText"/>
            </w:pPr>
            <w:r w:rsidRPr="00271719">
              <w:t>Asymmetric keys</w:t>
            </w:r>
          </w:p>
        </w:tc>
        <w:tc>
          <w:tcPr>
            <w:tcW w:w="343" w:type="pct"/>
          </w:tcPr>
          <w:p w14:paraId="15E618BA" w14:textId="77777777" w:rsidR="00A70754" w:rsidRPr="00271719" w:rsidRDefault="00A70754" w:rsidP="001A34D1">
            <w:pPr>
              <w:pStyle w:val="Normal-TableText"/>
            </w:pPr>
            <w:r w:rsidRPr="00271719" w:rsidDel="00CB1A07">
              <w:t>K</w:t>
            </w:r>
            <w:r w:rsidRPr="00271719">
              <w:t>now</w:t>
            </w:r>
          </w:p>
          <w:p w14:paraId="374F5709" w14:textId="77777777" w:rsidR="00A70754" w:rsidRPr="00271719" w:rsidRDefault="00A70754" w:rsidP="001A34D1">
            <w:pPr>
              <w:pStyle w:val="Normal-TableText"/>
            </w:pPr>
            <w:r w:rsidRPr="00271719">
              <w:t>(Have)</w:t>
            </w:r>
          </w:p>
        </w:tc>
        <w:tc>
          <w:tcPr>
            <w:tcW w:w="585" w:type="pct"/>
          </w:tcPr>
          <w:p w14:paraId="79CAC856" w14:textId="77777777" w:rsidR="00A70754" w:rsidRPr="00271719" w:rsidRDefault="00A70754" w:rsidP="001A34D1">
            <w:pPr>
              <w:pStyle w:val="Normal-TableText"/>
            </w:pPr>
            <w:r w:rsidRPr="00271719">
              <w:t>Subscriber and transaction authentication</w:t>
            </w:r>
          </w:p>
          <w:p w14:paraId="737483CD" w14:textId="77777777" w:rsidR="00A70754" w:rsidRPr="00271719" w:rsidRDefault="00A70754" w:rsidP="001A34D1">
            <w:pPr>
              <w:pStyle w:val="Normal-TableText"/>
            </w:pPr>
            <w:r w:rsidRPr="00271719">
              <w:t>Non repudiation</w:t>
            </w:r>
          </w:p>
        </w:tc>
        <w:tc>
          <w:tcPr>
            <w:tcW w:w="733" w:type="pct"/>
          </w:tcPr>
          <w:p w14:paraId="57F1335A" w14:textId="77777777" w:rsidR="00A70754" w:rsidRPr="00271719" w:rsidRDefault="00A70754" w:rsidP="001A34D1">
            <w:pPr>
              <w:pStyle w:val="Normal-TableText"/>
            </w:pPr>
            <w:r w:rsidRPr="00271719">
              <w:t>Management of keys in software</w:t>
            </w:r>
          </w:p>
          <w:p w14:paraId="5B4BE27A" w14:textId="77777777" w:rsidR="00A70754" w:rsidRPr="00271719" w:rsidRDefault="00A70754" w:rsidP="001A34D1">
            <w:pPr>
              <w:pStyle w:val="Normal-TableText"/>
            </w:pPr>
            <w:r w:rsidRPr="00271719">
              <w:t>Key length and algorithms</w:t>
            </w:r>
          </w:p>
          <w:p w14:paraId="093C59E9" w14:textId="77777777" w:rsidR="00A70754" w:rsidRPr="00271719" w:rsidRDefault="00A70754" w:rsidP="001A34D1">
            <w:pPr>
              <w:pStyle w:val="Normal-TableText"/>
            </w:pPr>
            <w:r w:rsidRPr="00271719">
              <w:t>Credential passcode policy</w:t>
            </w:r>
          </w:p>
          <w:p w14:paraId="6B51EF39" w14:textId="77777777" w:rsidR="00A70754" w:rsidRPr="00271719" w:rsidRDefault="00A70754" w:rsidP="001A34D1">
            <w:pPr>
              <w:pStyle w:val="Normal-TableText"/>
            </w:pPr>
            <w:r w:rsidRPr="00271719">
              <w:t>Invalid-code strategies</w:t>
            </w:r>
          </w:p>
          <w:p w14:paraId="415344A9" w14:textId="77777777" w:rsidR="00A70754" w:rsidRPr="00271719" w:rsidRDefault="00A70754" w:rsidP="001A34D1">
            <w:pPr>
              <w:pStyle w:val="Normal-TableText"/>
            </w:pPr>
            <w:r w:rsidRPr="00271719">
              <w:t>Certificate rollover strategies</w:t>
            </w:r>
          </w:p>
        </w:tc>
        <w:tc>
          <w:tcPr>
            <w:tcW w:w="585" w:type="pct"/>
          </w:tcPr>
          <w:p w14:paraId="327DD10D" w14:textId="77777777" w:rsidR="00A70754" w:rsidRPr="00271719" w:rsidRDefault="00A70754" w:rsidP="001A34D1">
            <w:pPr>
              <w:pStyle w:val="Normal-TableText"/>
            </w:pPr>
            <w:r w:rsidRPr="00271719">
              <w:sym w:font="Wingdings" w:char="F0FC"/>
            </w:r>
          </w:p>
        </w:tc>
        <w:tc>
          <w:tcPr>
            <w:tcW w:w="698" w:type="pct"/>
          </w:tcPr>
          <w:p w14:paraId="1FC9A868" w14:textId="77777777" w:rsidR="00A70754" w:rsidRPr="00271719" w:rsidRDefault="00A70754" w:rsidP="001A34D1">
            <w:pPr>
              <w:pStyle w:val="Normal-TableText"/>
            </w:pPr>
            <w:r w:rsidRPr="00271719">
              <w:sym w:font="Wingdings" w:char="F0FC"/>
            </w:r>
          </w:p>
        </w:tc>
        <w:tc>
          <w:tcPr>
            <w:tcW w:w="794" w:type="pct"/>
          </w:tcPr>
          <w:p w14:paraId="164E589A" w14:textId="77777777" w:rsidR="00A70754" w:rsidRPr="00271719" w:rsidRDefault="00A70754" w:rsidP="001A34D1">
            <w:pPr>
              <w:pStyle w:val="Normal-TableText"/>
            </w:pPr>
            <w:r w:rsidRPr="00271719">
              <w:sym w:font="Wingdings" w:char="F0FC"/>
            </w:r>
          </w:p>
          <w:p w14:paraId="56A9D5F9" w14:textId="77777777" w:rsidR="00A70754" w:rsidRPr="00271719" w:rsidRDefault="00A70754" w:rsidP="001A34D1">
            <w:pPr>
              <w:pStyle w:val="Normal-TableText"/>
            </w:pPr>
            <w:r w:rsidRPr="00271719">
              <w:t>Cryptographic processor shall comply with xxx</w:t>
            </w:r>
            <w:r>
              <w:t>.</w:t>
            </w:r>
          </w:p>
          <w:p w14:paraId="4C829CFB" w14:textId="77777777" w:rsidR="00A70754" w:rsidRPr="00271719" w:rsidRDefault="00A70754" w:rsidP="001A34D1">
            <w:pPr>
              <w:pStyle w:val="Normal-TableText"/>
            </w:pPr>
            <w:r w:rsidRPr="00271719">
              <w:t>Each authentication requires PIN entry</w:t>
            </w:r>
            <w:r>
              <w:t>.</w:t>
            </w:r>
          </w:p>
          <w:p w14:paraId="49CD15C3" w14:textId="77777777" w:rsidR="00A70754" w:rsidRPr="00271719" w:rsidRDefault="00A70754" w:rsidP="001A34D1">
            <w:pPr>
              <w:pStyle w:val="Normal-TableText"/>
            </w:pPr>
            <w:r w:rsidRPr="00271719">
              <w:t>Clear text keys destroyed after use.</w:t>
            </w:r>
          </w:p>
          <w:p w14:paraId="5BC8A5BE" w14:textId="77777777" w:rsidR="00A70754" w:rsidRPr="00271719" w:rsidRDefault="00A70754" w:rsidP="001A34D1">
            <w:pPr>
              <w:pStyle w:val="Normal-TableText"/>
            </w:pPr>
            <w:r w:rsidRPr="00271719">
              <w:t>Algorithm complies with xx standards</w:t>
            </w:r>
            <w:r>
              <w:t>.</w:t>
            </w:r>
          </w:p>
          <w:p w14:paraId="3B8B43F0" w14:textId="77777777" w:rsidR="00A70754" w:rsidRPr="00271719" w:rsidRDefault="00A70754" w:rsidP="001A34D1">
            <w:pPr>
              <w:pStyle w:val="Normal-TableText"/>
            </w:pPr>
            <w:r w:rsidRPr="00271719">
              <w:t>Credential issuer blocks subscriber account after successive invalid submissions</w:t>
            </w:r>
            <w:r>
              <w:t>.</w:t>
            </w:r>
          </w:p>
        </w:tc>
        <w:tc>
          <w:tcPr>
            <w:tcW w:w="687" w:type="pct"/>
          </w:tcPr>
          <w:p w14:paraId="68BA26D3" w14:textId="77777777" w:rsidR="00A70754" w:rsidRPr="00271719" w:rsidRDefault="00A70754" w:rsidP="001A34D1">
            <w:pPr>
              <w:pStyle w:val="Normal-TableText"/>
            </w:pPr>
            <w:r w:rsidRPr="00271719">
              <w:sym w:font="Wingdings" w:char="F0FB"/>
            </w:r>
          </w:p>
        </w:tc>
      </w:tr>
      <w:tr w:rsidR="00A70754" w:rsidRPr="00271719" w14:paraId="3D3C7818" w14:textId="77777777" w:rsidTr="0031028A">
        <w:tc>
          <w:tcPr>
            <w:tcW w:w="574" w:type="pct"/>
          </w:tcPr>
          <w:p w14:paraId="1B5D871F" w14:textId="77777777" w:rsidR="00A70754" w:rsidRPr="00271719" w:rsidRDefault="00A70754" w:rsidP="001A34D1">
            <w:pPr>
              <w:pStyle w:val="Normal-TableText"/>
            </w:pPr>
            <w:r w:rsidRPr="00271719">
              <w:lastRenderedPageBreak/>
              <w:t>n</w:t>
            </w:r>
            <w:r w:rsidR="00BE178F">
              <w:t>e</w:t>
            </w:r>
            <w:r w:rsidR="00BE178F">
              <w:noBreakHyphen/>
            </w:r>
            <w:r w:rsidRPr="00271719">
              <w:t>time password (OTP) device</w:t>
            </w:r>
          </w:p>
        </w:tc>
        <w:tc>
          <w:tcPr>
            <w:tcW w:w="343" w:type="pct"/>
          </w:tcPr>
          <w:p w14:paraId="6E15787D" w14:textId="77777777" w:rsidR="00A70754" w:rsidRPr="00271719" w:rsidRDefault="00A70754" w:rsidP="001A34D1">
            <w:pPr>
              <w:pStyle w:val="Normal-TableText"/>
            </w:pPr>
            <w:r w:rsidRPr="00271719" w:rsidDel="00CB1A07">
              <w:t>K</w:t>
            </w:r>
            <w:r w:rsidRPr="00271719">
              <w:t>now</w:t>
            </w:r>
          </w:p>
          <w:p w14:paraId="48BC5782" w14:textId="77777777" w:rsidR="00A70754" w:rsidRPr="00271719" w:rsidDel="00CB1A07" w:rsidRDefault="00A70754" w:rsidP="001A34D1">
            <w:pPr>
              <w:pStyle w:val="Normal-TableText"/>
            </w:pPr>
            <w:r w:rsidRPr="00271719" w:rsidDel="00CB1A07">
              <w:t>H</w:t>
            </w:r>
            <w:r w:rsidRPr="00271719">
              <w:t>ave</w:t>
            </w:r>
          </w:p>
        </w:tc>
        <w:tc>
          <w:tcPr>
            <w:tcW w:w="585" w:type="pct"/>
          </w:tcPr>
          <w:p w14:paraId="7C75F90E" w14:textId="77777777" w:rsidR="00A70754" w:rsidRPr="00271719" w:rsidRDefault="00A70754" w:rsidP="001A34D1">
            <w:pPr>
              <w:pStyle w:val="Normal-TableText"/>
            </w:pPr>
            <w:r w:rsidRPr="00271719">
              <w:t>Subscriber authentication</w:t>
            </w:r>
          </w:p>
        </w:tc>
        <w:tc>
          <w:tcPr>
            <w:tcW w:w="733" w:type="pct"/>
          </w:tcPr>
          <w:p w14:paraId="54E07E54" w14:textId="77777777" w:rsidR="00A70754" w:rsidRPr="00271719" w:rsidRDefault="00A70754" w:rsidP="001A34D1">
            <w:pPr>
              <w:pStyle w:val="Normal-TableText"/>
            </w:pPr>
            <w:r w:rsidRPr="00271719">
              <w:t>Algorithm used and data used in OTP generation – tim</w:t>
            </w:r>
            <w:r w:rsidR="00BE178F">
              <w:t>e</w:t>
            </w:r>
            <w:r w:rsidR="00BE178F">
              <w:noBreakHyphen/>
            </w:r>
            <w:r w:rsidRPr="00271719">
              <w:t xml:space="preserve"> or event-based</w:t>
            </w:r>
          </w:p>
          <w:p w14:paraId="435B3A40" w14:textId="77777777" w:rsidR="00A70754" w:rsidRPr="00271719" w:rsidRDefault="00A70754" w:rsidP="001A34D1">
            <w:pPr>
              <w:pStyle w:val="Normal-TableText"/>
            </w:pPr>
            <w:r w:rsidRPr="00271719">
              <w:t>Length of time OTP is valid</w:t>
            </w:r>
          </w:p>
          <w:p w14:paraId="1DD68C02" w14:textId="77777777" w:rsidR="00A70754" w:rsidRPr="00271719" w:rsidRDefault="00A70754" w:rsidP="001A34D1">
            <w:pPr>
              <w:pStyle w:val="Normal-TableText"/>
            </w:pPr>
            <w:r w:rsidRPr="00271719">
              <w:t>Key length</w:t>
            </w:r>
          </w:p>
          <w:p w14:paraId="4AC5EBA3" w14:textId="77777777" w:rsidR="00A70754" w:rsidRPr="00271719" w:rsidRDefault="00A70754" w:rsidP="001A34D1">
            <w:pPr>
              <w:pStyle w:val="Normal-TableText"/>
            </w:pPr>
            <w:r w:rsidRPr="00271719">
              <w:t>Tamper-resistance of device</w:t>
            </w:r>
          </w:p>
          <w:p w14:paraId="25EDADEC" w14:textId="77777777" w:rsidR="00A70754" w:rsidRPr="00271719" w:rsidRDefault="00A70754" w:rsidP="001A34D1">
            <w:pPr>
              <w:pStyle w:val="Normal-TableText"/>
            </w:pPr>
            <w:r w:rsidRPr="00271719">
              <w:t>PIN activation required</w:t>
            </w:r>
          </w:p>
          <w:p w14:paraId="2A360B2E" w14:textId="77777777" w:rsidR="00A70754" w:rsidRPr="00271719" w:rsidRDefault="00A70754" w:rsidP="001A34D1">
            <w:pPr>
              <w:pStyle w:val="Normal-TableText"/>
            </w:pPr>
            <w:r w:rsidRPr="00271719">
              <w:t>Invalid-code strategies</w:t>
            </w:r>
          </w:p>
        </w:tc>
        <w:tc>
          <w:tcPr>
            <w:tcW w:w="585" w:type="pct"/>
          </w:tcPr>
          <w:p w14:paraId="7657B262" w14:textId="77777777" w:rsidR="00A70754" w:rsidRPr="00271719" w:rsidRDefault="00A70754" w:rsidP="001A34D1">
            <w:pPr>
              <w:pStyle w:val="Normal-TableText"/>
            </w:pPr>
            <w:r w:rsidRPr="00271719">
              <w:sym w:font="Wingdings" w:char="F0FC"/>
            </w:r>
          </w:p>
        </w:tc>
        <w:tc>
          <w:tcPr>
            <w:tcW w:w="698" w:type="pct"/>
          </w:tcPr>
          <w:p w14:paraId="1D634F2B" w14:textId="77777777" w:rsidR="00A70754" w:rsidRDefault="00A70754" w:rsidP="001A34D1">
            <w:pPr>
              <w:pStyle w:val="Normal-TableText"/>
            </w:pPr>
            <w:r w:rsidRPr="00271719">
              <w:sym w:font="Wingdings" w:char="F0FC"/>
            </w:r>
          </w:p>
          <w:p w14:paraId="05E0D7F3" w14:textId="77777777" w:rsidR="00A70754" w:rsidRPr="00271719" w:rsidRDefault="00A70754" w:rsidP="001A34D1">
            <w:pPr>
              <w:pStyle w:val="Normal-TableText"/>
            </w:pPr>
            <w:r w:rsidRPr="00271719">
              <w:t>Cryptographic processor shall comply with zzz</w:t>
            </w:r>
          </w:p>
          <w:p w14:paraId="1DC94904" w14:textId="77777777" w:rsidR="00A70754" w:rsidRPr="00271719" w:rsidRDefault="00A70754" w:rsidP="001A34D1">
            <w:pPr>
              <w:pStyle w:val="Normal-TableText"/>
            </w:pPr>
            <w:r w:rsidRPr="00271719">
              <w:t>Tim</w:t>
            </w:r>
            <w:r w:rsidR="00BE178F">
              <w:t>e</w:t>
            </w:r>
            <w:r w:rsidR="00BE178F">
              <w:noBreakHyphen/>
            </w:r>
            <w:r w:rsidRPr="00271719">
              <w:t xml:space="preserve"> or event-based algorithm</w:t>
            </w:r>
          </w:p>
          <w:p w14:paraId="4E02D9B9" w14:textId="77777777" w:rsidR="00A70754" w:rsidRPr="00271719" w:rsidRDefault="00A70754" w:rsidP="001A34D1">
            <w:pPr>
              <w:pStyle w:val="Normal-TableText"/>
            </w:pPr>
            <w:r w:rsidRPr="00271719">
              <w:t>No PIN required</w:t>
            </w:r>
          </w:p>
          <w:p w14:paraId="5E675BAE" w14:textId="77777777" w:rsidR="00A70754" w:rsidRPr="00B50115" w:rsidRDefault="00A70754" w:rsidP="001A34D1">
            <w:pPr>
              <w:pStyle w:val="Normal-TableText"/>
            </w:pPr>
            <w:r w:rsidRPr="00271719">
              <w:t>Credential issuer blocks subscriber account after successive invalid submissions.</w:t>
            </w:r>
          </w:p>
        </w:tc>
        <w:tc>
          <w:tcPr>
            <w:tcW w:w="794" w:type="pct"/>
          </w:tcPr>
          <w:p w14:paraId="3E351B5F" w14:textId="77777777" w:rsidR="00A70754" w:rsidRDefault="00A70754" w:rsidP="001A34D1">
            <w:pPr>
              <w:pStyle w:val="Normal-TableText"/>
            </w:pPr>
            <w:r w:rsidRPr="00271719">
              <w:sym w:font="Wingdings" w:char="F0FC"/>
            </w:r>
          </w:p>
          <w:p w14:paraId="1667DA57" w14:textId="77777777" w:rsidR="00A70754" w:rsidRPr="00271719" w:rsidRDefault="00A70754" w:rsidP="001A34D1">
            <w:pPr>
              <w:pStyle w:val="Normal-TableText"/>
            </w:pPr>
            <w:r w:rsidRPr="00271719">
              <w:t>Cryptographic processor shall comply with xxx</w:t>
            </w:r>
            <w:r>
              <w:t>.</w:t>
            </w:r>
          </w:p>
          <w:p w14:paraId="292FF261" w14:textId="77777777" w:rsidR="00A70754" w:rsidRPr="00271719" w:rsidRDefault="00A70754" w:rsidP="001A34D1">
            <w:pPr>
              <w:pStyle w:val="Normal-TableText"/>
            </w:pPr>
            <w:r w:rsidRPr="00271719">
              <w:t>Tim</w:t>
            </w:r>
            <w:r w:rsidR="00BE178F">
              <w:t>e</w:t>
            </w:r>
            <w:r w:rsidR="00BE178F">
              <w:noBreakHyphen/>
            </w:r>
            <w:r w:rsidRPr="00271719">
              <w:t>based algorithm with OTP valid for less than two minutes only</w:t>
            </w:r>
            <w:r>
              <w:t>.</w:t>
            </w:r>
          </w:p>
          <w:p w14:paraId="2F72449D" w14:textId="77777777" w:rsidR="00A70754" w:rsidRDefault="00A70754" w:rsidP="001A34D1">
            <w:pPr>
              <w:pStyle w:val="Normal-TableText"/>
            </w:pPr>
            <w:r w:rsidRPr="00271719">
              <w:t>PIN activation of device through integrated keypad</w:t>
            </w:r>
            <w:r>
              <w:t>.</w:t>
            </w:r>
          </w:p>
          <w:p w14:paraId="4DBEF88D" w14:textId="77777777" w:rsidR="00A70754" w:rsidRDefault="00A70754" w:rsidP="001A34D1">
            <w:pPr>
              <w:pStyle w:val="Normal-TableText"/>
            </w:pPr>
            <w:r w:rsidRPr="00271719">
              <w:t>Device locks after multiple invalid PIN entries</w:t>
            </w:r>
          </w:p>
          <w:p w14:paraId="325217EF" w14:textId="77777777" w:rsidR="00A70754" w:rsidRPr="00271719" w:rsidRDefault="00A70754" w:rsidP="001A34D1">
            <w:pPr>
              <w:pStyle w:val="Normal-TableText"/>
            </w:pPr>
            <w:r w:rsidRPr="00271719">
              <w:t>Credential issuer blocks subscriber account after successive invalid submissions</w:t>
            </w:r>
            <w:r>
              <w:t>.</w:t>
            </w:r>
          </w:p>
          <w:p w14:paraId="126CF615" w14:textId="77777777" w:rsidR="00A70754" w:rsidRPr="00271719" w:rsidRDefault="00A70754" w:rsidP="001A34D1">
            <w:pPr>
              <w:pStyle w:val="Normal-TableText"/>
            </w:pPr>
            <w:r w:rsidRPr="00271719">
              <w:t>Credential issuer completes symmetric key cryptographic functions in hardware security module (HSM) with keys not exposed outside of HSM</w:t>
            </w:r>
            <w:r>
              <w:t>.</w:t>
            </w:r>
          </w:p>
        </w:tc>
        <w:tc>
          <w:tcPr>
            <w:tcW w:w="687" w:type="pct"/>
          </w:tcPr>
          <w:p w14:paraId="79293754" w14:textId="77777777" w:rsidR="00A70754" w:rsidRPr="00271719" w:rsidRDefault="00A70754" w:rsidP="0031028A">
            <w:pPr>
              <w:pStyle w:val="Normal-TableText"/>
              <w:rPr>
                <w:sz w:val="18"/>
                <w:szCs w:val="18"/>
              </w:rPr>
            </w:pPr>
          </w:p>
        </w:tc>
      </w:tr>
      <w:tr w:rsidR="00A70754" w:rsidRPr="00271719" w14:paraId="6A819C50" w14:textId="77777777" w:rsidTr="0031028A">
        <w:tc>
          <w:tcPr>
            <w:tcW w:w="574" w:type="pct"/>
          </w:tcPr>
          <w:p w14:paraId="53D7FDD2" w14:textId="77777777" w:rsidR="00A70754" w:rsidRPr="00271719" w:rsidRDefault="00A70754" w:rsidP="001A34D1">
            <w:pPr>
              <w:pStyle w:val="Normal-TableText"/>
            </w:pPr>
            <w:r w:rsidRPr="00271719">
              <w:lastRenderedPageBreak/>
              <w:t>Hardware cryptographic device</w:t>
            </w:r>
          </w:p>
          <w:p w14:paraId="2031379C" w14:textId="77777777" w:rsidR="00A70754" w:rsidRPr="00271719" w:rsidRDefault="00A70754" w:rsidP="001A34D1">
            <w:pPr>
              <w:pStyle w:val="Normal-TableText"/>
            </w:pPr>
            <w:r w:rsidRPr="00271719">
              <w:t>Symmetric Key</w:t>
            </w:r>
          </w:p>
        </w:tc>
        <w:tc>
          <w:tcPr>
            <w:tcW w:w="343" w:type="pct"/>
          </w:tcPr>
          <w:p w14:paraId="1B2F18BE" w14:textId="77777777" w:rsidR="00A70754" w:rsidRPr="00271719" w:rsidRDefault="00A70754" w:rsidP="001A34D1">
            <w:pPr>
              <w:pStyle w:val="Normal-TableText"/>
            </w:pPr>
            <w:r w:rsidRPr="00271719" w:rsidDel="00CB1A07">
              <w:t>K</w:t>
            </w:r>
            <w:r w:rsidRPr="00271719">
              <w:t>now</w:t>
            </w:r>
          </w:p>
          <w:p w14:paraId="78D4E5EB" w14:textId="77777777" w:rsidR="00A70754" w:rsidRPr="00271719" w:rsidRDefault="00A70754" w:rsidP="001A34D1">
            <w:pPr>
              <w:pStyle w:val="Normal-TableText"/>
            </w:pPr>
            <w:r w:rsidRPr="00271719" w:rsidDel="00CB1A07">
              <w:t>H</w:t>
            </w:r>
            <w:r w:rsidRPr="00271719">
              <w:t>ave</w:t>
            </w:r>
          </w:p>
          <w:p w14:paraId="1A8571B8" w14:textId="77777777" w:rsidR="00A70754" w:rsidRPr="00271719" w:rsidDel="00CB1A07" w:rsidRDefault="00A70754" w:rsidP="001A34D1">
            <w:pPr>
              <w:pStyle w:val="Normal-TableText"/>
            </w:pPr>
            <w:r w:rsidRPr="00271719" w:rsidDel="00CB1A07">
              <w:t>A</w:t>
            </w:r>
            <w:r w:rsidRPr="00271719">
              <w:t>re</w:t>
            </w:r>
          </w:p>
        </w:tc>
        <w:tc>
          <w:tcPr>
            <w:tcW w:w="585" w:type="pct"/>
          </w:tcPr>
          <w:p w14:paraId="0C685160" w14:textId="77777777" w:rsidR="00A70754" w:rsidRPr="00271719" w:rsidRDefault="00A70754" w:rsidP="001A34D1">
            <w:pPr>
              <w:pStyle w:val="Normal-TableText"/>
            </w:pPr>
            <w:r w:rsidRPr="00271719">
              <w:t>Subscriber and transaction authentication</w:t>
            </w:r>
          </w:p>
          <w:p w14:paraId="190685D3" w14:textId="77777777" w:rsidR="00A70754" w:rsidRPr="00271719" w:rsidRDefault="00A70754" w:rsidP="0031028A">
            <w:pPr>
              <w:pStyle w:val="Normal-TableText"/>
              <w:rPr>
                <w:sz w:val="18"/>
                <w:szCs w:val="18"/>
              </w:rPr>
            </w:pPr>
          </w:p>
        </w:tc>
        <w:tc>
          <w:tcPr>
            <w:tcW w:w="733" w:type="pct"/>
          </w:tcPr>
          <w:p w14:paraId="2A48C11A" w14:textId="77777777" w:rsidR="00A70754" w:rsidRDefault="00A70754" w:rsidP="001A34D1">
            <w:pPr>
              <w:pStyle w:val="Normal-TableText"/>
            </w:pPr>
            <w:r w:rsidRPr="00271719">
              <w:t>Algorithm</w:t>
            </w:r>
          </w:p>
          <w:p w14:paraId="4424C6EE" w14:textId="77777777" w:rsidR="00A70754" w:rsidRPr="00271719" w:rsidRDefault="00A70754" w:rsidP="001A34D1">
            <w:pPr>
              <w:pStyle w:val="Normal-TableText"/>
            </w:pPr>
            <w:r w:rsidRPr="00271719">
              <w:t>Key length</w:t>
            </w:r>
          </w:p>
          <w:p w14:paraId="51F0730C" w14:textId="77777777" w:rsidR="00A70754" w:rsidRPr="00271719" w:rsidRDefault="00A70754" w:rsidP="001A34D1">
            <w:pPr>
              <w:pStyle w:val="Normal-TableText"/>
            </w:pPr>
            <w:r w:rsidRPr="00271719">
              <w:t>Tamper-resistance of device</w:t>
            </w:r>
          </w:p>
          <w:p w14:paraId="107A845B" w14:textId="77777777" w:rsidR="00A70754" w:rsidRPr="00271719" w:rsidRDefault="00A70754" w:rsidP="001A34D1">
            <w:pPr>
              <w:pStyle w:val="Normal-TableText"/>
            </w:pPr>
            <w:r w:rsidRPr="00271719">
              <w:t>PIN activation required</w:t>
            </w:r>
          </w:p>
          <w:p w14:paraId="4734473D" w14:textId="77777777" w:rsidR="00A70754" w:rsidRPr="00271719" w:rsidRDefault="00A70754" w:rsidP="001A34D1">
            <w:pPr>
              <w:pStyle w:val="Normal-TableText"/>
            </w:pPr>
            <w:r w:rsidRPr="00271719">
              <w:t>Invalid-code strategies</w:t>
            </w:r>
          </w:p>
        </w:tc>
        <w:tc>
          <w:tcPr>
            <w:tcW w:w="585" w:type="pct"/>
          </w:tcPr>
          <w:p w14:paraId="3B9DC122" w14:textId="77777777" w:rsidR="00A70754" w:rsidRDefault="00A70754" w:rsidP="001A34D1">
            <w:pPr>
              <w:pStyle w:val="Normal-TableText"/>
            </w:pPr>
            <w:r w:rsidRPr="00271719">
              <w:sym w:font="Wingdings" w:char="F0FC"/>
            </w:r>
          </w:p>
          <w:p w14:paraId="2E070441" w14:textId="77777777" w:rsidR="00A70754" w:rsidRPr="00271719" w:rsidRDefault="00A70754" w:rsidP="0031028A">
            <w:pPr>
              <w:pStyle w:val="Normal-TableText"/>
              <w:rPr>
                <w:sz w:val="18"/>
                <w:szCs w:val="18"/>
              </w:rPr>
            </w:pPr>
          </w:p>
        </w:tc>
        <w:tc>
          <w:tcPr>
            <w:tcW w:w="698" w:type="pct"/>
          </w:tcPr>
          <w:p w14:paraId="5E3AEF5A" w14:textId="77777777" w:rsidR="00A70754" w:rsidRDefault="00A70754" w:rsidP="001A34D1">
            <w:pPr>
              <w:pStyle w:val="Normal-TableText"/>
            </w:pPr>
            <w:r w:rsidRPr="00271719">
              <w:sym w:font="Wingdings" w:char="F0FC"/>
            </w:r>
          </w:p>
          <w:p w14:paraId="15FD4350" w14:textId="77777777" w:rsidR="00A70754" w:rsidRPr="00271719" w:rsidRDefault="00A70754" w:rsidP="001A34D1">
            <w:pPr>
              <w:pStyle w:val="Normal-TableText"/>
            </w:pPr>
            <w:r w:rsidRPr="00271719">
              <w:t>Device cryptographic processor shall comply with xxx</w:t>
            </w:r>
          </w:p>
          <w:p w14:paraId="300C11F4" w14:textId="77777777" w:rsidR="00A70754" w:rsidRPr="00271719" w:rsidRDefault="00A70754" w:rsidP="001A34D1">
            <w:pPr>
              <w:pStyle w:val="Normal-TableText"/>
            </w:pPr>
            <w:r w:rsidRPr="00271719">
              <w:t>Variable data input through device key pad</w:t>
            </w:r>
          </w:p>
          <w:p w14:paraId="5A1998D4" w14:textId="77777777" w:rsidR="00A70754" w:rsidRPr="00271719" w:rsidRDefault="00A70754" w:rsidP="001A34D1">
            <w:pPr>
              <w:pStyle w:val="Normal-TableText"/>
            </w:pPr>
            <w:r w:rsidRPr="00271719">
              <w:t>PIN or biometric activation of device through integrated keypad</w:t>
            </w:r>
          </w:p>
          <w:p w14:paraId="2308D908" w14:textId="77777777" w:rsidR="00A70754" w:rsidRDefault="00A70754" w:rsidP="001A34D1">
            <w:pPr>
              <w:pStyle w:val="Normal-TableText"/>
            </w:pPr>
            <w:r w:rsidRPr="00271719">
              <w:t>Device locks after multiple invalid PIN /biometric entries</w:t>
            </w:r>
          </w:p>
          <w:p w14:paraId="257ABD7B" w14:textId="77777777" w:rsidR="00A70754" w:rsidRPr="00271719" w:rsidRDefault="00A70754" w:rsidP="001A34D1">
            <w:pPr>
              <w:pStyle w:val="Normal-TableText"/>
            </w:pPr>
            <w:r w:rsidRPr="00271719">
              <w:t>Credential issuer blocks subscriber account after successive invalid submissions</w:t>
            </w:r>
          </w:p>
          <w:p w14:paraId="70C3ECA6" w14:textId="77777777" w:rsidR="00A70754" w:rsidRPr="00271719" w:rsidRDefault="00A70754" w:rsidP="0031028A">
            <w:pPr>
              <w:pStyle w:val="Normal-TableText"/>
              <w:rPr>
                <w:sz w:val="18"/>
                <w:szCs w:val="18"/>
              </w:rPr>
            </w:pPr>
          </w:p>
        </w:tc>
        <w:tc>
          <w:tcPr>
            <w:tcW w:w="794" w:type="pct"/>
          </w:tcPr>
          <w:p w14:paraId="275A9BC2" w14:textId="77777777" w:rsidR="00A70754" w:rsidRDefault="00A70754" w:rsidP="001A34D1">
            <w:pPr>
              <w:pStyle w:val="Normal-TableText"/>
            </w:pPr>
            <w:r w:rsidRPr="00271719">
              <w:sym w:font="Wingdings" w:char="F0FC"/>
            </w:r>
          </w:p>
          <w:p w14:paraId="5A163A44" w14:textId="77777777" w:rsidR="00A70754" w:rsidRPr="00271719" w:rsidRDefault="00A70754" w:rsidP="001A34D1">
            <w:pPr>
              <w:pStyle w:val="Normal-TableText"/>
            </w:pPr>
            <w:r w:rsidRPr="00271719">
              <w:t>Device cryptographic processor shall comply with xxx</w:t>
            </w:r>
            <w:r>
              <w:t>.</w:t>
            </w:r>
          </w:p>
          <w:p w14:paraId="21C625E9" w14:textId="77777777" w:rsidR="00A70754" w:rsidRPr="00271719" w:rsidRDefault="00A70754" w:rsidP="001A34D1">
            <w:pPr>
              <w:pStyle w:val="Normal-TableText"/>
            </w:pPr>
            <w:r w:rsidRPr="00271719">
              <w:t>Variable data input through device key pad</w:t>
            </w:r>
            <w:r>
              <w:t>.</w:t>
            </w:r>
          </w:p>
          <w:p w14:paraId="49A92200" w14:textId="77777777" w:rsidR="00A70754" w:rsidRPr="00271719" w:rsidRDefault="00A70754" w:rsidP="001A34D1">
            <w:pPr>
              <w:pStyle w:val="Normal-TableText"/>
            </w:pPr>
            <w:r w:rsidRPr="00271719">
              <w:t>PIN or biometric activation of device through integrated keypad</w:t>
            </w:r>
            <w:r>
              <w:t>.</w:t>
            </w:r>
          </w:p>
          <w:p w14:paraId="788A4957" w14:textId="77777777" w:rsidR="00A70754" w:rsidRDefault="00A70754" w:rsidP="001A34D1">
            <w:pPr>
              <w:pStyle w:val="Normal-TableText"/>
            </w:pPr>
            <w:r w:rsidRPr="00271719">
              <w:t>Device locks after multiple invalid PIN /biometric entries</w:t>
            </w:r>
            <w:r>
              <w:t>.</w:t>
            </w:r>
          </w:p>
          <w:p w14:paraId="6C2C8BA9" w14:textId="77777777" w:rsidR="00A70754" w:rsidRPr="00271719" w:rsidRDefault="00A70754" w:rsidP="001A34D1">
            <w:pPr>
              <w:pStyle w:val="Normal-TableText"/>
            </w:pPr>
            <w:r w:rsidRPr="00271719">
              <w:t>Credential issuer blocks subscriber account after successive invalid submissions</w:t>
            </w:r>
            <w:r>
              <w:t>.</w:t>
            </w:r>
          </w:p>
          <w:p w14:paraId="03F6B262" w14:textId="77777777" w:rsidR="00A70754" w:rsidRPr="00271719" w:rsidRDefault="00A70754" w:rsidP="001A34D1">
            <w:pPr>
              <w:pStyle w:val="Normal-TableText"/>
            </w:pPr>
            <w:r w:rsidRPr="00271719">
              <w:t>Credential issuer completes symmetric key cryptographic functions in HSM with keys not exposed outside of HSM.</w:t>
            </w:r>
          </w:p>
          <w:p w14:paraId="2A2600F1" w14:textId="77777777" w:rsidR="00A70754" w:rsidRPr="00271719" w:rsidRDefault="00A70754" w:rsidP="001A34D1">
            <w:pPr>
              <w:pStyle w:val="Normal-TableText"/>
            </w:pPr>
            <w:r w:rsidRPr="00271719">
              <w:t>The HSM should comply with nnn</w:t>
            </w:r>
            <w:r>
              <w:t>.</w:t>
            </w:r>
          </w:p>
        </w:tc>
        <w:tc>
          <w:tcPr>
            <w:tcW w:w="687" w:type="pct"/>
          </w:tcPr>
          <w:p w14:paraId="0EFEDEE4" w14:textId="77777777" w:rsidR="00A70754" w:rsidRDefault="00A70754" w:rsidP="001A34D1">
            <w:pPr>
              <w:pStyle w:val="Normal-TableText"/>
            </w:pPr>
            <w:r w:rsidRPr="00271719">
              <w:sym w:font="Wingdings" w:char="F0FC"/>
            </w:r>
          </w:p>
          <w:p w14:paraId="62B9934A" w14:textId="77777777" w:rsidR="00A70754" w:rsidRPr="00271719" w:rsidRDefault="00A70754" w:rsidP="001A34D1">
            <w:pPr>
              <w:pStyle w:val="Normal-TableText"/>
            </w:pPr>
            <w:r w:rsidRPr="00271719">
              <w:t>Device cryptographic processor shall comply with xxx</w:t>
            </w:r>
            <w:r>
              <w:t>.</w:t>
            </w:r>
          </w:p>
          <w:p w14:paraId="04545C26" w14:textId="77777777" w:rsidR="00A70754" w:rsidRPr="00271719" w:rsidRDefault="00A70754" w:rsidP="001A34D1">
            <w:pPr>
              <w:pStyle w:val="Normal-TableText"/>
            </w:pPr>
            <w:r w:rsidRPr="00271719">
              <w:t>Variable data input through device key pad</w:t>
            </w:r>
            <w:r>
              <w:t>.</w:t>
            </w:r>
          </w:p>
          <w:p w14:paraId="335FBE40" w14:textId="77777777" w:rsidR="00A70754" w:rsidRPr="00271719" w:rsidRDefault="00A70754" w:rsidP="001A34D1">
            <w:pPr>
              <w:pStyle w:val="Normal-TableText"/>
            </w:pPr>
            <w:r w:rsidRPr="00271719">
              <w:t>PIN or biometric activation of device through integrated keypad</w:t>
            </w:r>
            <w:r>
              <w:t>.</w:t>
            </w:r>
          </w:p>
          <w:p w14:paraId="7B1269AC" w14:textId="77777777" w:rsidR="00A70754" w:rsidRDefault="00A70754" w:rsidP="001A34D1">
            <w:pPr>
              <w:pStyle w:val="Normal-TableText"/>
            </w:pPr>
            <w:r w:rsidRPr="00271719">
              <w:t>Device locks after multiple invalid PIN /biometric entries</w:t>
            </w:r>
            <w:r>
              <w:t>.</w:t>
            </w:r>
          </w:p>
          <w:p w14:paraId="0C6CF62E" w14:textId="77777777" w:rsidR="00A70754" w:rsidRPr="00271719" w:rsidRDefault="00A70754" w:rsidP="001A34D1">
            <w:pPr>
              <w:pStyle w:val="Normal-TableText"/>
            </w:pPr>
            <w:r w:rsidRPr="00271719">
              <w:t>Credential issuer blocks subscriber account after successive invalid submissions</w:t>
            </w:r>
            <w:r>
              <w:t>.</w:t>
            </w:r>
          </w:p>
          <w:p w14:paraId="4B2CFE94" w14:textId="77777777" w:rsidR="00A70754" w:rsidRPr="00271719" w:rsidRDefault="00A70754" w:rsidP="001A34D1">
            <w:pPr>
              <w:pStyle w:val="Normal-TableText"/>
            </w:pPr>
            <w:r w:rsidRPr="00271719">
              <w:t>Credential issuer completes symmetric key cryptographic functions in HSM with keys not exposed outside of HSM.</w:t>
            </w:r>
          </w:p>
          <w:p w14:paraId="182F52A1" w14:textId="77777777" w:rsidR="00A70754" w:rsidRPr="00271719" w:rsidRDefault="00A70754" w:rsidP="001A34D1">
            <w:pPr>
              <w:pStyle w:val="Normal-TableText"/>
            </w:pPr>
            <w:r w:rsidRPr="00271719">
              <w:t>The HSM should</w:t>
            </w:r>
            <w:r>
              <w:t xml:space="preserve"> comply with nnn.</w:t>
            </w:r>
          </w:p>
        </w:tc>
      </w:tr>
      <w:tr w:rsidR="00A70754" w:rsidRPr="00271719" w14:paraId="75239318" w14:textId="77777777" w:rsidTr="0031028A">
        <w:tc>
          <w:tcPr>
            <w:tcW w:w="574" w:type="pct"/>
          </w:tcPr>
          <w:p w14:paraId="0956A140" w14:textId="77777777" w:rsidR="00A70754" w:rsidRPr="00271719" w:rsidRDefault="00A70754" w:rsidP="001A34D1">
            <w:pPr>
              <w:pStyle w:val="Normal-TableText"/>
            </w:pPr>
            <w:r w:rsidRPr="00271719">
              <w:lastRenderedPageBreak/>
              <w:t>Hardware cryptographic device</w:t>
            </w:r>
          </w:p>
          <w:p w14:paraId="5B74D536" w14:textId="77777777" w:rsidR="00A70754" w:rsidRPr="00271719" w:rsidRDefault="00A70754" w:rsidP="001A34D1">
            <w:pPr>
              <w:pStyle w:val="Normal-TableText"/>
            </w:pPr>
            <w:r w:rsidRPr="00271719">
              <w:t>Asymmetric key</w:t>
            </w:r>
          </w:p>
        </w:tc>
        <w:tc>
          <w:tcPr>
            <w:tcW w:w="343" w:type="pct"/>
          </w:tcPr>
          <w:p w14:paraId="2C2464F7" w14:textId="77777777" w:rsidR="00A70754" w:rsidRPr="00271719" w:rsidRDefault="00A70754" w:rsidP="001A34D1">
            <w:pPr>
              <w:pStyle w:val="Normal-TableText"/>
            </w:pPr>
            <w:r w:rsidRPr="00271719" w:rsidDel="00CB1A07">
              <w:t>K</w:t>
            </w:r>
            <w:r w:rsidRPr="00271719">
              <w:t>now</w:t>
            </w:r>
          </w:p>
          <w:p w14:paraId="0B42243C" w14:textId="77777777" w:rsidR="00A70754" w:rsidRPr="00271719" w:rsidRDefault="00A70754" w:rsidP="001A34D1">
            <w:pPr>
              <w:pStyle w:val="Normal-TableText"/>
            </w:pPr>
            <w:r w:rsidRPr="00271719" w:rsidDel="00CB1A07">
              <w:t>H</w:t>
            </w:r>
            <w:r w:rsidRPr="00271719">
              <w:t>ave</w:t>
            </w:r>
          </w:p>
          <w:p w14:paraId="0374D6BC" w14:textId="77777777" w:rsidR="00A70754" w:rsidRPr="00271719" w:rsidDel="00CB1A07" w:rsidRDefault="00A70754" w:rsidP="001A34D1">
            <w:pPr>
              <w:pStyle w:val="Normal-TableText"/>
            </w:pPr>
            <w:r w:rsidRPr="00271719" w:rsidDel="00CB1A07">
              <w:t>A</w:t>
            </w:r>
            <w:r w:rsidRPr="00271719">
              <w:t>re</w:t>
            </w:r>
          </w:p>
        </w:tc>
        <w:tc>
          <w:tcPr>
            <w:tcW w:w="585" w:type="pct"/>
          </w:tcPr>
          <w:p w14:paraId="345EA1F8" w14:textId="77777777" w:rsidR="00A70754" w:rsidRPr="00271719" w:rsidRDefault="00A70754" w:rsidP="001A34D1">
            <w:pPr>
              <w:pStyle w:val="Normal-TableText"/>
            </w:pPr>
            <w:r w:rsidRPr="00271719">
              <w:t>Subscriber and transaction authentication</w:t>
            </w:r>
          </w:p>
          <w:p w14:paraId="2D787F5C" w14:textId="77777777" w:rsidR="00A70754" w:rsidRPr="00271719" w:rsidRDefault="00A70754" w:rsidP="001A34D1">
            <w:pPr>
              <w:pStyle w:val="Normal-TableText"/>
            </w:pPr>
            <w:r w:rsidRPr="00271719">
              <w:t>Non-repudiation</w:t>
            </w:r>
          </w:p>
        </w:tc>
        <w:tc>
          <w:tcPr>
            <w:tcW w:w="733" w:type="pct"/>
          </w:tcPr>
          <w:p w14:paraId="02BAC537" w14:textId="77777777" w:rsidR="00A70754" w:rsidRDefault="00A70754" w:rsidP="001A34D1">
            <w:pPr>
              <w:pStyle w:val="Normal-TableText"/>
            </w:pPr>
            <w:r w:rsidRPr="00271719">
              <w:t>Algorithm</w:t>
            </w:r>
          </w:p>
          <w:p w14:paraId="522C8BD2" w14:textId="77777777" w:rsidR="00A70754" w:rsidRPr="00271719" w:rsidRDefault="00A70754" w:rsidP="001A34D1">
            <w:pPr>
              <w:pStyle w:val="Normal-TableText"/>
            </w:pPr>
            <w:r w:rsidRPr="00271719">
              <w:t>Key length</w:t>
            </w:r>
          </w:p>
          <w:p w14:paraId="11FCE404" w14:textId="77777777" w:rsidR="00A70754" w:rsidRPr="00271719" w:rsidRDefault="00A70754" w:rsidP="001A34D1">
            <w:pPr>
              <w:pStyle w:val="Normal-TableText"/>
            </w:pPr>
            <w:r w:rsidRPr="00271719">
              <w:t>Tamper-resistance of device</w:t>
            </w:r>
          </w:p>
          <w:p w14:paraId="2DC42713" w14:textId="77777777" w:rsidR="00A70754" w:rsidRPr="00271719" w:rsidRDefault="00A70754" w:rsidP="001A34D1">
            <w:pPr>
              <w:pStyle w:val="Normal-TableText"/>
            </w:pPr>
            <w:r w:rsidRPr="00271719">
              <w:t>PIN activation required</w:t>
            </w:r>
          </w:p>
          <w:p w14:paraId="591BD187" w14:textId="77777777" w:rsidR="00A70754" w:rsidRPr="00271719" w:rsidRDefault="00A70754" w:rsidP="001A34D1">
            <w:pPr>
              <w:pStyle w:val="Normal-TableText"/>
            </w:pPr>
            <w:r w:rsidRPr="00271719">
              <w:t>Invalid-code strategies</w:t>
            </w:r>
          </w:p>
        </w:tc>
        <w:tc>
          <w:tcPr>
            <w:tcW w:w="585" w:type="pct"/>
          </w:tcPr>
          <w:p w14:paraId="1B4208C7" w14:textId="77777777" w:rsidR="00A70754" w:rsidRPr="00271719" w:rsidRDefault="00A70754" w:rsidP="001A34D1">
            <w:pPr>
              <w:pStyle w:val="Normal-TableText"/>
            </w:pPr>
            <w:r w:rsidRPr="00271719">
              <w:sym w:font="Wingdings" w:char="F0FC"/>
            </w:r>
          </w:p>
        </w:tc>
        <w:tc>
          <w:tcPr>
            <w:tcW w:w="698" w:type="pct"/>
          </w:tcPr>
          <w:p w14:paraId="4F5780E0" w14:textId="77777777" w:rsidR="00A70754" w:rsidRPr="00271719" w:rsidRDefault="00A70754" w:rsidP="001A34D1">
            <w:pPr>
              <w:pStyle w:val="Normal-TableText"/>
            </w:pPr>
            <w:r w:rsidRPr="00271719">
              <w:sym w:font="Wingdings" w:char="F0FC"/>
            </w:r>
          </w:p>
        </w:tc>
        <w:tc>
          <w:tcPr>
            <w:tcW w:w="794" w:type="pct"/>
          </w:tcPr>
          <w:p w14:paraId="6AF7EF42" w14:textId="77777777" w:rsidR="00A70754" w:rsidRPr="00271719" w:rsidRDefault="00A70754" w:rsidP="001A34D1">
            <w:pPr>
              <w:pStyle w:val="Normal-TableText"/>
            </w:pPr>
            <w:r w:rsidRPr="00271719">
              <w:t>Device cryptographic processor shall comply with xxx</w:t>
            </w:r>
            <w:r>
              <w:t>.</w:t>
            </w:r>
          </w:p>
          <w:p w14:paraId="44A2A7AB" w14:textId="77777777" w:rsidR="00A70754" w:rsidRPr="00271719" w:rsidRDefault="00A70754" w:rsidP="001A34D1">
            <w:pPr>
              <w:pStyle w:val="Normal-TableText"/>
            </w:pPr>
            <w:r w:rsidRPr="00271719">
              <w:t>PIN or biometric activation of device</w:t>
            </w:r>
            <w:r>
              <w:t>.</w:t>
            </w:r>
          </w:p>
          <w:p w14:paraId="2F072C28" w14:textId="77777777" w:rsidR="00A70754" w:rsidRPr="00271719" w:rsidRDefault="00A70754" w:rsidP="001A34D1">
            <w:pPr>
              <w:pStyle w:val="Normal-TableText"/>
            </w:pPr>
            <w:r w:rsidRPr="00271719">
              <w:t>Device locks after multiple</w:t>
            </w:r>
            <w:r>
              <w:t xml:space="preserve"> invalid PIN /biometric entries.</w:t>
            </w:r>
          </w:p>
          <w:p w14:paraId="4135B6A0" w14:textId="77777777" w:rsidR="00A70754" w:rsidRPr="00271719" w:rsidRDefault="00A70754" w:rsidP="001A34D1">
            <w:pPr>
              <w:pStyle w:val="Normal-TableText"/>
            </w:pPr>
            <w:r w:rsidRPr="00271719">
              <w:t>Credential issuer blocks subscriber account after successive invalid submissions</w:t>
            </w:r>
            <w:r>
              <w:t>.</w:t>
            </w:r>
          </w:p>
        </w:tc>
        <w:tc>
          <w:tcPr>
            <w:tcW w:w="687" w:type="pct"/>
          </w:tcPr>
          <w:p w14:paraId="44ABE587" w14:textId="77777777" w:rsidR="00A70754" w:rsidRPr="00271719" w:rsidRDefault="00A70754" w:rsidP="001A34D1">
            <w:pPr>
              <w:pStyle w:val="Normal-TableText"/>
            </w:pPr>
            <w:r w:rsidRPr="00271719">
              <w:t>Device cryptographic processor shall comply with nnn</w:t>
            </w:r>
            <w:r>
              <w:t>.</w:t>
            </w:r>
          </w:p>
          <w:p w14:paraId="119137E0" w14:textId="77777777" w:rsidR="00A70754" w:rsidRPr="00271719" w:rsidRDefault="00A70754" w:rsidP="001A34D1">
            <w:pPr>
              <w:pStyle w:val="Normal-TableText"/>
            </w:pPr>
            <w:r w:rsidRPr="00271719">
              <w:t>PIN or biometric entry required through independent (from personal computer) device interface – e.g. reader PIN PAD for smartcards</w:t>
            </w:r>
            <w:r>
              <w:t>.</w:t>
            </w:r>
          </w:p>
          <w:p w14:paraId="0B1938F6" w14:textId="77777777" w:rsidR="00A70754" w:rsidRDefault="00A70754" w:rsidP="001A34D1">
            <w:pPr>
              <w:pStyle w:val="Normal-TableText"/>
            </w:pPr>
            <w:r w:rsidRPr="00271719">
              <w:t>Device locks after multiple invalid PIN /biometric entries</w:t>
            </w:r>
            <w:r>
              <w:t>.</w:t>
            </w:r>
          </w:p>
          <w:p w14:paraId="61AAEBC3" w14:textId="77777777" w:rsidR="00A70754" w:rsidRPr="00271719" w:rsidRDefault="00A70754" w:rsidP="001A34D1">
            <w:pPr>
              <w:pStyle w:val="Normal-TableText"/>
            </w:pPr>
            <w:r w:rsidRPr="00271719">
              <w:t>Credential issuer blocks subscriber account after successive invalid submissions</w:t>
            </w:r>
            <w:r>
              <w:t>.</w:t>
            </w:r>
          </w:p>
        </w:tc>
      </w:tr>
    </w:tbl>
    <w:p w14:paraId="70CEF833" w14:textId="77777777" w:rsidR="00A70754" w:rsidRPr="00DF35D8" w:rsidRDefault="00A70754" w:rsidP="0031028A">
      <w:pPr>
        <w:pStyle w:val="Heading2"/>
      </w:pPr>
      <w:r w:rsidRPr="00271719">
        <w:rPr>
          <w:szCs w:val="22"/>
        </w:rPr>
        <w:br w:type="page"/>
      </w:r>
      <w:bookmarkStart w:id="247" w:name="_Ref203752196"/>
      <w:bookmarkStart w:id="248" w:name="_Toc430770942"/>
      <w:r w:rsidRPr="00DF35D8">
        <w:lastRenderedPageBreak/>
        <w:t>Schedule B2: Credential management and usage</w:t>
      </w:r>
      <w:bookmarkEnd w:id="247"/>
      <w:bookmarkEnd w:id="248"/>
    </w:p>
    <w:p w14:paraId="4F14BFBA" w14:textId="77777777" w:rsidR="00A70754" w:rsidRPr="00DF35D8" w:rsidRDefault="00A70754" w:rsidP="0031028A">
      <w:r w:rsidRPr="00DF35D8">
        <w:t xml:space="preserve">Note that the information provided in this Schedule is </w:t>
      </w:r>
      <w:r w:rsidRPr="003326A8">
        <w:rPr>
          <w:rStyle w:val="Strong"/>
        </w:rPr>
        <w:t>indicative</w:t>
      </w:r>
      <w:r w:rsidRPr="00DF35D8">
        <w:t xml:space="preserve"> only and should be used as input to an agency’s overall </w:t>
      </w:r>
      <w:r w:rsidR="00BE178F">
        <w:t>e</w:t>
      </w:r>
      <w:r w:rsidR="00BE178F">
        <w:noBreakHyphen/>
      </w:r>
      <w:r w:rsidRPr="00DF35D8">
        <w:t>Authentication assessment.</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413"/>
        <w:gridCol w:w="2487"/>
        <w:gridCol w:w="1913"/>
        <w:gridCol w:w="1913"/>
        <w:gridCol w:w="2869"/>
        <w:gridCol w:w="2681"/>
      </w:tblGrid>
      <w:tr w:rsidR="00A70754" w:rsidRPr="00DF35D8" w14:paraId="117F9768" w14:textId="77777777" w:rsidTr="0031028A">
        <w:trPr>
          <w:cnfStyle w:val="100000000000" w:firstRow="1" w:lastRow="0" w:firstColumn="0" w:lastColumn="0" w:oddVBand="0" w:evenVBand="0" w:oddHBand="0" w:evenHBand="0" w:firstRowFirstColumn="0" w:firstRowLastColumn="0" w:lastRowFirstColumn="0" w:lastRowLastColumn="0"/>
          <w:tblHeader/>
        </w:trPr>
        <w:tc>
          <w:tcPr>
            <w:tcW w:w="845" w:type="pct"/>
            <w:vMerge w:val="restart"/>
          </w:tcPr>
          <w:p w14:paraId="6A0C1E81" w14:textId="77777777" w:rsidR="00A70754" w:rsidRPr="00DF35D8" w:rsidRDefault="00A70754" w:rsidP="0031028A">
            <w:pPr>
              <w:pStyle w:val="Normal-TableText"/>
            </w:pPr>
            <w:r w:rsidRPr="00DF35D8">
              <w:t>Processes</w:t>
            </w:r>
          </w:p>
        </w:tc>
        <w:tc>
          <w:tcPr>
            <w:tcW w:w="871" w:type="pct"/>
            <w:vMerge w:val="restart"/>
          </w:tcPr>
          <w:p w14:paraId="6DFB3631" w14:textId="77777777" w:rsidR="00A70754" w:rsidRPr="00DF35D8" w:rsidRDefault="00A70754" w:rsidP="0031028A">
            <w:pPr>
              <w:pStyle w:val="Normal-TableText"/>
            </w:pPr>
            <w:r w:rsidRPr="00DF35D8">
              <w:t>Variables affecting strength of mechanism</w:t>
            </w:r>
          </w:p>
        </w:tc>
        <w:tc>
          <w:tcPr>
            <w:tcW w:w="3284" w:type="pct"/>
            <w:gridSpan w:val="4"/>
          </w:tcPr>
          <w:p w14:paraId="595AF541" w14:textId="77777777" w:rsidR="00A70754" w:rsidRPr="00DF35D8" w:rsidRDefault="00A70754" w:rsidP="0031028A">
            <w:pPr>
              <w:pStyle w:val="Normal-TableText"/>
              <w:jc w:val="center"/>
            </w:pPr>
            <w:r w:rsidRPr="00DF35D8">
              <w:t>Strength of authentication mechanism</w:t>
            </w:r>
          </w:p>
        </w:tc>
      </w:tr>
      <w:tr w:rsidR="00A70754" w:rsidRPr="00DF35D8" w14:paraId="5C9805FF" w14:textId="77777777" w:rsidTr="0031028A">
        <w:trPr>
          <w:cnfStyle w:val="100000000000" w:firstRow="1" w:lastRow="0" w:firstColumn="0" w:lastColumn="0" w:oddVBand="0" w:evenVBand="0" w:oddHBand="0" w:evenHBand="0" w:firstRowFirstColumn="0" w:firstRowLastColumn="0" w:lastRowFirstColumn="0" w:lastRowLastColumn="0"/>
          <w:tblHeader/>
        </w:trPr>
        <w:tc>
          <w:tcPr>
            <w:tcW w:w="845" w:type="pct"/>
            <w:vMerge/>
          </w:tcPr>
          <w:p w14:paraId="66E02D9F" w14:textId="77777777" w:rsidR="00A70754" w:rsidRPr="00DF35D8" w:rsidRDefault="00A70754" w:rsidP="0031028A">
            <w:pPr>
              <w:pStyle w:val="Normal-TableText"/>
            </w:pPr>
          </w:p>
        </w:tc>
        <w:tc>
          <w:tcPr>
            <w:tcW w:w="871" w:type="pct"/>
            <w:vMerge/>
          </w:tcPr>
          <w:p w14:paraId="4143197C" w14:textId="77777777" w:rsidR="00A70754" w:rsidRPr="00DF35D8" w:rsidRDefault="00A70754" w:rsidP="0031028A">
            <w:pPr>
              <w:pStyle w:val="Normal-TableText"/>
            </w:pPr>
          </w:p>
        </w:tc>
        <w:tc>
          <w:tcPr>
            <w:tcW w:w="670" w:type="pct"/>
          </w:tcPr>
          <w:p w14:paraId="46357307" w14:textId="77777777" w:rsidR="00A70754" w:rsidRPr="00DF35D8" w:rsidRDefault="00A70754" w:rsidP="0031028A">
            <w:pPr>
              <w:pStyle w:val="Normal-TableText"/>
            </w:pPr>
            <w:r w:rsidRPr="00DF35D8">
              <w:t>Level 1</w:t>
            </w:r>
          </w:p>
        </w:tc>
        <w:tc>
          <w:tcPr>
            <w:tcW w:w="670" w:type="pct"/>
          </w:tcPr>
          <w:p w14:paraId="0B8AAA3D" w14:textId="77777777" w:rsidR="00A70754" w:rsidRPr="00DF35D8" w:rsidRDefault="00A70754" w:rsidP="0031028A">
            <w:pPr>
              <w:pStyle w:val="Normal-TableText"/>
            </w:pPr>
            <w:r w:rsidRPr="00DF35D8">
              <w:t>Level 2</w:t>
            </w:r>
          </w:p>
        </w:tc>
        <w:tc>
          <w:tcPr>
            <w:tcW w:w="1005" w:type="pct"/>
          </w:tcPr>
          <w:p w14:paraId="61B19FB4" w14:textId="77777777" w:rsidR="00A70754" w:rsidRPr="00DF35D8" w:rsidRDefault="00A70754" w:rsidP="0031028A">
            <w:pPr>
              <w:pStyle w:val="Normal-TableText"/>
            </w:pPr>
            <w:r w:rsidRPr="00DF35D8">
              <w:t>Level 3</w:t>
            </w:r>
          </w:p>
        </w:tc>
        <w:tc>
          <w:tcPr>
            <w:tcW w:w="938" w:type="pct"/>
          </w:tcPr>
          <w:p w14:paraId="7648A969" w14:textId="77777777" w:rsidR="00A70754" w:rsidRPr="00DF35D8" w:rsidRDefault="00A70754" w:rsidP="0031028A">
            <w:pPr>
              <w:pStyle w:val="Normal-TableText"/>
            </w:pPr>
            <w:r w:rsidRPr="00DF35D8">
              <w:t>Level 4</w:t>
            </w:r>
          </w:p>
        </w:tc>
      </w:tr>
      <w:tr w:rsidR="00A70754" w:rsidRPr="00271719" w14:paraId="43055415" w14:textId="77777777" w:rsidTr="0031028A">
        <w:tc>
          <w:tcPr>
            <w:tcW w:w="845" w:type="pct"/>
          </w:tcPr>
          <w:p w14:paraId="4F2AF45B" w14:textId="77777777" w:rsidR="00A70754" w:rsidRPr="00E23C0C" w:rsidRDefault="00A70754" w:rsidP="001A34D1">
            <w:pPr>
              <w:pStyle w:val="Normal-TableText"/>
            </w:pPr>
            <w:r w:rsidRPr="00E23C0C">
              <w:t>Credential generation</w:t>
            </w:r>
          </w:p>
        </w:tc>
        <w:tc>
          <w:tcPr>
            <w:tcW w:w="871" w:type="pct"/>
          </w:tcPr>
          <w:p w14:paraId="3DED3667" w14:textId="77777777" w:rsidR="00A70754" w:rsidRPr="00E23C0C" w:rsidRDefault="00A70754" w:rsidP="001A34D1">
            <w:pPr>
              <w:pStyle w:val="Normal-TableText"/>
            </w:pPr>
            <w:r w:rsidRPr="00E23C0C">
              <w:t>Credential / key generation techniques</w:t>
            </w:r>
          </w:p>
        </w:tc>
        <w:tc>
          <w:tcPr>
            <w:tcW w:w="670" w:type="pct"/>
          </w:tcPr>
          <w:p w14:paraId="504CE41C" w14:textId="77777777" w:rsidR="00A70754" w:rsidRPr="00E23C0C" w:rsidRDefault="00A70754" w:rsidP="0031028A">
            <w:pPr>
              <w:pStyle w:val="Normal-TableText"/>
              <w:rPr>
                <w:sz w:val="18"/>
                <w:szCs w:val="18"/>
              </w:rPr>
            </w:pPr>
          </w:p>
        </w:tc>
        <w:tc>
          <w:tcPr>
            <w:tcW w:w="670" w:type="pct"/>
          </w:tcPr>
          <w:p w14:paraId="30D7E615" w14:textId="77777777" w:rsidR="00A70754" w:rsidRPr="00E23C0C" w:rsidRDefault="00A70754" w:rsidP="0031028A">
            <w:pPr>
              <w:pStyle w:val="Normal-TableText"/>
              <w:rPr>
                <w:sz w:val="18"/>
                <w:szCs w:val="18"/>
              </w:rPr>
            </w:pPr>
          </w:p>
        </w:tc>
        <w:tc>
          <w:tcPr>
            <w:tcW w:w="1005" w:type="pct"/>
          </w:tcPr>
          <w:p w14:paraId="65A27A49" w14:textId="77777777" w:rsidR="00A70754" w:rsidRPr="00E23C0C" w:rsidRDefault="00A70754" w:rsidP="001A34D1">
            <w:pPr>
              <w:pStyle w:val="Normal-TableText"/>
            </w:pPr>
            <w:r w:rsidRPr="00E23C0C">
              <w:t>Cryptographic keys should be generated using Hardware Security Modules (HSM) selected from the DSD Evaluated Products List.</w:t>
            </w:r>
          </w:p>
        </w:tc>
        <w:tc>
          <w:tcPr>
            <w:tcW w:w="938" w:type="pct"/>
          </w:tcPr>
          <w:p w14:paraId="253A2760" w14:textId="77777777" w:rsidR="00A70754" w:rsidRPr="00E23C0C" w:rsidRDefault="00A70754" w:rsidP="001A34D1">
            <w:pPr>
              <w:pStyle w:val="Normal-TableText"/>
            </w:pPr>
            <w:r w:rsidRPr="00E23C0C">
              <w:t>Cryptographic keys should be generated using Hardware Security Modules (HSM) selected from the DSD Evaluated products List.</w:t>
            </w:r>
          </w:p>
        </w:tc>
      </w:tr>
      <w:tr w:rsidR="00A70754" w:rsidRPr="00271719" w14:paraId="42687249" w14:textId="77777777" w:rsidTr="0031028A">
        <w:tc>
          <w:tcPr>
            <w:tcW w:w="845" w:type="pct"/>
          </w:tcPr>
          <w:p w14:paraId="3E778B09" w14:textId="77777777" w:rsidR="00A70754" w:rsidRPr="00E23C0C" w:rsidRDefault="00A70754" w:rsidP="001A34D1">
            <w:pPr>
              <w:pStyle w:val="Normal-TableText"/>
            </w:pPr>
            <w:r w:rsidRPr="00E23C0C">
              <w:t>Credential issuance and activation</w:t>
            </w:r>
          </w:p>
        </w:tc>
        <w:tc>
          <w:tcPr>
            <w:tcW w:w="871" w:type="pct"/>
          </w:tcPr>
          <w:p w14:paraId="0B1DB735" w14:textId="77777777" w:rsidR="00A70754" w:rsidRPr="00E23C0C" w:rsidRDefault="00A70754" w:rsidP="001A34D1">
            <w:pPr>
              <w:pStyle w:val="Normal-TableText"/>
            </w:pPr>
            <w:r w:rsidRPr="00E23C0C">
              <w:t>Method of delivery of credentials to subscribers</w:t>
            </w:r>
          </w:p>
          <w:p w14:paraId="0E0A250E" w14:textId="77777777" w:rsidR="00A70754" w:rsidRPr="00E23C0C" w:rsidRDefault="00A70754" w:rsidP="001A34D1">
            <w:pPr>
              <w:pStyle w:val="Normal-TableText"/>
            </w:pPr>
            <w:r w:rsidRPr="00E23C0C">
              <w:t>Method of activation of credential</w:t>
            </w:r>
          </w:p>
        </w:tc>
        <w:tc>
          <w:tcPr>
            <w:tcW w:w="670" w:type="pct"/>
          </w:tcPr>
          <w:p w14:paraId="363C316D" w14:textId="77777777" w:rsidR="00A70754" w:rsidRPr="00E23C0C" w:rsidRDefault="00A70754" w:rsidP="0031028A">
            <w:pPr>
              <w:pStyle w:val="Normal-TableText"/>
              <w:rPr>
                <w:sz w:val="18"/>
                <w:szCs w:val="18"/>
              </w:rPr>
            </w:pPr>
          </w:p>
        </w:tc>
        <w:tc>
          <w:tcPr>
            <w:tcW w:w="670" w:type="pct"/>
          </w:tcPr>
          <w:p w14:paraId="3E40E3F0" w14:textId="77777777" w:rsidR="00A70754" w:rsidRPr="00E23C0C" w:rsidRDefault="00A70754" w:rsidP="001A34D1">
            <w:pPr>
              <w:pStyle w:val="Normal-TableText"/>
            </w:pPr>
            <w:r w:rsidRPr="00E23C0C">
              <w:t>Credentials should be delivered to subscribers through a secure channel</w:t>
            </w:r>
          </w:p>
        </w:tc>
        <w:tc>
          <w:tcPr>
            <w:tcW w:w="1005" w:type="pct"/>
          </w:tcPr>
          <w:p w14:paraId="5A7530A6" w14:textId="77777777" w:rsidR="00A70754" w:rsidRPr="00E23C0C" w:rsidRDefault="00A70754" w:rsidP="001A34D1">
            <w:pPr>
              <w:pStyle w:val="Normal-TableText"/>
            </w:pPr>
            <w:r w:rsidRPr="00E23C0C">
              <w:t>Credentials should be delivered to subscribers through a secure channel.</w:t>
            </w:r>
          </w:p>
          <w:p w14:paraId="5CD82E90" w14:textId="77777777" w:rsidR="00A70754" w:rsidRPr="00E23C0C" w:rsidRDefault="00A70754" w:rsidP="001A34D1">
            <w:pPr>
              <w:pStyle w:val="Normal-TableText"/>
            </w:pPr>
            <w:r w:rsidRPr="00E23C0C">
              <w:t>Credentials should be delivered to subscribers in a locked state.</w:t>
            </w:r>
          </w:p>
        </w:tc>
        <w:tc>
          <w:tcPr>
            <w:tcW w:w="938" w:type="pct"/>
          </w:tcPr>
          <w:p w14:paraId="6C7F377B" w14:textId="77777777" w:rsidR="00A70754" w:rsidRPr="00E23C0C" w:rsidRDefault="00A70754" w:rsidP="001A34D1">
            <w:pPr>
              <w:pStyle w:val="Normal-TableText"/>
            </w:pPr>
            <w:r w:rsidRPr="00E23C0C">
              <w:t>Credentials should be delivered to Subscribers through a secure channel incorporating evidence of receipt.</w:t>
            </w:r>
          </w:p>
          <w:p w14:paraId="67805C79" w14:textId="77777777" w:rsidR="00A70754" w:rsidRPr="00E23C0C" w:rsidRDefault="00A70754" w:rsidP="001A34D1">
            <w:pPr>
              <w:pStyle w:val="Normal-TableText"/>
            </w:pPr>
            <w:r w:rsidRPr="00E23C0C">
              <w:t>Credentials will be delivered to Subscribers in a locked state</w:t>
            </w:r>
          </w:p>
        </w:tc>
      </w:tr>
      <w:tr w:rsidR="00A70754" w:rsidRPr="00271719" w14:paraId="68B46E8A" w14:textId="77777777" w:rsidTr="0031028A">
        <w:tc>
          <w:tcPr>
            <w:tcW w:w="845" w:type="pct"/>
          </w:tcPr>
          <w:p w14:paraId="3BF53CAD" w14:textId="77777777" w:rsidR="00A70754" w:rsidRPr="00E23C0C" w:rsidRDefault="00A70754" w:rsidP="001A34D1">
            <w:pPr>
              <w:pStyle w:val="Normal-TableText"/>
            </w:pPr>
            <w:r w:rsidRPr="00E23C0C">
              <w:lastRenderedPageBreak/>
              <w:t>Activated credential management</w:t>
            </w:r>
          </w:p>
          <w:p w14:paraId="4A2590BD" w14:textId="77777777" w:rsidR="00A70754" w:rsidRPr="00E23C0C" w:rsidRDefault="00A70754" w:rsidP="0031028A">
            <w:pPr>
              <w:pStyle w:val="Bullet1"/>
            </w:pPr>
            <w:r w:rsidRPr="00E23C0C" w:rsidDel="00CB1A07">
              <w:t>r</w:t>
            </w:r>
            <w:r w:rsidRPr="00E23C0C">
              <w:t>evocation</w:t>
            </w:r>
          </w:p>
          <w:p w14:paraId="1E2E7EF9" w14:textId="77777777" w:rsidR="00A70754" w:rsidRPr="00E23C0C" w:rsidRDefault="00A70754" w:rsidP="0031028A">
            <w:pPr>
              <w:pStyle w:val="Bullet1"/>
            </w:pPr>
            <w:r w:rsidRPr="00E23C0C" w:rsidDel="00CB1A07">
              <w:t>r</w:t>
            </w:r>
            <w:r w:rsidR="00BE178F">
              <w:t>e</w:t>
            </w:r>
            <w:r w:rsidR="00BE178F">
              <w:noBreakHyphen/>
            </w:r>
            <w:r w:rsidRPr="00E23C0C">
              <w:t>issuance</w:t>
            </w:r>
          </w:p>
          <w:p w14:paraId="78C9E7E7" w14:textId="77777777" w:rsidR="00A70754" w:rsidRPr="00E23C0C" w:rsidRDefault="00A70754" w:rsidP="0031028A">
            <w:pPr>
              <w:pStyle w:val="Bullet1"/>
            </w:pPr>
            <w:r w:rsidRPr="00E23C0C" w:rsidDel="00CB1A07">
              <w:t>s</w:t>
            </w:r>
            <w:r w:rsidRPr="00E23C0C">
              <w:t>uspension</w:t>
            </w:r>
          </w:p>
          <w:p w14:paraId="74D273C3" w14:textId="77777777" w:rsidR="00A70754" w:rsidRPr="00E23C0C" w:rsidRDefault="00A70754" w:rsidP="0031028A">
            <w:pPr>
              <w:pStyle w:val="Bullet1"/>
            </w:pPr>
            <w:r w:rsidRPr="00E23C0C" w:rsidDel="00CB1A07">
              <w:t>u</w:t>
            </w:r>
            <w:r w:rsidRPr="00E23C0C">
              <w:t>nlocking</w:t>
            </w:r>
          </w:p>
        </w:tc>
        <w:tc>
          <w:tcPr>
            <w:tcW w:w="871" w:type="pct"/>
          </w:tcPr>
          <w:p w14:paraId="48B000F1" w14:textId="77777777" w:rsidR="00A70754" w:rsidRPr="00E23C0C" w:rsidRDefault="00A70754" w:rsidP="001A34D1">
            <w:pPr>
              <w:pStyle w:val="Normal-TableText"/>
            </w:pPr>
            <w:r w:rsidRPr="00E23C0C">
              <w:t>Time lapse between advice of loss of a credential and reflection of this in verifier and credential-issuer systems</w:t>
            </w:r>
          </w:p>
        </w:tc>
        <w:tc>
          <w:tcPr>
            <w:tcW w:w="670" w:type="pct"/>
          </w:tcPr>
          <w:p w14:paraId="2320F631" w14:textId="77777777" w:rsidR="00A70754" w:rsidRPr="00E23C0C" w:rsidRDefault="00A70754" w:rsidP="0031028A">
            <w:pPr>
              <w:pStyle w:val="Normal-TableText"/>
              <w:rPr>
                <w:sz w:val="18"/>
                <w:szCs w:val="18"/>
              </w:rPr>
            </w:pPr>
          </w:p>
        </w:tc>
        <w:tc>
          <w:tcPr>
            <w:tcW w:w="670" w:type="pct"/>
          </w:tcPr>
          <w:p w14:paraId="42918B12" w14:textId="77777777" w:rsidR="00A70754" w:rsidRPr="00E23C0C" w:rsidRDefault="00A70754" w:rsidP="0031028A">
            <w:pPr>
              <w:pStyle w:val="Normal-TableText"/>
              <w:rPr>
                <w:sz w:val="18"/>
                <w:szCs w:val="18"/>
              </w:rPr>
            </w:pPr>
          </w:p>
        </w:tc>
        <w:tc>
          <w:tcPr>
            <w:tcW w:w="1005" w:type="pct"/>
          </w:tcPr>
          <w:p w14:paraId="64910023" w14:textId="77777777" w:rsidR="00A70754" w:rsidRPr="00E23C0C" w:rsidRDefault="00A70754" w:rsidP="001A34D1">
            <w:pPr>
              <w:pStyle w:val="Normal-TableText"/>
            </w:pPr>
            <w:r w:rsidRPr="00E23C0C">
              <w:t>Revoked credentials should be reflected in CRL or similar method within xx minutes of authenticated request for revocation by the subscriber.</w:t>
            </w:r>
          </w:p>
          <w:p w14:paraId="29BF2D50" w14:textId="77777777" w:rsidR="00A70754" w:rsidRPr="00E23C0C" w:rsidRDefault="00A70754" w:rsidP="001A34D1">
            <w:pPr>
              <w:pStyle w:val="Normal-TableText"/>
            </w:pPr>
            <w:r w:rsidRPr="00E23C0C">
              <w:t>Locked credentials should require an unlock code to reset the PIN.</w:t>
            </w:r>
          </w:p>
        </w:tc>
        <w:tc>
          <w:tcPr>
            <w:tcW w:w="938" w:type="pct"/>
          </w:tcPr>
          <w:p w14:paraId="263A0D70" w14:textId="77777777" w:rsidR="00A70754" w:rsidRPr="00E23C0C" w:rsidRDefault="00A70754" w:rsidP="001A34D1">
            <w:pPr>
              <w:pStyle w:val="Normal-TableText"/>
            </w:pPr>
            <w:r w:rsidRPr="00E23C0C">
              <w:t>Revoked Credentials should be reflected in CRL or similar method within yy minutes of authenticated request for revocation by the subscriber.</w:t>
            </w:r>
          </w:p>
          <w:p w14:paraId="1C223E15" w14:textId="77777777" w:rsidR="00A70754" w:rsidRPr="00E23C0C" w:rsidRDefault="00A70754" w:rsidP="001A34D1">
            <w:pPr>
              <w:pStyle w:val="Normal-TableText"/>
            </w:pPr>
            <w:r w:rsidRPr="00E23C0C">
              <w:t>Locked credentials should require a cryptographically generated single use, and credential specific unlock code to reset the PIN.</w:t>
            </w:r>
          </w:p>
        </w:tc>
      </w:tr>
      <w:tr w:rsidR="00A70754" w:rsidRPr="00271719" w14:paraId="2BF6B8F0" w14:textId="77777777" w:rsidTr="0031028A">
        <w:tc>
          <w:tcPr>
            <w:tcW w:w="845" w:type="pct"/>
          </w:tcPr>
          <w:p w14:paraId="6D0185D6" w14:textId="77777777" w:rsidR="00A70754" w:rsidRPr="00E23C0C" w:rsidRDefault="00A70754" w:rsidP="001A34D1">
            <w:pPr>
              <w:pStyle w:val="Normal-TableText"/>
            </w:pPr>
            <w:r w:rsidRPr="00E23C0C">
              <w:t xml:space="preserve">Credential verification </w:t>
            </w:r>
          </w:p>
        </w:tc>
        <w:tc>
          <w:tcPr>
            <w:tcW w:w="871" w:type="pct"/>
          </w:tcPr>
          <w:p w14:paraId="6E785D8C" w14:textId="77777777" w:rsidR="00A70754" w:rsidRPr="00E23C0C" w:rsidRDefault="00A70754" w:rsidP="001A34D1">
            <w:pPr>
              <w:pStyle w:val="Normal-TableText"/>
            </w:pPr>
            <w:r w:rsidRPr="00E23C0C">
              <w:t>Method of storage of passwords and cryptographic keys by the credential provider</w:t>
            </w:r>
          </w:p>
        </w:tc>
        <w:tc>
          <w:tcPr>
            <w:tcW w:w="670" w:type="pct"/>
          </w:tcPr>
          <w:p w14:paraId="1AA9B8FA" w14:textId="77777777" w:rsidR="00A70754" w:rsidRPr="00E23C0C" w:rsidRDefault="00A70754" w:rsidP="0031028A">
            <w:pPr>
              <w:pStyle w:val="Normal-TableText"/>
              <w:rPr>
                <w:sz w:val="18"/>
                <w:szCs w:val="18"/>
              </w:rPr>
            </w:pPr>
          </w:p>
        </w:tc>
        <w:tc>
          <w:tcPr>
            <w:tcW w:w="670" w:type="pct"/>
          </w:tcPr>
          <w:p w14:paraId="7C29FEB2" w14:textId="77777777" w:rsidR="00A70754" w:rsidRPr="00E23C0C" w:rsidRDefault="00A70754" w:rsidP="001A34D1">
            <w:pPr>
              <w:pStyle w:val="Normal-TableText"/>
            </w:pPr>
            <w:r w:rsidRPr="00E23C0C">
              <w:t>Passwords and cryptographic keys should be held by the credential issuer in a salted and hashed state.</w:t>
            </w:r>
          </w:p>
          <w:p w14:paraId="721CF57C" w14:textId="77777777" w:rsidR="00A70754" w:rsidRPr="00E23C0C" w:rsidRDefault="00A70754" w:rsidP="001A34D1">
            <w:pPr>
              <w:pStyle w:val="Normal-TableText"/>
            </w:pPr>
            <w:r w:rsidRPr="00E23C0C">
              <w:t>Communications between a relying party, the verifier and the credential issuer should be through a protected channel</w:t>
            </w:r>
          </w:p>
        </w:tc>
        <w:tc>
          <w:tcPr>
            <w:tcW w:w="1005" w:type="pct"/>
          </w:tcPr>
          <w:p w14:paraId="5C029BF1" w14:textId="77777777" w:rsidR="00A70754" w:rsidRPr="00E23C0C" w:rsidRDefault="00A70754" w:rsidP="001A34D1">
            <w:pPr>
              <w:pStyle w:val="Normal-TableText"/>
            </w:pPr>
            <w:r w:rsidRPr="00E23C0C">
              <w:t>Credential issuer completes symmetric key cryptographic functions in HSM with keys not exposed outside of HSM</w:t>
            </w:r>
            <w:r>
              <w:t>.</w:t>
            </w:r>
          </w:p>
          <w:p w14:paraId="6B255D2A" w14:textId="77777777" w:rsidR="00A70754" w:rsidRPr="00E23C0C" w:rsidRDefault="00A70754" w:rsidP="001A34D1">
            <w:pPr>
              <w:pStyle w:val="Normal-TableText"/>
            </w:pPr>
            <w:r w:rsidRPr="00E23C0C">
              <w:t>Communications between a relying party, the verifier and the credential issuer should be through a protected channel with cryptographically-based cross authentication of the communicating parties</w:t>
            </w:r>
            <w:r>
              <w:t>.</w:t>
            </w:r>
          </w:p>
        </w:tc>
        <w:tc>
          <w:tcPr>
            <w:tcW w:w="938" w:type="pct"/>
          </w:tcPr>
          <w:p w14:paraId="137414B0" w14:textId="77777777" w:rsidR="00A70754" w:rsidRPr="00E23C0C" w:rsidRDefault="00A70754" w:rsidP="001A34D1">
            <w:pPr>
              <w:pStyle w:val="Normal-TableText"/>
            </w:pPr>
            <w:r w:rsidRPr="00E23C0C">
              <w:t>Credential issuer completes symmetric key cryptographic functions in HSM with keys not exposed outside of HSM</w:t>
            </w:r>
            <w:r>
              <w:t>.</w:t>
            </w:r>
          </w:p>
          <w:p w14:paraId="674A644D" w14:textId="77777777" w:rsidR="00A70754" w:rsidRPr="00E23C0C" w:rsidRDefault="00A70754" w:rsidP="001A34D1">
            <w:pPr>
              <w:pStyle w:val="Normal-TableText"/>
            </w:pPr>
            <w:r w:rsidRPr="00E23C0C">
              <w:t>Communications between a relying party, the verifier and the credential issuer should be through a protected channel with HSM-based cross-authentication of the comm</w:t>
            </w:r>
            <w:r>
              <w:t>unicating parties.</w:t>
            </w:r>
          </w:p>
        </w:tc>
      </w:tr>
      <w:tr w:rsidR="00A70754" w:rsidRPr="00271719" w14:paraId="56A233D7" w14:textId="77777777" w:rsidTr="0031028A">
        <w:tc>
          <w:tcPr>
            <w:tcW w:w="845" w:type="pct"/>
          </w:tcPr>
          <w:p w14:paraId="3321964C" w14:textId="77777777" w:rsidR="00A70754" w:rsidRPr="00E23C0C" w:rsidRDefault="00A70754" w:rsidP="001A34D1">
            <w:pPr>
              <w:pStyle w:val="Normal-TableText"/>
            </w:pPr>
            <w:r w:rsidRPr="00E23C0C">
              <w:lastRenderedPageBreak/>
              <w:t>Authentication event logging</w:t>
            </w:r>
          </w:p>
        </w:tc>
        <w:tc>
          <w:tcPr>
            <w:tcW w:w="871" w:type="pct"/>
          </w:tcPr>
          <w:p w14:paraId="2A8FA38C" w14:textId="77777777" w:rsidR="00A70754" w:rsidRPr="00E23C0C" w:rsidRDefault="00A70754" w:rsidP="001A34D1">
            <w:pPr>
              <w:pStyle w:val="Normal-TableText"/>
            </w:pPr>
            <w:r w:rsidRPr="00E23C0C">
              <w:t xml:space="preserve">Methods of protection </w:t>
            </w:r>
            <w:r>
              <w:t>of event logs against tampering</w:t>
            </w:r>
          </w:p>
        </w:tc>
        <w:tc>
          <w:tcPr>
            <w:tcW w:w="670" w:type="pct"/>
          </w:tcPr>
          <w:p w14:paraId="638205B4" w14:textId="77777777" w:rsidR="00A70754" w:rsidRPr="00E23C0C" w:rsidRDefault="00A70754" w:rsidP="0031028A">
            <w:pPr>
              <w:pStyle w:val="Normal-TableText"/>
              <w:rPr>
                <w:sz w:val="18"/>
                <w:szCs w:val="18"/>
              </w:rPr>
            </w:pPr>
          </w:p>
        </w:tc>
        <w:tc>
          <w:tcPr>
            <w:tcW w:w="670" w:type="pct"/>
          </w:tcPr>
          <w:p w14:paraId="0E21AE0C" w14:textId="77777777" w:rsidR="00A70754" w:rsidRPr="00E23C0C" w:rsidRDefault="00A70754" w:rsidP="001A34D1">
            <w:pPr>
              <w:pStyle w:val="Normal-TableText"/>
            </w:pPr>
            <w:r w:rsidRPr="00E23C0C">
              <w:t>All credential lifecycle events should be logged</w:t>
            </w:r>
          </w:p>
          <w:p w14:paraId="3D1ECC2A" w14:textId="77777777" w:rsidR="00A70754" w:rsidRPr="00E23C0C" w:rsidRDefault="00A70754" w:rsidP="001A34D1">
            <w:pPr>
              <w:pStyle w:val="Normal-TableText"/>
            </w:pPr>
            <w:r w:rsidRPr="00E23C0C">
              <w:t>Log files should be retained for xx years</w:t>
            </w:r>
          </w:p>
        </w:tc>
        <w:tc>
          <w:tcPr>
            <w:tcW w:w="1005" w:type="pct"/>
          </w:tcPr>
          <w:p w14:paraId="618B3DE0" w14:textId="77777777" w:rsidR="00A70754" w:rsidRPr="00E23C0C" w:rsidRDefault="00A70754" w:rsidP="001A34D1">
            <w:pPr>
              <w:pStyle w:val="Normal-TableText"/>
            </w:pPr>
            <w:r w:rsidRPr="00E23C0C">
              <w:t>All credential lifecycle events should be logged</w:t>
            </w:r>
            <w:r>
              <w:t>.</w:t>
            </w:r>
          </w:p>
          <w:p w14:paraId="35D19351" w14:textId="77777777" w:rsidR="00A70754" w:rsidRPr="00E23C0C" w:rsidRDefault="00A70754" w:rsidP="001A34D1">
            <w:pPr>
              <w:pStyle w:val="Normal-TableText"/>
            </w:pPr>
            <w:r w:rsidRPr="00E23C0C">
              <w:t>All authentication events should be logged</w:t>
            </w:r>
            <w:r>
              <w:t>.</w:t>
            </w:r>
          </w:p>
          <w:p w14:paraId="440D5534" w14:textId="77777777" w:rsidR="00A70754" w:rsidRPr="00E23C0C" w:rsidRDefault="00A70754" w:rsidP="001A34D1">
            <w:pPr>
              <w:pStyle w:val="Normal-TableText"/>
            </w:pPr>
            <w:r w:rsidRPr="00E23C0C">
              <w:t>Log file records should be cryptographically protected against modification, deletion and addition of log file records</w:t>
            </w:r>
            <w:r>
              <w:t>.</w:t>
            </w:r>
          </w:p>
          <w:p w14:paraId="4E8A905E" w14:textId="77777777" w:rsidR="00A70754" w:rsidRPr="00E23C0C" w:rsidRDefault="00A70754" w:rsidP="001A34D1">
            <w:pPr>
              <w:pStyle w:val="Normal-TableText"/>
            </w:pPr>
            <w:r w:rsidRPr="00E23C0C">
              <w:t>Log files should be retained for yy years</w:t>
            </w:r>
            <w:r>
              <w:t>.</w:t>
            </w:r>
          </w:p>
        </w:tc>
        <w:tc>
          <w:tcPr>
            <w:tcW w:w="938" w:type="pct"/>
          </w:tcPr>
          <w:p w14:paraId="34D1563E" w14:textId="77777777" w:rsidR="00A70754" w:rsidRPr="00E23C0C" w:rsidRDefault="00A70754" w:rsidP="001A34D1">
            <w:pPr>
              <w:pStyle w:val="Normal-TableText"/>
            </w:pPr>
            <w:r w:rsidRPr="00E23C0C">
              <w:t>All credential lifecycle events should be logged</w:t>
            </w:r>
            <w:r>
              <w:t>.</w:t>
            </w:r>
          </w:p>
          <w:p w14:paraId="5DE6582C" w14:textId="77777777" w:rsidR="00A70754" w:rsidRPr="00E23C0C" w:rsidRDefault="00A70754" w:rsidP="001A34D1">
            <w:pPr>
              <w:pStyle w:val="Normal-TableText"/>
            </w:pPr>
            <w:r w:rsidRPr="00E23C0C">
              <w:t>All authentication events should be logged</w:t>
            </w:r>
            <w:r>
              <w:t>.</w:t>
            </w:r>
          </w:p>
          <w:p w14:paraId="68D16D0B" w14:textId="77777777" w:rsidR="00A70754" w:rsidRPr="00E23C0C" w:rsidRDefault="00A70754" w:rsidP="001A34D1">
            <w:pPr>
              <w:pStyle w:val="Normal-TableText"/>
            </w:pPr>
            <w:r w:rsidRPr="00E23C0C">
              <w:t>Log file records should be cryptographically protected, using an HSM, against modification, deletion and addition of log file records</w:t>
            </w:r>
            <w:r>
              <w:t>.</w:t>
            </w:r>
          </w:p>
          <w:p w14:paraId="45512FC3" w14:textId="77777777" w:rsidR="00A70754" w:rsidRPr="00E23C0C" w:rsidRDefault="00A70754" w:rsidP="001A34D1">
            <w:pPr>
              <w:pStyle w:val="Normal-TableText"/>
            </w:pPr>
            <w:r w:rsidRPr="00E23C0C">
              <w:t>Log files should be retained for yy years</w:t>
            </w:r>
            <w:r>
              <w:t>.</w:t>
            </w:r>
          </w:p>
        </w:tc>
      </w:tr>
      <w:bookmarkEnd w:id="238"/>
    </w:tbl>
    <w:p w14:paraId="7DC3C5D3" w14:textId="463C16A0" w:rsidR="00640505" w:rsidRPr="00AF2050" w:rsidRDefault="00640505" w:rsidP="0031028A"/>
    <w:sectPr w:rsidR="00640505" w:rsidRPr="00AF2050" w:rsidSect="00C52270">
      <w:footerReference w:type="default" r:id="rId26"/>
      <w:pgSz w:w="16838" w:h="11906" w:orient="landscape" w:code="9"/>
      <w:pgMar w:top="1418"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738FF" w14:textId="77777777" w:rsidR="00EA66C1" w:rsidRDefault="00EA66C1" w:rsidP="00EF4574">
      <w:pPr>
        <w:spacing w:before="0" w:after="0" w:line="240" w:lineRule="auto"/>
      </w:pPr>
      <w:r>
        <w:separator/>
      </w:r>
    </w:p>
  </w:endnote>
  <w:endnote w:type="continuationSeparator" w:id="0">
    <w:p w14:paraId="0E88F6BF" w14:textId="77777777" w:rsidR="00EA66C1" w:rsidRDefault="00EA66C1"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F82DE" w14:textId="709C1890" w:rsidR="00AE7A40" w:rsidRDefault="00AE7A40">
    <w:pPr>
      <w:pStyle w:val="Footer"/>
      <w:rPr>
        <w:rStyle w:val="PageNumber"/>
      </w:rPr>
    </w:pPr>
    <w:fldSimple w:instr=" STYLEREF  Title  \* MERGEFORMAT ">
      <w:r w:rsidR="00043C13">
        <w:rPr>
          <w:noProof/>
        </w:rPr>
        <w:t>National e-Authentication Framework</w:t>
      </w:r>
    </w:fldSimple>
    <w:r>
      <w:t xml:space="preserve"> </w:t>
    </w:r>
    <w:r>
      <w:rPr>
        <w:rFonts w:cstheme="minorHAnsi"/>
      </w:rPr>
      <w:t>–</w:t>
    </w:r>
    <w:fldSimple w:instr=" STYLEREF  &quot;Subtitle Date&quot;  \* MERGEFORMAT ">
      <w:r w:rsidR="00043C13">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043C13">
      <w:rPr>
        <w:rStyle w:val="PageNumber"/>
        <w:noProof/>
      </w:rPr>
      <w:t>2</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043C13">
      <w:rPr>
        <w:rStyle w:val="PageNumber"/>
        <w:noProof/>
      </w:rPr>
      <w:t>52</w:t>
    </w:r>
    <w:r w:rsidRPr="00CF26F0">
      <w:rPr>
        <w:rStyle w:val="PageNumber"/>
      </w:rPr>
      <w:fldChar w:fldCharType="end"/>
    </w:r>
  </w:p>
  <w:p w14:paraId="202C5F62" w14:textId="77777777" w:rsidR="00AE7A40" w:rsidRPr="00D213BD" w:rsidRDefault="00AE7A40">
    <w:pPr>
      <w:pStyle w:val="Footer"/>
      <w:rPr>
        <w:color w:val="FF0000"/>
      </w:rPr>
    </w:pPr>
    <w:r w:rsidRPr="00D213BD">
      <w:rPr>
        <w:rStyle w:val="PageNumber"/>
        <w:color w:val="FF0000"/>
      </w:rPr>
      <w:t>This document is currently under review by the Digital Transformation Office.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B5DF5" w14:textId="58A65723" w:rsidR="00AE7A40" w:rsidRDefault="00AE7A40" w:rsidP="00C52270">
    <w:pPr>
      <w:pStyle w:val="FooterLandscape"/>
      <w:rPr>
        <w:rStyle w:val="PageNumber"/>
      </w:rPr>
    </w:pPr>
    <w:fldSimple w:instr=" STYLEREF  Title  \* MERGEFORMAT ">
      <w:r w:rsidR="00043C13">
        <w:rPr>
          <w:noProof/>
        </w:rPr>
        <w:t>National e-Authentication Framework</w:t>
      </w:r>
    </w:fldSimple>
    <w:r>
      <w:t xml:space="preserve"> </w:t>
    </w:r>
    <w:r>
      <w:rPr>
        <w:rFonts w:cstheme="minorHAnsi"/>
      </w:rPr>
      <w:t>–</w:t>
    </w:r>
    <w:fldSimple w:instr=" STYLEREF  &quot;Subtitle Date&quot;  \* MERGEFORMAT ">
      <w:r w:rsidR="00043C13">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043C13">
      <w:rPr>
        <w:rStyle w:val="PageNumber"/>
        <w:noProof/>
      </w:rPr>
      <w:t>46</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043C13">
      <w:rPr>
        <w:rStyle w:val="PageNumber"/>
        <w:noProof/>
      </w:rPr>
      <w:t>52</w:t>
    </w:r>
    <w:r w:rsidRPr="00CF26F0">
      <w:rPr>
        <w:rStyle w:val="PageNumber"/>
      </w:rPr>
      <w:fldChar w:fldCharType="end"/>
    </w:r>
  </w:p>
  <w:p w14:paraId="24103DB3" w14:textId="78B90D7C" w:rsidR="00AE7A40" w:rsidRPr="00D213BD" w:rsidRDefault="00AE7A40" w:rsidP="000857D7">
    <w:pPr>
      <w:pStyle w:val="Footer"/>
      <w:rPr>
        <w:color w:val="FF0000"/>
      </w:rPr>
    </w:pPr>
    <w:r w:rsidRPr="00D213BD">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086CB" w14:textId="77777777" w:rsidR="00EA66C1" w:rsidRDefault="00EA66C1" w:rsidP="00EF4574">
      <w:pPr>
        <w:spacing w:before="0" w:after="0" w:line="240" w:lineRule="auto"/>
      </w:pPr>
      <w:r>
        <w:separator/>
      </w:r>
    </w:p>
  </w:footnote>
  <w:footnote w:type="continuationSeparator" w:id="0">
    <w:p w14:paraId="7A37B77C" w14:textId="77777777" w:rsidR="00EA66C1" w:rsidRDefault="00EA66C1" w:rsidP="00EF4574">
      <w:pPr>
        <w:spacing w:before="0" w:after="0" w:line="240" w:lineRule="auto"/>
      </w:pPr>
      <w:r>
        <w:continuationSeparator/>
      </w:r>
    </w:p>
  </w:footnote>
  <w:footnote w:id="1">
    <w:p w14:paraId="1B6C3D74" w14:textId="6AE898AB" w:rsidR="00AE7A40" w:rsidRDefault="00AE7A40" w:rsidP="00C3702B">
      <w:pPr>
        <w:pStyle w:val="FootnoteText"/>
      </w:pPr>
      <w:r w:rsidRPr="000E341E">
        <w:rPr>
          <w:rStyle w:val="FootnoteReference"/>
          <w:rFonts w:ascii="TheSans-Plain" w:hAnsi="TheSans-Plain" w:cs="Arial"/>
          <w:sz w:val="18"/>
          <w:szCs w:val="18"/>
        </w:rPr>
        <w:footnoteRef/>
      </w:r>
      <w:r>
        <w:rPr>
          <w:rFonts w:ascii="TheSans-Plain" w:hAnsi="TheSans-Plain"/>
          <w:sz w:val="18"/>
          <w:szCs w:val="18"/>
        </w:rPr>
        <w:tab/>
      </w:r>
      <w:r w:rsidRPr="000E341E">
        <w:rPr>
          <w:rFonts w:ascii="TheSans-Plain" w:hAnsi="TheSans-Plain"/>
          <w:sz w:val="18"/>
          <w:szCs w:val="18"/>
        </w:rPr>
        <w:t>See</w:t>
      </w:r>
      <w:r w:rsidR="00043C13">
        <w:rPr>
          <w:rFonts w:ascii="TheSans-Plain" w:hAnsi="TheSans-Plain"/>
          <w:sz w:val="18"/>
          <w:szCs w:val="18"/>
        </w:rPr>
        <w:t xml:space="preserve"> </w:t>
      </w:r>
      <w:hyperlink r:id="rId1" w:tooltip="Department of Finance Website" w:history="1">
        <w:r w:rsidRPr="00043C13">
          <w:rPr>
            <w:rStyle w:val="Hyperlink"/>
            <w:rFonts w:ascii="TheSans-Plain" w:hAnsi="TheSans-Plain"/>
            <w:sz w:val="18"/>
            <w:szCs w:val="18"/>
          </w:rPr>
          <w:t>http://www.finance.gov.au/publications/2006-e-government-strategy/</w:t>
        </w:r>
      </w:hyperlink>
      <w:r w:rsidRPr="00A37B89">
        <w:rPr>
          <w:sz w:val="18"/>
          <w:szCs w:val="18"/>
        </w:rPr>
        <w:t>.</w:t>
      </w:r>
    </w:p>
  </w:footnote>
  <w:footnote w:id="2">
    <w:p w14:paraId="227E39AC" w14:textId="77777777" w:rsidR="00AE7A40" w:rsidRDefault="00AE7A40" w:rsidP="00C3702B">
      <w:pPr>
        <w:pStyle w:val="FootnoteText"/>
      </w:pPr>
      <w:r w:rsidRPr="00DD29A2">
        <w:rPr>
          <w:rStyle w:val="FootnoteReference"/>
          <w:rFonts w:ascii="TheSans-Plain" w:hAnsi="TheSans-Plain"/>
          <w:sz w:val="18"/>
          <w:szCs w:val="18"/>
        </w:rPr>
        <w:footnoteRef/>
      </w:r>
      <w:r>
        <w:tab/>
      </w:r>
      <w:r w:rsidRPr="00DD29A2">
        <w:t>Systems Development Life Cycle (SDLC) – see industry standards: AS/NZS 15288 – System Life Cycle Processes Standard, or ISO/IEC 15288 – System Life Cycle Processes Standard</w:t>
      </w:r>
    </w:p>
  </w:footnote>
  <w:footnote w:id="3">
    <w:p w14:paraId="5F774D9B" w14:textId="76B936FA" w:rsidR="00AE7A40" w:rsidRDefault="00AE7A40" w:rsidP="00C3702B">
      <w:pPr>
        <w:pStyle w:val="FootnoteText"/>
      </w:pPr>
      <w:r w:rsidRPr="00DD29A2">
        <w:rPr>
          <w:rStyle w:val="FootnoteReference"/>
          <w:rFonts w:ascii="TheSans-Plain" w:hAnsi="TheSans-Plain" w:cs="Arial"/>
          <w:sz w:val="18"/>
          <w:szCs w:val="18"/>
        </w:rPr>
        <w:footnoteRef/>
      </w:r>
      <w:r>
        <w:tab/>
      </w:r>
      <w:r w:rsidRPr="00DD29A2">
        <w:t>Australian Government I</w:t>
      </w:r>
      <w:r>
        <w:t>nformation</w:t>
      </w:r>
      <w:r w:rsidRPr="00DD29A2">
        <w:t xml:space="preserve"> Security Manual </w:t>
      </w:r>
      <w:r>
        <w:t xml:space="preserve">is </w:t>
      </w:r>
      <w:r w:rsidRPr="00DD29A2">
        <w:t xml:space="preserve">located at </w:t>
      </w:r>
      <w:r w:rsidRPr="005B59AA">
        <w:t>http://www.asd.gov.au/infosec/ism/index.htm</w:t>
      </w:r>
      <w:r w:rsidRPr="00DD29A2">
        <w:t xml:space="preserve">. </w:t>
      </w:r>
    </w:p>
  </w:footnote>
  <w:footnote w:id="4">
    <w:p w14:paraId="7EE91024" w14:textId="6528E4C9" w:rsidR="00AE7A40" w:rsidRDefault="00AE7A40" w:rsidP="00C3702B">
      <w:pPr>
        <w:pStyle w:val="FootnoteText"/>
      </w:pPr>
      <w:r w:rsidRPr="00DD29A2">
        <w:rPr>
          <w:rStyle w:val="FootnoteReference"/>
          <w:rFonts w:ascii="TheSans-Plain" w:hAnsi="TheSans-Plain" w:cs="Arial"/>
          <w:sz w:val="18"/>
          <w:szCs w:val="18"/>
        </w:rPr>
        <w:footnoteRef/>
      </w:r>
      <w:r>
        <w:tab/>
      </w:r>
      <w:r w:rsidRPr="00DD29A2">
        <w:t xml:space="preserve">Australian Government </w:t>
      </w:r>
      <w:r>
        <w:rPr>
          <w:lang w:val="en-US"/>
        </w:rPr>
        <w:t xml:space="preserve">Protective Security Policy Framework </w:t>
      </w:r>
      <w:r w:rsidRPr="00DD29A2">
        <w:rPr>
          <w:lang w:val="en-US"/>
        </w:rPr>
        <w:t>is</w:t>
      </w:r>
      <w:r>
        <w:rPr>
          <w:lang w:val="en-US"/>
        </w:rPr>
        <w:t xml:space="preserve"> </w:t>
      </w:r>
      <w:r w:rsidRPr="00DD29A2">
        <w:rPr>
          <w:lang w:val="en-US"/>
        </w:rPr>
        <w:t xml:space="preserve">located at </w:t>
      </w:r>
      <w:r w:rsidRPr="005B59AA">
        <w:rPr>
          <w:lang w:val="en-US"/>
        </w:rPr>
        <w:t>https://www.protectivesecurity.gov.au/Pages/default.aspx</w:t>
      </w:r>
    </w:p>
  </w:footnote>
  <w:footnote w:id="5">
    <w:p w14:paraId="4E1D374E" w14:textId="77777777" w:rsidR="00AE7A40" w:rsidRDefault="00AE7A40" w:rsidP="00C3702B">
      <w:pPr>
        <w:pStyle w:val="FootnoteText"/>
      </w:pPr>
      <w:r w:rsidRPr="00DD29A2">
        <w:rPr>
          <w:rStyle w:val="FootnoteReference"/>
          <w:rFonts w:ascii="TheSans-Plain" w:hAnsi="TheSans-Plain" w:cs="Arial"/>
          <w:sz w:val="18"/>
          <w:szCs w:val="18"/>
        </w:rPr>
        <w:footnoteRef/>
      </w:r>
      <w:r>
        <w:tab/>
      </w:r>
      <w:r w:rsidRPr="00DD29A2">
        <w:t>The Gatekeeper PKI Framework defines non repudiation as: “Evidence, verifiable by a third party that a Transaction has been sent/authorised by the purported sender.”</w:t>
      </w:r>
    </w:p>
  </w:footnote>
  <w:footnote w:id="6">
    <w:p w14:paraId="51DF797C" w14:textId="77777777" w:rsidR="00AE7A40" w:rsidRDefault="00AE7A40" w:rsidP="00B351D4">
      <w:pPr>
        <w:pStyle w:val="FootnoteText"/>
      </w:pPr>
      <w:r w:rsidRPr="00DD29A2">
        <w:rPr>
          <w:rStyle w:val="FootnoteReference"/>
          <w:rFonts w:ascii="TheSans-Plain" w:hAnsi="TheSans-Plain" w:cs="Arial"/>
          <w:sz w:val="18"/>
          <w:szCs w:val="18"/>
        </w:rPr>
        <w:footnoteRef/>
      </w:r>
      <w:r>
        <w:tab/>
      </w:r>
      <w:r w:rsidRPr="00DD29A2">
        <w:t>The amounts to be considered are suggested as: Minimal &lt;$50; Minor $50 to &lt;$200; Significant $200-&lt;$2000; and Substantial ≥ $2,000. These figures are guidelines only based on impact on an “average” individual. Where the client is known to be a corporation of other similar entity, these figures would need to be adjusted upward. If multiple clients will suffer the loss, the impact level should be adjusted accordingly to reflect the total losses to clients.</w:t>
      </w:r>
    </w:p>
  </w:footnote>
  <w:footnote w:id="7">
    <w:p w14:paraId="05447533" w14:textId="77777777" w:rsidR="00AE7A40" w:rsidRDefault="00AE7A40" w:rsidP="00B351D4">
      <w:pPr>
        <w:pStyle w:val="FootnoteText"/>
      </w:pPr>
      <w:r w:rsidRPr="00DD29A2">
        <w:rPr>
          <w:rStyle w:val="FootnoteReference"/>
          <w:rFonts w:ascii="TheSans-Plain" w:hAnsi="TheSans-Plain" w:cs="Arial"/>
          <w:sz w:val="18"/>
          <w:szCs w:val="18"/>
        </w:rPr>
        <w:footnoteRef/>
      </w:r>
      <w:r>
        <w:tab/>
      </w:r>
      <w:r w:rsidRPr="00DD29A2">
        <w:t>The period here may vary from agency to agency – some agencies may be able to endure a halt in business for a number of days without serious impact on the government or society. Others more directly involved in public safety and similar services would be less tolerant of outages.</w:t>
      </w:r>
    </w:p>
  </w:footnote>
  <w:footnote w:id="8">
    <w:p w14:paraId="2E50CF44" w14:textId="77777777" w:rsidR="00AE7A40" w:rsidRDefault="00AE7A40" w:rsidP="00C3702B">
      <w:pPr>
        <w:pStyle w:val="FootnoteText"/>
      </w:pPr>
      <w:r w:rsidRPr="00E06BD7">
        <w:rPr>
          <w:rStyle w:val="FootnoteReference"/>
          <w:rFonts w:ascii="TheSans-Plain" w:hAnsi="TheSans-Plain" w:cs="Arial"/>
          <w:sz w:val="18"/>
          <w:szCs w:val="18"/>
        </w:rPr>
        <w:footnoteRef/>
      </w:r>
      <w:r>
        <w:tab/>
      </w:r>
      <w:r w:rsidRPr="00E06BD7">
        <w:t>While an element of the registration process will include ensuring that the individual has the appropriate authorisation to act on behalf of another individual, the emphasis here is on ensuring the individual’s identity.</w:t>
      </w:r>
    </w:p>
  </w:footnote>
  <w:footnote w:id="9">
    <w:p w14:paraId="6D2C1DD8" w14:textId="77777777" w:rsidR="00AE7A40" w:rsidRDefault="00AE7A40" w:rsidP="00C3702B">
      <w:pPr>
        <w:pStyle w:val="FootnoteText"/>
      </w:pPr>
      <w:r w:rsidRPr="00E06BD7">
        <w:rPr>
          <w:rStyle w:val="FootnoteReference"/>
          <w:rFonts w:ascii="TheSans-Plain" w:hAnsi="TheSans-Plain" w:cs="Arial"/>
          <w:sz w:val="18"/>
          <w:szCs w:val="18"/>
        </w:rPr>
        <w:footnoteRef/>
      </w:r>
      <w:r>
        <w:tab/>
      </w:r>
      <w:r w:rsidRPr="00E06BD7">
        <w:t xml:space="preserve">Situations may arise in which an individual is unable to present the required document set due to; for example, having never applied for or been issued with defined identification documents, or having lost these, or having a cultural predisposition to not retain/carry documents. Surrogate approaches to conducting </w:t>
      </w:r>
      <w:proofErr w:type="spellStart"/>
      <w:r w:rsidRPr="00E06BD7">
        <w:t>EoI</w:t>
      </w:r>
      <w:proofErr w:type="spellEnd"/>
      <w:r w:rsidRPr="00E06BD7">
        <w:t xml:space="preserve"> will have to be devised to suit these circumstances; for example, requiring another individual who does have the requisite level of </w:t>
      </w:r>
      <w:proofErr w:type="spellStart"/>
      <w:r w:rsidRPr="00E06BD7">
        <w:t>EoI</w:t>
      </w:r>
      <w:proofErr w:type="spellEnd"/>
      <w:r w:rsidRPr="00E06BD7">
        <w:t xml:space="preserve"> documentation to vouch for the identity (or related attributes) of the applying individual.</w:t>
      </w:r>
    </w:p>
  </w:footnote>
  <w:footnote w:id="10">
    <w:p w14:paraId="5081E5DF" w14:textId="77777777" w:rsidR="00AE7A40" w:rsidRDefault="00AE7A40" w:rsidP="00C3702B">
      <w:pPr>
        <w:pStyle w:val="FootnoteText"/>
      </w:pPr>
      <w:r w:rsidRPr="00E06BD7">
        <w:rPr>
          <w:rStyle w:val="FootnoteReference"/>
          <w:rFonts w:ascii="TheSans-Plain" w:hAnsi="TheSans-Plain"/>
          <w:sz w:val="18"/>
          <w:szCs w:val="18"/>
        </w:rPr>
        <w:footnoteRef/>
      </w:r>
      <w:r>
        <w:tab/>
      </w:r>
      <w:r w:rsidRPr="00E06BD7">
        <w:t>See Australian Standard AS 4860 Knowledge Based Identity Verification for further detail.</w:t>
      </w:r>
    </w:p>
  </w:footnote>
  <w:footnote w:id="11">
    <w:p w14:paraId="225C8656" w14:textId="45D4F17A" w:rsidR="00AE7A40" w:rsidRDefault="00AE7A40" w:rsidP="00C3702B">
      <w:pPr>
        <w:pStyle w:val="FootnoteText"/>
      </w:pPr>
      <w:r w:rsidRPr="00D76EE4">
        <w:rPr>
          <w:rStyle w:val="FootnoteReference"/>
          <w:rFonts w:ascii="TheSans-Plain" w:hAnsi="TheSans-Plain"/>
          <w:sz w:val="18"/>
          <w:szCs w:val="18"/>
        </w:rPr>
        <w:footnoteRef/>
      </w:r>
      <w:r>
        <w:tab/>
      </w:r>
      <w:r w:rsidRPr="00D76EE4">
        <w:t>The GSEF is an element of the National Identity Security</w:t>
      </w:r>
      <w:r>
        <w:t xml:space="preserve"> Strategy see </w:t>
      </w:r>
      <w:hyperlink r:id="rId2" w:tooltip="Attorney-General's website" w:history="1">
        <w:r w:rsidRPr="00D76EE4">
          <w:rPr>
            <w:rStyle w:val="Hyperlink"/>
            <w:rFonts w:ascii="TheSans-Plain" w:hAnsi="TheSans-Plain"/>
            <w:sz w:val="18"/>
            <w:szCs w:val="18"/>
          </w:rPr>
          <w:t>http://www.ag.gov.au</w:t>
        </w:r>
      </w:hyperlink>
      <w:r w:rsidRPr="00D76EE4">
        <w:t xml:space="preserve">. </w:t>
      </w:r>
    </w:p>
  </w:footnote>
  <w:footnote w:id="12">
    <w:p w14:paraId="529A616A" w14:textId="77777777" w:rsidR="00AE7A40" w:rsidRDefault="00AE7A40" w:rsidP="00C3702B">
      <w:pPr>
        <w:pStyle w:val="FootnoteText"/>
      </w:pPr>
      <w:r w:rsidRPr="00D76EE4">
        <w:rPr>
          <w:rStyle w:val="FootnoteReference"/>
          <w:rFonts w:ascii="TheSans-Plain" w:hAnsi="TheSans-Plain"/>
          <w:sz w:val="18"/>
          <w:szCs w:val="18"/>
        </w:rPr>
        <w:footnoteRef/>
      </w:r>
      <w:r>
        <w:tab/>
      </w:r>
      <w:r w:rsidRPr="00D76EE4">
        <w:t>Agency discretion should apply in relation to acceptance of an “image of a document” or the original of that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91AF" w14:textId="77777777" w:rsidR="00AE7A40" w:rsidRDefault="00AE7A40">
    <w:pPr>
      <w:pStyle w:val="Header"/>
    </w:pPr>
    <w:r>
      <w:rPr>
        <w:noProof/>
        <w:lang w:eastAsia="en-AU"/>
      </w:rPr>
      <mc:AlternateContent>
        <mc:Choice Requires="wps">
          <w:drawing>
            <wp:anchor distT="0" distB="0" distL="114300" distR="114300" simplePos="0" relativeHeight="251659264" behindDoc="1" locked="0" layoutInCell="1" allowOverlap="1" wp14:anchorId="6A042795" wp14:editId="3C6F7870">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DEA23" w14:textId="719231D6" w:rsidR="00AE7A40" w:rsidRPr="00D213BD" w:rsidRDefault="00AE7A40" w:rsidP="000857D7">
    <w:pPr>
      <w:pStyle w:val="Footer"/>
      <w:rPr>
        <w:color w:val="FF0000"/>
      </w:rPr>
    </w:pPr>
    <w:r w:rsidRPr="00D213BD">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B80"/>
    <w:multiLevelType w:val="multilevel"/>
    <w:tmpl w:val="907EA042"/>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30696B37"/>
    <w:multiLevelType w:val="multilevel"/>
    <w:tmpl w:val="0D2E1A8A"/>
    <w:numStyleLink w:val="HeadingsList"/>
  </w:abstractNum>
  <w:abstractNum w:abstractNumId="3"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4"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5"/>
  </w:num>
  <w:num w:numId="2">
    <w:abstractNumId w:val="0"/>
  </w:num>
  <w:num w:numId="3">
    <w:abstractNumId w:val="1"/>
  </w:num>
  <w:num w:numId="4">
    <w:abstractNumId w:val="3"/>
  </w:num>
  <w:num w:numId="5">
    <w:abstractNumId w:val="4"/>
  </w:num>
  <w:num w:numId="6">
    <w:abstractNumId w:val="2"/>
    <w:lvlOverride w:ilvl="1">
      <w:lvl w:ilvl="1">
        <w:start w:val="1"/>
        <w:numFmt w:val="decimal"/>
        <w:lvlText w:val="%1.%2"/>
        <w:lvlJc w:val="left"/>
        <w:pPr>
          <w:ind w:left="851" w:hanging="851"/>
        </w:pPr>
        <w:rPr>
          <w:rFonts w:hint="default"/>
        </w:r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5"/>
  </w:num>
  <w:num w:numId="12">
    <w:abstractNumId w:val="5"/>
  </w:num>
  <w:num w:numId="13">
    <w:abstractNumId w:val="5"/>
  </w:num>
  <w:num w:numId="14">
    <w:abstractNumId w:val="4"/>
  </w:num>
  <w:num w:numId="15">
    <w:abstractNumId w:val="2"/>
  </w:num>
  <w:num w:numId="16">
    <w:abstractNumId w:val="2"/>
  </w:num>
  <w:num w:numId="17">
    <w:abstractNumId w:val="2"/>
  </w:num>
  <w:num w:numId="18">
    <w:abstractNumId w:val="1"/>
  </w:num>
  <w:num w:numId="19">
    <w:abstractNumId w:val="0"/>
  </w:num>
  <w:num w:numId="20">
    <w:abstractNumId w:val="0"/>
  </w:num>
  <w:num w:numId="21">
    <w:abstractNumId w:val="0"/>
  </w:num>
  <w:num w:numId="22">
    <w:abstractNumId w:val="0"/>
  </w:num>
  <w:num w:numId="23">
    <w:abstractNumId w:val="3"/>
  </w:num>
  <w:num w:numId="24">
    <w:abstractNumId w:val="5"/>
  </w:num>
  <w:num w:numId="25">
    <w:abstractNumId w:val="5"/>
  </w:num>
  <w:num w:numId="26">
    <w:abstractNumId w:val="5"/>
  </w:num>
  <w:num w:numId="27">
    <w:abstractNumId w:val="5"/>
  </w:num>
  <w:num w:numId="28">
    <w:abstractNumId w:val="5"/>
  </w:num>
  <w:num w:numId="29">
    <w:abstractNumId w:val="4"/>
  </w:num>
  <w:num w:numId="30">
    <w:abstractNumId w:val="2"/>
  </w:num>
  <w:num w:numId="31">
    <w:abstractNumId w:val="2"/>
  </w:num>
  <w:num w:numId="32">
    <w:abstractNumId w:val="2"/>
  </w:num>
  <w:num w:numId="33">
    <w:abstractNumId w:val="1"/>
  </w:num>
  <w:num w:numId="34">
    <w:abstractNumId w:val="0"/>
  </w:num>
  <w:num w:numId="35">
    <w:abstractNumId w:val="0"/>
  </w:num>
  <w:num w:numId="36">
    <w:abstractNumId w:val="0"/>
  </w:num>
  <w:num w:numId="37">
    <w:abstractNumId w:val="0"/>
  </w:num>
  <w:num w:numId="3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365F3"/>
    <w:rsid w:val="00043C13"/>
    <w:rsid w:val="000445B6"/>
    <w:rsid w:val="00053312"/>
    <w:rsid w:val="00054E4D"/>
    <w:rsid w:val="00060073"/>
    <w:rsid w:val="00061CE2"/>
    <w:rsid w:val="000857D7"/>
    <w:rsid w:val="001541EA"/>
    <w:rsid w:val="00160E61"/>
    <w:rsid w:val="00161D8C"/>
    <w:rsid w:val="001866FB"/>
    <w:rsid w:val="001902F3"/>
    <w:rsid w:val="001A2B8C"/>
    <w:rsid w:val="001A34D1"/>
    <w:rsid w:val="001A5DCF"/>
    <w:rsid w:val="001D0FAD"/>
    <w:rsid w:val="001E1DC0"/>
    <w:rsid w:val="002166E6"/>
    <w:rsid w:val="0021694A"/>
    <w:rsid w:val="00224623"/>
    <w:rsid w:val="00234B02"/>
    <w:rsid w:val="00267272"/>
    <w:rsid w:val="0028602A"/>
    <w:rsid w:val="002B0A2B"/>
    <w:rsid w:val="002F0A01"/>
    <w:rsid w:val="002F68C1"/>
    <w:rsid w:val="00301144"/>
    <w:rsid w:val="0031028A"/>
    <w:rsid w:val="003148B7"/>
    <w:rsid w:val="003158C3"/>
    <w:rsid w:val="003223C5"/>
    <w:rsid w:val="00323F15"/>
    <w:rsid w:val="0032663D"/>
    <w:rsid w:val="003274CD"/>
    <w:rsid w:val="003302F6"/>
    <w:rsid w:val="003326A8"/>
    <w:rsid w:val="003409EF"/>
    <w:rsid w:val="00341D65"/>
    <w:rsid w:val="00342163"/>
    <w:rsid w:val="0035119D"/>
    <w:rsid w:val="0035493A"/>
    <w:rsid w:val="00367921"/>
    <w:rsid w:val="00383CF9"/>
    <w:rsid w:val="003859F5"/>
    <w:rsid w:val="003B4F12"/>
    <w:rsid w:val="003D72AF"/>
    <w:rsid w:val="00415759"/>
    <w:rsid w:val="00423F31"/>
    <w:rsid w:val="0044186A"/>
    <w:rsid w:val="00442F2E"/>
    <w:rsid w:val="00470C0E"/>
    <w:rsid w:val="00492ACE"/>
    <w:rsid w:val="004B3775"/>
    <w:rsid w:val="004E058F"/>
    <w:rsid w:val="004E3B87"/>
    <w:rsid w:val="00510921"/>
    <w:rsid w:val="00510AD3"/>
    <w:rsid w:val="00513348"/>
    <w:rsid w:val="00531E05"/>
    <w:rsid w:val="00533B5D"/>
    <w:rsid w:val="00537531"/>
    <w:rsid w:val="00593504"/>
    <w:rsid w:val="005B59AA"/>
    <w:rsid w:val="005D1E24"/>
    <w:rsid w:val="005D595D"/>
    <w:rsid w:val="00611D41"/>
    <w:rsid w:val="00623BA1"/>
    <w:rsid w:val="006346BC"/>
    <w:rsid w:val="00640505"/>
    <w:rsid w:val="0066652A"/>
    <w:rsid w:val="00682167"/>
    <w:rsid w:val="006C06D0"/>
    <w:rsid w:val="006C42AF"/>
    <w:rsid w:val="00711D8E"/>
    <w:rsid w:val="00712672"/>
    <w:rsid w:val="007136E2"/>
    <w:rsid w:val="00734E3F"/>
    <w:rsid w:val="00736985"/>
    <w:rsid w:val="0075026E"/>
    <w:rsid w:val="007917C1"/>
    <w:rsid w:val="00793E98"/>
    <w:rsid w:val="007B6200"/>
    <w:rsid w:val="00801B9F"/>
    <w:rsid w:val="008513AB"/>
    <w:rsid w:val="00863E3B"/>
    <w:rsid w:val="0088335C"/>
    <w:rsid w:val="00883A8F"/>
    <w:rsid w:val="008963A9"/>
    <w:rsid w:val="00896427"/>
    <w:rsid w:val="008B6F39"/>
    <w:rsid w:val="008F08A4"/>
    <w:rsid w:val="00916616"/>
    <w:rsid w:val="00933C42"/>
    <w:rsid w:val="009777FA"/>
    <w:rsid w:val="009B4D3B"/>
    <w:rsid w:val="009B5138"/>
    <w:rsid w:val="009D7407"/>
    <w:rsid w:val="009E0866"/>
    <w:rsid w:val="009F6E04"/>
    <w:rsid w:val="00A00A3E"/>
    <w:rsid w:val="00A24A62"/>
    <w:rsid w:val="00A31C9F"/>
    <w:rsid w:val="00A467B5"/>
    <w:rsid w:val="00A64169"/>
    <w:rsid w:val="00A70754"/>
    <w:rsid w:val="00A86921"/>
    <w:rsid w:val="00A96735"/>
    <w:rsid w:val="00AC164A"/>
    <w:rsid w:val="00AE7A40"/>
    <w:rsid w:val="00AF2050"/>
    <w:rsid w:val="00B23A40"/>
    <w:rsid w:val="00B351D4"/>
    <w:rsid w:val="00B41473"/>
    <w:rsid w:val="00B91B23"/>
    <w:rsid w:val="00BB26C5"/>
    <w:rsid w:val="00BE178F"/>
    <w:rsid w:val="00BF4DE6"/>
    <w:rsid w:val="00C13C69"/>
    <w:rsid w:val="00C3702B"/>
    <w:rsid w:val="00C42CDE"/>
    <w:rsid w:val="00C52270"/>
    <w:rsid w:val="00C54AD7"/>
    <w:rsid w:val="00C6518F"/>
    <w:rsid w:val="00C6699F"/>
    <w:rsid w:val="00C87032"/>
    <w:rsid w:val="00CA37B1"/>
    <w:rsid w:val="00CB1959"/>
    <w:rsid w:val="00CF26F0"/>
    <w:rsid w:val="00D0296C"/>
    <w:rsid w:val="00D05D05"/>
    <w:rsid w:val="00D1227A"/>
    <w:rsid w:val="00D213BD"/>
    <w:rsid w:val="00D23DFF"/>
    <w:rsid w:val="00D3101B"/>
    <w:rsid w:val="00D43351"/>
    <w:rsid w:val="00D47EF7"/>
    <w:rsid w:val="00D713EA"/>
    <w:rsid w:val="00D7601B"/>
    <w:rsid w:val="00D91B18"/>
    <w:rsid w:val="00DA4E3D"/>
    <w:rsid w:val="00DD4B64"/>
    <w:rsid w:val="00DE10AB"/>
    <w:rsid w:val="00E53800"/>
    <w:rsid w:val="00E6081F"/>
    <w:rsid w:val="00E60D09"/>
    <w:rsid w:val="00E659D6"/>
    <w:rsid w:val="00E73112"/>
    <w:rsid w:val="00E73D3F"/>
    <w:rsid w:val="00E84858"/>
    <w:rsid w:val="00EA04B2"/>
    <w:rsid w:val="00EA20F3"/>
    <w:rsid w:val="00EA66C1"/>
    <w:rsid w:val="00EB4F4B"/>
    <w:rsid w:val="00ED43D1"/>
    <w:rsid w:val="00ED54DD"/>
    <w:rsid w:val="00ED6587"/>
    <w:rsid w:val="00EE4EE1"/>
    <w:rsid w:val="00EE720E"/>
    <w:rsid w:val="00EF4574"/>
    <w:rsid w:val="00F02788"/>
    <w:rsid w:val="00F14483"/>
    <w:rsid w:val="00F2684E"/>
    <w:rsid w:val="00F415A3"/>
    <w:rsid w:val="00F729EF"/>
    <w:rsid w:val="00F7515E"/>
    <w:rsid w:val="00F96194"/>
    <w:rsid w:val="00F96BB9"/>
    <w:rsid w:val="00FB22A3"/>
    <w:rsid w:val="00FE6D51"/>
    <w:rsid w:val="00FF21DD"/>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BB450DB"/>
  <w15:docId w15:val="{6A37D3B9-8463-4D14-8AF1-9CD612D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C0E"/>
    <w:pPr>
      <w:suppressAutoHyphens/>
      <w:spacing w:before="240" w:line="240" w:lineRule="atLeast"/>
    </w:pPr>
    <w:rPr>
      <w:sz w:val="20"/>
    </w:rPr>
  </w:style>
  <w:style w:type="paragraph" w:styleId="Heading1">
    <w:name w:val="heading 1"/>
    <w:basedOn w:val="Normal"/>
    <w:next w:val="Normal"/>
    <w:link w:val="Heading1Char"/>
    <w:uiPriority w:val="9"/>
    <w:qFormat/>
    <w:rsid w:val="00470C0E"/>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470C0E"/>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470C0E"/>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70C0E"/>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470C0E"/>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470C0E"/>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470C0E"/>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470C0E"/>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470C0E"/>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0E"/>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470C0E"/>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470C0E"/>
    <w:rPr>
      <w:rFonts w:asciiTheme="majorHAnsi" w:eastAsiaTheme="majorEastAsia" w:hAnsiTheme="majorHAnsi" w:cstheme="majorBidi"/>
      <w:b/>
      <w:bCs/>
      <w:sz w:val="28"/>
    </w:rPr>
  </w:style>
  <w:style w:type="paragraph" w:customStyle="1" w:styleId="NormalIndented">
    <w:name w:val="Normal Indented"/>
    <w:basedOn w:val="Normal"/>
    <w:qFormat/>
    <w:rsid w:val="00470C0E"/>
    <w:pPr>
      <w:ind w:left="284"/>
    </w:pPr>
  </w:style>
  <w:style w:type="paragraph" w:styleId="Title">
    <w:name w:val="Title"/>
    <w:basedOn w:val="Normal"/>
    <w:next w:val="Normal"/>
    <w:link w:val="TitleChar"/>
    <w:uiPriority w:val="10"/>
    <w:qFormat/>
    <w:rsid w:val="00470C0E"/>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470C0E"/>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470C0E"/>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470C0E"/>
    <w:rPr>
      <w:rFonts w:eastAsiaTheme="majorEastAsia" w:cstheme="majorBidi"/>
      <w:iCs/>
      <w:color w:val="FFFFFF" w:themeColor="background1"/>
      <w:sz w:val="52"/>
      <w:szCs w:val="24"/>
    </w:rPr>
  </w:style>
  <w:style w:type="paragraph" w:customStyle="1" w:styleId="Bullet1">
    <w:name w:val="Bullet 1"/>
    <w:basedOn w:val="Normal"/>
    <w:qFormat/>
    <w:rsid w:val="00470C0E"/>
    <w:pPr>
      <w:numPr>
        <w:numId w:val="28"/>
      </w:numPr>
      <w:spacing w:before="120"/>
    </w:pPr>
  </w:style>
  <w:style w:type="paragraph" w:customStyle="1" w:styleId="Bullet2">
    <w:name w:val="Bullet 2"/>
    <w:basedOn w:val="Normal"/>
    <w:qFormat/>
    <w:rsid w:val="00470C0E"/>
    <w:pPr>
      <w:numPr>
        <w:ilvl w:val="1"/>
        <w:numId w:val="28"/>
      </w:numPr>
      <w:spacing w:before="120"/>
    </w:pPr>
  </w:style>
  <w:style w:type="paragraph" w:customStyle="1" w:styleId="Bullet3">
    <w:name w:val="Bullet 3"/>
    <w:basedOn w:val="Normal"/>
    <w:qFormat/>
    <w:rsid w:val="00470C0E"/>
    <w:pPr>
      <w:keepNext/>
      <w:numPr>
        <w:ilvl w:val="2"/>
        <w:numId w:val="28"/>
      </w:numPr>
      <w:spacing w:before="120"/>
    </w:pPr>
  </w:style>
  <w:style w:type="paragraph" w:customStyle="1" w:styleId="NumberedList1">
    <w:name w:val="Numbered List 1"/>
    <w:basedOn w:val="Normal"/>
    <w:qFormat/>
    <w:rsid w:val="00470C0E"/>
    <w:pPr>
      <w:numPr>
        <w:numId w:val="37"/>
      </w:numPr>
      <w:spacing w:before="120"/>
    </w:pPr>
  </w:style>
  <w:style w:type="paragraph" w:customStyle="1" w:styleId="NumberedList2">
    <w:name w:val="Numbered List 2"/>
    <w:basedOn w:val="NumberedList1"/>
    <w:qFormat/>
    <w:rsid w:val="00470C0E"/>
    <w:pPr>
      <w:numPr>
        <w:ilvl w:val="1"/>
      </w:numPr>
    </w:pPr>
  </w:style>
  <w:style w:type="paragraph" w:customStyle="1" w:styleId="NumberedList3">
    <w:name w:val="Numbered List 3"/>
    <w:basedOn w:val="Normal"/>
    <w:qFormat/>
    <w:rsid w:val="00470C0E"/>
    <w:pPr>
      <w:numPr>
        <w:ilvl w:val="2"/>
        <w:numId w:val="37"/>
      </w:numPr>
      <w:spacing w:before="120"/>
    </w:pPr>
  </w:style>
  <w:style w:type="paragraph" w:customStyle="1" w:styleId="Heading1Numbered">
    <w:name w:val="Heading 1 Numbered"/>
    <w:basedOn w:val="Heading1"/>
    <w:next w:val="Normal"/>
    <w:qFormat/>
    <w:rsid w:val="00470C0E"/>
    <w:pPr>
      <w:numPr>
        <w:numId w:val="33"/>
      </w:numPr>
    </w:pPr>
  </w:style>
  <w:style w:type="paragraph" w:customStyle="1" w:styleId="Heading2Numbered">
    <w:name w:val="Heading 2 Numbered"/>
    <w:basedOn w:val="Heading2"/>
    <w:next w:val="Normal"/>
    <w:qFormat/>
    <w:rsid w:val="00470C0E"/>
    <w:pPr>
      <w:numPr>
        <w:ilvl w:val="1"/>
        <w:numId w:val="33"/>
      </w:numPr>
    </w:pPr>
  </w:style>
  <w:style w:type="paragraph" w:customStyle="1" w:styleId="Heading3Numbered">
    <w:name w:val="Heading 3 Numbered"/>
    <w:basedOn w:val="Heading3"/>
    <w:next w:val="Normal"/>
    <w:qFormat/>
    <w:rsid w:val="00470C0E"/>
    <w:pPr>
      <w:numPr>
        <w:ilvl w:val="2"/>
        <w:numId w:val="33"/>
      </w:numPr>
    </w:pPr>
  </w:style>
  <w:style w:type="numbering" w:customStyle="1" w:styleId="BulletsList">
    <w:name w:val="Bullets List"/>
    <w:uiPriority w:val="99"/>
    <w:rsid w:val="00470C0E"/>
    <w:pPr>
      <w:numPr>
        <w:numId w:val="1"/>
      </w:numPr>
    </w:pPr>
  </w:style>
  <w:style w:type="numbering" w:customStyle="1" w:styleId="Numberedlist">
    <w:name w:val="Numbered list"/>
    <w:uiPriority w:val="99"/>
    <w:rsid w:val="00470C0E"/>
    <w:pPr>
      <w:numPr>
        <w:numId w:val="2"/>
      </w:numPr>
    </w:pPr>
  </w:style>
  <w:style w:type="numbering" w:customStyle="1" w:styleId="HeadingsList">
    <w:name w:val="Headings List"/>
    <w:uiPriority w:val="99"/>
    <w:rsid w:val="00470C0E"/>
    <w:pPr>
      <w:numPr>
        <w:numId w:val="3"/>
      </w:numPr>
    </w:pPr>
  </w:style>
  <w:style w:type="table" w:styleId="PlainTable2">
    <w:name w:val="Plain Table 2"/>
    <w:basedOn w:val="TableNormal"/>
    <w:uiPriority w:val="42"/>
    <w:rsid w:val="00470C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470C0E"/>
    <w:pPr>
      <w:pageBreakBefore w:val="0"/>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470C0E"/>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470C0E"/>
    <w:pPr>
      <w:tabs>
        <w:tab w:val="right" w:leader="dot" w:pos="9060"/>
      </w:tabs>
      <w:ind w:right="454"/>
    </w:pPr>
    <w:rPr>
      <w:b/>
    </w:rPr>
  </w:style>
  <w:style w:type="paragraph" w:styleId="TOC2">
    <w:name w:val="toc 2"/>
    <w:basedOn w:val="Normal"/>
    <w:next w:val="Normal"/>
    <w:autoRedefine/>
    <w:uiPriority w:val="39"/>
    <w:unhideWhenUsed/>
    <w:rsid w:val="00470C0E"/>
    <w:pPr>
      <w:tabs>
        <w:tab w:val="left" w:pos="880"/>
        <w:tab w:val="right" w:leader="dot" w:pos="9060"/>
      </w:tabs>
      <w:spacing w:before="0"/>
      <w:ind w:left="199" w:right="454"/>
    </w:pPr>
  </w:style>
  <w:style w:type="paragraph" w:styleId="TOC3">
    <w:name w:val="toc 3"/>
    <w:basedOn w:val="Normal"/>
    <w:next w:val="Normal"/>
    <w:autoRedefine/>
    <w:unhideWhenUsed/>
    <w:rsid w:val="00470C0E"/>
    <w:pPr>
      <w:ind w:left="400"/>
    </w:pPr>
  </w:style>
  <w:style w:type="paragraph" w:styleId="Header">
    <w:name w:val="header"/>
    <w:basedOn w:val="Normal"/>
    <w:link w:val="HeaderChar"/>
    <w:unhideWhenUsed/>
    <w:rsid w:val="00470C0E"/>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470C0E"/>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470C0E"/>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470C0E"/>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470C0E"/>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470C0E"/>
    <w:pPr>
      <w:numPr>
        <w:numId w:val="4"/>
      </w:numPr>
    </w:pPr>
  </w:style>
  <w:style w:type="paragraph" w:styleId="TOC8">
    <w:name w:val="toc 8"/>
    <w:basedOn w:val="Normal"/>
    <w:next w:val="Normal"/>
    <w:autoRedefine/>
    <w:uiPriority w:val="39"/>
    <w:unhideWhenUsed/>
    <w:rsid w:val="00470C0E"/>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470C0E"/>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470C0E"/>
    <w:pPr>
      <w:spacing w:after="0"/>
      <w:ind w:left="907" w:hanging="907"/>
    </w:pPr>
  </w:style>
  <w:style w:type="paragraph" w:customStyle="1" w:styleId="BoxText">
    <w:name w:val="Box Text"/>
    <w:basedOn w:val="Normal"/>
    <w:qFormat/>
    <w:rsid w:val="00470C0E"/>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470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70C0E"/>
    <w:rPr>
      <w:sz w:val="16"/>
    </w:rPr>
  </w:style>
  <w:style w:type="numbering" w:customStyle="1" w:styleId="FigureTitles">
    <w:name w:val="Figure Titles"/>
    <w:uiPriority w:val="99"/>
    <w:rsid w:val="00470C0E"/>
    <w:pPr>
      <w:numPr>
        <w:numId w:val="5"/>
      </w:numPr>
    </w:pPr>
  </w:style>
  <w:style w:type="character" w:styleId="Hyperlink">
    <w:name w:val="Hyperlink"/>
    <w:basedOn w:val="DefaultParagraphFont"/>
    <w:uiPriority w:val="99"/>
    <w:rsid w:val="00470C0E"/>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470C0E"/>
    <w:rPr>
      <w:b/>
      <w:i/>
      <w:iCs/>
      <w:color w:val="auto"/>
    </w:rPr>
  </w:style>
  <w:style w:type="character" w:styleId="Strong">
    <w:name w:val="Strong"/>
    <w:basedOn w:val="DefaultParagraphFont"/>
    <w:uiPriority w:val="22"/>
    <w:qFormat/>
    <w:rsid w:val="00470C0E"/>
    <w:rPr>
      <w:b/>
      <w:bCs/>
    </w:rPr>
  </w:style>
  <w:style w:type="character" w:styleId="Emphasis">
    <w:name w:val="Emphasis"/>
    <w:basedOn w:val="DefaultParagraphFont"/>
    <w:uiPriority w:val="20"/>
    <w:qFormat/>
    <w:rsid w:val="00470C0E"/>
    <w:rPr>
      <w:i/>
      <w:iCs/>
    </w:rPr>
  </w:style>
  <w:style w:type="character" w:customStyle="1" w:styleId="Heading5Char">
    <w:name w:val="Heading 5 Char"/>
    <w:basedOn w:val="DefaultParagraphFont"/>
    <w:link w:val="Heading5"/>
    <w:uiPriority w:val="9"/>
    <w:semiHidden/>
    <w:rsid w:val="00470C0E"/>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470C0E"/>
    <w:pPr>
      <w:keepNext/>
      <w:spacing w:before="360" w:after="240"/>
      <w:contextualSpacing/>
      <w:jc w:val="center"/>
    </w:pPr>
    <w:rPr>
      <w:b/>
      <w:iCs/>
      <w:color w:val="000000" w:themeColor="text1"/>
      <w:szCs w:val="18"/>
    </w:rPr>
  </w:style>
  <w:style w:type="paragraph" w:styleId="Footer">
    <w:name w:val="footer"/>
    <w:basedOn w:val="Normal"/>
    <w:link w:val="FooterChar"/>
    <w:uiPriority w:val="99"/>
    <w:unhideWhenUsed/>
    <w:rsid w:val="00470C0E"/>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470C0E"/>
    <w:rPr>
      <w:sz w:val="16"/>
    </w:rPr>
  </w:style>
  <w:style w:type="paragraph" w:customStyle="1" w:styleId="SubtitleDate">
    <w:name w:val="Subtitle Date"/>
    <w:basedOn w:val="Normal"/>
    <w:qFormat/>
    <w:rsid w:val="00470C0E"/>
    <w:rPr>
      <w:b/>
      <w:color w:val="FFFFFF" w:themeColor="background1"/>
      <w:sz w:val="32"/>
    </w:rPr>
  </w:style>
  <w:style w:type="paragraph" w:customStyle="1" w:styleId="Heading1notinTOC">
    <w:name w:val="Heading 1 not in TOC"/>
    <w:basedOn w:val="Heading1"/>
    <w:qFormat/>
    <w:rsid w:val="00470C0E"/>
  </w:style>
  <w:style w:type="paragraph" w:styleId="EndnoteText">
    <w:name w:val="endnote text"/>
    <w:basedOn w:val="Normal"/>
    <w:link w:val="EndnoteTextChar"/>
    <w:uiPriority w:val="99"/>
    <w:semiHidden/>
    <w:unhideWhenUsed/>
    <w:rsid w:val="00470C0E"/>
    <w:pPr>
      <w:spacing w:before="0" w:after="0" w:line="240" w:lineRule="auto"/>
    </w:pPr>
    <w:rPr>
      <w:szCs w:val="20"/>
    </w:rPr>
  </w:style>
  <w:style w:type="character" w:customStyle="1" w:styleId="EndnoteTextChar">
    <w:name w:val="Endnote Text Char"/>
    <w:basedOn w:val="DefaultParagraphFont"/>
    <w:link w:val="EndnoteText"/>
    <w:uiPriority w:val="99"/>
    <w:semiHidden/>
    <w:rsid w:val="00470C0E"/>
    <w:rPr>
      <w:sz w:val="20"/>
      <w:szCs w:val="20"/>
    </w:rPr>
  </w:style>
  <w:style w:type="character" w:styleId="EndnoteReference">
    <w:name w:val="endnote reference"/>
    <w:basedOn w:val="DefaultParagraphFont"/>
    <w:uiPriority w:val="99"/>
    <w:semiHidden/>
    <w:unhideWhenUsed/>
    <w:rsid w:val="00470C0E"/>
    <w:rPr>
      <w:vertAlign w:val="superscript"/>
    </w:rPr>
  </w:style>
  <w:style w:type="paragraph" w:styleId="FootnoteText">
    <w:name w:val="footnote text"/>
    <w:basedOn w:val="Normal"/>
    <w:link w:val="FootnoteTextChar"/>
    <w:uiPriority w:val="99"/>
    <w:unhideWhenUsed/>
    <w:qFormat/>
    <w:rsid w:val="00470C0E"/>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470C0E"/>
    <w:rPr>
      <w:sz w:val="16"/>
      <w:szCs w:val="20"/>
    </w:rPr>
  </w:style>
  <w:style w:type="character" w:styleId="FootnoteReference">
    <w:name w:val="footnote reference"/>
    <w:basedOn w:val="DefaultParagraphFont"/>
    <w:uiPriority w:val="99"/>
    <w:unhideWhenUsed/>
    <w:rsid w:val="00470C0E"/>
    <w:rPr>
      <w:vertAlign w:val="superscript"/>
    </w:rPr>
  </w:style>
  <w:style w:type="character" w:styleId="PageNumber">
    <w:name w:val="page number"/>
    <w:basedOn w:val="DefaultParagraphFont"/>
    <w:unhideWhenUsed/>
    <w:rsid w:val="00470C0E"/>
  </w:style>
  <w:style w:type="character" w:customStyle="1" w:styleId="Heading6Char">
    <w:name w:val="Heading 6 Char"/>
    <w:basedOn w:val="DefaultParagraphFont"/>
    <w:link w:val="Heading6"/>
    <w:uiPriority w:val="9"/>
    <w:semiHidden/>
    <w:rsid w:val="00470C0E"/>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470C0E"/>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470C0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70C0E"/>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470C0E"/>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470C0E"/>
    <w:rPr>
      <w:rFonts w:ascii="Tahoma" w:eastAsia="Times New Roman" w:hAnsi="Tahoma" w:cs="Tahoma"/>
      <w:sz w:val="16"/>
      <w:szCs w:val="16"/>
      <w:lang w:val="en-GB"/>
    </w:rPr>
  </w:style>
  <w:style w:type="paragraph" w:customStyle="1" w:styleId="BoxBullet1">
    <w:name w:val="Box Bullet 1"/>
    <w:basedOn w:val="Bullet1"/>
    <w:qFormat/>
    <w:rsid w:val="00470C0E"/>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470C0E"/>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470C0E"/>
    <w:pPr>
      <w:spacing w:before="120" w:after="180"/>
    </w:pPr>
    <w:rPr>
      <w:szCs w:val="20"/>
    </w:rPr>
  </w:style>
  <w:style w:type="paragraph" w:styleId="NormalIndent">
    <w:name w:val="Normal Indent"/>
    <w:basedOn w:val="Normal"/>
    <w:uiPriority w:val="99"/>
    <w:unhideWhenUsed/>
    <w:rsid w:val="00470C0E"/>
    <w:pPr>
      <w:ind w:left="720"/>
    </w:pPr>
  </w:style>
  <w:style w:type="paragraph" w:customStyle="1" w:styleId="FooterLandscape">
    <w:name w:val="Footer Landscape"/>
    <w:basedOn w:val="Footer"/>
    <w:qFormat/>
    <w:rsid w:val="00470C0E"/>
    <w:pPr>
      <w:tabs>
        <w:tab w:val="clear" w:pos="9072"/>
        <w:tab w:val="right" w:pos="14288"/>
      </w:tabs>
    </w:pPr>
  </w:style>
  <w:style w:type="character" w:styleId="FollowedHyperlink">
    <w:name w:val="FollowedHyperlink"/>
    <w:rsid w:val="00470C0E"/>
    <w:rPr>
      <w:color w:val="800080"/>
      <w:u w:val="single"/>
    </w:rPr>
  </w:style>
  <w:style w:type="paragraph" w:styleId="ListParagraph">
    <w:name w:val="List Paragraph"/>
    <w:basedOn w:val="Normal"/>
    <w:uiPriority w:val="34"/>
    <w:qFormat/>
    <w:rsid w:val="00470C0E"/>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470C0E"/>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470C0E"/>
    <w:rPr>
      <w:i/>
      <w:iCs/>
    </w:rPr>
  </w:style>
  <w:style w:type="paragraph" w:styleId="CommentText">
    <w:name w:val="annotation text"/>
    <w:basedOn w:val="Normal"/>
    <w:link w:val="CommentTextChar"/>
    <w:uiPriority w:val="99"/>
    <w:semiHidden/>
    <w:unhideWhenUsed/>
    <w:rsid w:val="00470C0E"/>
    <w:pPr>
      <w:spacing w:line="240" w:lineRule="auto"/>
    </w:pPr>
    <w:rPr>
      <w:szCs w:val="20"/>
    </w:rPr>
  </w:style>
  <w:style w:type="character" w:customStyle="1" w:styleId="CommentTextChar">
    <w:name w:val="Comment Text Char"/>
    <w:basedOn w:val="DefaultParagraphFont"/>
    <w:link w:val="CommentText"/>
    <w:uiPriority w:val="99"/>
    <w:semiHidden/>
    <w:rsid w:val="00470C0E"/>
    <w:rPr>
      <w:sz w:val="20"/>
      <w:szCs w:val="20"/>
    </w:rPr>
  </w:style>
  <w:style w:type="paragraph" w:customStyle="1" w:styleId="bodytext">
    <w:name w:val="bodytext"/>
    <w:basedOn w:val="Normal"/>
    <w:uiPriority w:val="99"/>
    <w:rsid w:val="00A70754"/>
    <w:pPr>
      <w:keepLines/>
      <w:suppressAutoHyphens w:val="0"/>
      <w:spacing w:line="240" w:lineRule="auto"/>
      <w:ind w:left="851"/>
    </w:pPr>
    <w:rPr>
      <w:rFonts w:ascii="Arial" w:eastAsia="MS Mincho" w:hAnsi="Arial" w:cs="Times New Roman"/>
      <w:szCs w:val="24"/>
    </w:rPr>
  </w:style>
  <w:style w:type="paragraph" w:styleId="Revision">
    <w:name w:val="Revision"/>
    <w:hidden/>
    <w:uiPriority w:val="99"/>
    <w:semiHidden/>
    <w:rsid w:val="00D713EA"/>
    <w:pPr>
      <w:spacing w:after="0" w:line="240" w:lineRule="auto"/>
    </w:pPr>
    <w:rPr>
      <w:sz w:val="20"/>
    </w:rPr>
  </w:style>
  <w:style w:type="character" w:styleId="CommentReference">
    <w:name w:val="annotation reference"/>
    <w:basedOn w:val="DefaultParagraphFont"/>
    <w:uiPriority w:val="99"/>
    <w:semiHidden/>
    <w:unhideWhenUsed/>
    <w:rsid w:val="00470C0E"/>
    <w:rPr>
      <w:sz w:val="16"/>
      <w:szCs w:val="16"/>
    </w:rPr>
  </w:style>
  <w:style w:type="paragraph" w:styleId="CommentSubject">
    <w:name w:val="annotation subject"/>
    <w:basedOn w:val="CommentText"/>
    <w:next w:val="CommentText"/>
    <w:link w:val="CommentSubjectChar"/>
    <w:uiPriority w:val="99"/>
    <w:semiHidden/>
    <w:unhideWhenUsed/>
    <w:rsid w:val="00470C0E"/>
    <w:rPr>
      <w:b/>
      <w:bCs/>
    </w:rPr>
  </w:style>
  <w:style w:type="character" w:customStyle="1" w:styleId="CommentSubjectChar">
    <w:name w:val="Comment Subject Char"/>
    <w:basedOn w:val="CommentTextChar"/>
    <w:link w:val="CommentSubject"/>
    <w:uiPriority w:val="99"/>
    <w:semiHidden/>
    <w:rsid w:val="00470C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oasis-open.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oasis-open.org/committees/tc_home.php?wg_abbrev=security"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ietf.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sd.gov.au/infosec/evaluation_services/epl/epl.html" TargetMode="External"/><Relationship Id="rId20" Type="http://schemas.openxmlformats.org/officeDocument/2006/relationships/hyperlink" Target="http://www.itu.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w3.org/" TargetMode="External"/><Relationship Id="rId23" Type="http://schemas.openxmlformats.org/officeDocument/2006/relationships/hyperlink" Target="http://www.australia.gov.au/" TargetMode="External"/><Relationship Id="rId28" Type="http://schemas.openxmlformats.org/officeDocument/2006/relationships/theme" Target="theme/theme1.xml"/><Relationship Id="rId10" Type="http://schemas.openxmlformats.org/officeDocument/2006/relationships/hyperlink" Target="http://www.ag.gov.au/cca" TargetMode="External"/><Relationship Id="rId19" Type="http://schemas.openxmlformats.org/officeDocument/2006/relationships/hyperlink" Target="http://www.oasis-open.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hyperlink" Target="http://www.australia.gov.au/"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g.gov.au/" TargetMode="External"/><Relationship Id="rId1" Type="http://schemas.openxmlformats.org/officeDocument/2006/relationships/hyperlink" Target="http://www.finance.gov.au/publications/2006-e-government-strategy/" TargetMode="Externa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998FC-B399-472C-B999-1D376A25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52</Pages>
  <Words>14422</Words>
  <Characters>82212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National e Authentication Framework</vt:lpstr>
    </vt:vector>
  </TitlesOfParts>
  <Company/>
  <LinksUpToDate>false</LinksUpToDate>
  <CharactersWithSpaces>96442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dc:title>
  <dc:subject/>
  <dc:creator>Digital Transformation Office</dc:creator>
  <cp:keywords/>
  <dc:description/>
  <cp:lastModifiedBy>Ben Fulford</cp:lastModifiedBy>
  <cp:revision>5</cp:revision>
  <cp:lastPrinted>2015-12-01T00:00:00Z</cp:lastPrinted>
  <dcterms:created xsi:type="dcterms:W3CDTF">2015-10-09T01:02:00Z</dcterms:created>
  <dcterms:modified xsi:type="dcterms:W3CDTF">2015-12-01T00:35:00Z</dcterms:modified>
</cp:coreProperties>
</file>