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178A" w:rsidRDefault="00D17AED">
      <w:pPr>
        <w:pStyle w:val="Heading1"/>
        <w:contextualSpacing w:val="0"/>
      </w:pPr>
      <w:bookmarkStart w:id="0" w:name="h.1lwv4pa7osoe" w:colFirst="0" w:colLast="0"/>
      <w:bookmarkEnd w:id="0"/>
      <w:r>
        <w:t>Third Party Identity Services Assurance Framework</w:t>
      </w:r>
    </w:p>
    <w:p w:rsidR="00B822B0" w:rsidRDefault="00B822B0" w:rsidP="00B822B0">
      <w:pPr>
        <w:pStyle w:val="Subtitle"/>
        <w:rPr>
          <w:lang w:val="en-US"/>
        </w:rPr>
      </w:pPr>
      <w:bookmarkStart w:id="1" w:name="h.2ios4qxbvzj" w:colFirst="0" w:colLast="0"/>
      <w:bookmarkEnd w:id="1"/>
      <w:r>
        <w:rPr>
          <w:lang w:val="en-US"/>
        </w:rPr>
        <w:t>This Framework provides a piece of the policy environment required to allow the development by the private sector and other government entities of the enabling ICT infrastructure of the digital economy.</w:t>
      </w:r>
    </w:p>
    <w:p w:rsidR="00B822B0" w:rsidRDefault="00B822B0" w:rsidP="00B822B0">
      <w:bookmarkStart w:id="2" w:name="h.mbhgxyd74k3i" w:colFirst="0" w:colLast="0"/>
      <w:bookmarkEnd w:id="2"/>
      <w:r w:rsidRPr="00515EB7">
        <w:t xml:space="preserve">The </w:t>
      </w:r>
      <w:r>
        <w:t>Assurance</w:t>
      </w:r>
      <w:r w:rsidRPr="00515EB7">
        <w:t xml:space="preserve"> Framework is a whole-of-government </w:t>
      </w:r>
      <w:r>
        <w:t>approach for the accreditation</w:t>
      </w:r>
      <w:r w:rsidR="00BE14B1">
        <w:t xml:space="preserve"> of</w:t>
      </w:r>
      <w:r>
        <w:t xml:space="preserve"> ‘identity services’ offered by commercial service providers to government agencies. The range of accredited services include: </w:t>
      </w:r>
    </w:p>
    <w:p w:rsidR="00B822B0" w:rsidRDefault="00B822B0" w:rsidP="00B822B0"/>
    <w:p w:rsidR="00B822B0" w:rsidRDefault="00B822B0" w:rsidP="00B822B0">
      <w:pPr>
        <w:pStyle w:val="ListParagraph"/>
        <w:numPr>
          <w:ilvl w:val="0"/>
          <w:numId w:val="4"/>
        </w:numPr>
      </w:pPr>
      <w:r w:rsidRPr="003C61D4">
        <w:t>verification</w:t>
      </w:r>
      <w:r>
        <w:t xml:space="preserve"> service providers, who enable people to have claims regarding their identity or other attributes verified online;</w:t>
      </w:r>
    </w:p>
    <w:p w:rsidR="00B822B0" w:rsidRPr="003C61D4" w:rsidRDefault="00B822B0" w:rsidP="00B822B0">
      <w:pPr>
        <w:pStyle w:val="ListParagraph"/>
        <w:numPr>
          <w:ilvl w:val="0"/>
          <w:numId w:val="4"/>
        </w:numPr>
      </w:pPr>
      <w:r w:rsidRPr="003C61D4">
        <w:t xml:space="preserve">authentication </w:t>
      </w:r>
      <w:r>
        <w:t xml:space="preserve">service providers, who provide people with credentials (e.g. a username and password) to enable access to a variety of digital services; </w:t>
      </w:r>
    </w:p>
    <w:p w:rsidR="00B822B0" w:rsidRDefault="00B822B0" w:rsidP="00B822B0">
      <w:pPr>
        <w:pStyle w:val="ListParagraph"/>
        <w:numPr>
          <w:ilvl w:val="0"/>
          <w:numId w:val="4"/>
        </w:numPr>
      </w:pPr>
      <w:r>
        <w:t>digital mailboxes,</w:t>
      </w:r>
      <w:r w:rsidRPr="003C61D4">
        <w:t xml:space="preserve"> </w:t>
      </w:r>
      <w:r>
        <w:t>which enable people to receive correspondence from participating agencies in a single digital ‘in box’; and,</w:t>
      </w:r>
    </w:p>
    <w:p w:rsidR="00095045" w:rsidRDefault="00B822B0" w:rsidP="00095045">
      <w:pPr>
        <w:pStyle w:val="ListParagraph"/>
        <w:numPr>
          <w:ilvl w:val="0"/>
          <w:numId w:val="4"/>
        </w:numPr>
      </w:pPr>
      <w:r>
        <w:t>personal data vaults, which enable people to store and retrieve their personal data electronically, including the storage of electronic copies of personal records such as birth certificates.</w:t>
      </w:r>
    </w:p>
    <w:p w:rsidR="00095045" w:rsidRDefault="00095045" w:rsidP="00095045">
      <w:r>
        <w:t>The underlying premise of the framework is that based on an understanding of agency requirements, individuals will be able to choose to use the services offered by accredited service providers in order to access digital government services. Equally, a key premise is that individuals should not be forced to hold multiple credentials to access the range of government services they require.</w:t>
      </w:r>
    </w:p>
    <w:p w:rsidR="00B822B0" w:rsidRDefault="00B822B0" w:rsidP="00095045">
      <w:pPr>
        <w:ind w:left="360"/>
      </w:pPr>
    </w:p>
    <w:p w:rsidR="00B822B0" w:rsidRDefault="00B822B0" w:rsidP="00B822B0">
      <w:pPr>
        <w:rPr>
          <w:b/>
          <w:color w:val="7030A0"/>
          <w:szCs w:val="24"/>
          <w:u w:val="single"/>
        </w:rPr>
      </w:pPr>
      <w:r w:rsidRPr="00FE406D">
        <w:rPr>
          <w:b/>
          <w:color w:val="7030A0"/>
          <w:szCs w:val="24"/>
          <w:u w:val="single"/>
        </w:rPr>
        <w:t xml:space="preserve">Print formatted version of the </w:t>
      </w:r>
      <w:r>
        <w:rPr>
          <w:b/>
          <w:color w:val="7030A0"/>
          <w:szCs w:val="24"/>
          <w:u w:val="single"/>
        </w:rPr>
        <w:t>Assurance Framework</w:t>
      </w:r>
      <w:r w:rsidRPr="00FE406D">
        <w:rPr>
          <w:b/>
          <w:color w:val="7030A0"/>
          <w:szCs w:val="24"/>
          <w:u w:val="single"/>
        </w:rPr>
        <w:t xml:space="preserve"> – PDF </w:t>
      </w:r>
      <w:r>
        <w:rPr>
          <w:b/>
          <w:color w:val="7030A0"/>
          <w:szCs w:val="24"/>
          <w:u w:val="single"/>
        </w:rPr>
        <w:t>(811</w:t>
      </w:r>
      <w:r w:rsidRPr="00FE406D">
        <w:rPr>
          <w:b/>
          <w:color w:val="7030A0"/>
          <w:szCs w:val="24"/>
          <w:u w:val="single"/>
        </w:rPr>
        <w:t xml:space="preserve"> kb)</w:t>
      </w:r>
    </w:p>
    <w:p w:rsidR="00B4178A" w:rsidRDefault="00575FCB">
      <w:pPr>
        <w:pStyle w:val="Heading2"/>
        <w:contextualSpacing w:val="0"/>
      </w:pPr>
      <w:r>
        <w:t>Why is this important?</w:t>
      </w:r>
    </w:p>
    <w:p w:rsidR="00095045" w:rsidRDefault="00095045" w:rsidP="00095045">
      <w:bookmarkStart w:id="3" w:name="h.flitvberg22e" w:colFirst="0" w:colLast="0"/>
      <w:bookmarkEnd w:id="3"/>
      <w:r>
        <w:t>The Assurance Framework is underpinned by existing Australian Government security frameworks:</w:t>
      </w:r>
    </w:p>
    <w:p w:rsidR="00095045" w:rsidRDefault="00095045" w:rsidP="00095045">
      <w:pPr>
        <w:pStyle w:val="ListParagraph"/>
        <w:numPr>
          <w:ilvl w:val="0"/>
          <w:numId w:val="6"/>
        </w:numPr>
      </w:pPr>
      <w:r>
        <w:t xml:space="preserve">the </w:t>
      </w:r>
      <w:hyperlink r:id="rId5" w:history="1">
        <w:r w:rsidRPr="00095045">
          <w:rPr>
            <w:rStyle w:val="Hyperlink"/>
          </w:rPr>
          <w:t>Protective Security Policy Framework</w:t>
        </w:r>
      </w:hyperlink>
    </w:p>
    <w:p w:rsidR="00095045" w:rsidRDefault="00095045" w:rsidP="00095045">
      <w:pPr>
        <w:pStyle w:val="ListParagraph"/>
        <w:numPr>
          <w:ilvl w:val="0"/>
          <w:numId w:val="6"/>
        </w:numPr>
      </w:pPr>
      <w:r>
        <w:t xml:space="preserve">the </w:t>
      </w:r>
      <w:hyperlink r:id="rId6" w:history="1">
        <w:r w:rsidRPr="00095045">
          <w:rPr>
            <w:rStyle w:val="Hyperlink"/>
          </w:rPr>
          <w:t>Australian Government Information Security Manual</w:t>
        </w:r>
      </w:hyperlink>
      <w:r>
        <w:t xml:space="preserve"> and</w:t>
      </w:r>
    </w:p>
    <w:p w:rsidR="005608CD" w:rsidRDefault="005608CD" w:rsidP="00095045">
      <w:pPr>
        <w:pStyle w:val="ListParagraph"/>
        <w:numPr>
          <w:ilvl w:val="0"/>
          <w:numId w:val="6"/>
        </w:numPr>
      </w:pPr>
      <w:r>
        <w:t xml:space="preserve">the </w:t>
      </w:r>
      <w:hyperlink r:id="rId7" w:history="1">
        <w:r w:rsidR="00095045" w:rsidRPr="00095045">
          <w:rPr>
            <w:rStyle w:val="Hyperlink"/>
          </w:rPr>
          <w:t>Australian Privacy Principles</w:t>
        </w:r>
      </w:hyperlink>
      <w:r>
        <w:t xml:space="preserve"> and</w:t>
      </w:r>
    </w:p>
    <w:p w:rsidR="005608CD" w:rsidRDefault="005608CD" w:rsidP="005608CD">
      <w:r>
        <w:t>Informed by existing policy frameworks such as:</w:t>
      </w:r>
    </w:p>
    <w:p w:rsidR="005608CD" w:rsidRDefault="005608CD" w:rsidP="005608CD">
      <w:pPr>
        <w:pStyle w:val="ListParagraph"/>
        <w:numPr>
          <w:ilvl w:val="0"/>
          <w:numId w:val="7"/>
        </w:numPr>
        <w:ind w:left="426" w:firstLine="0"/>
      </w:pPr>
      <w:r>
        <w:t xml:space="preserve">the </w:t>
      </w:r>
      <w:commentRangeStart w:id="4"/>
      <w:r>
        <w:t>National e-Authentication Framework</w:t>
      </w:r>
    </w:p>
    <w:p w:rsidR="005608CD" w:rsidRDefault="005608CD" w:rsidP="005608CD">
      <w:pPr>
        <w:pStyle w:val="ListParagraph"/>
        <w:numPr>
          <w:ilvl w:val="0"/>
          <w:numId w:val="7"/>
        </w:numPr>
        <w:ind w:left="426" w:firstLine="0"/>
      </w:pPr>
      <w:r>
        <w:t>the Gatekeeper Public Key Infrastructure Framework</w:t>
      </w:r>
    </w:p>
    <w:commentRangeEnd w:id="4"/>
    <w:p w:rsidR="005608CD" w:rsidRDefault="00912139" w:rsidP="005608CD">
      <w:pPr>
        <w:pStyle w:val="ListParagraph"/>
        <w:numPr>
          <w:ilvl w:val="0"/>
          <w:numId w:val="7"/>
        </w:numPr>
        <w:ind w:left="426" w:firstLine="0"/>
      </w:pPr>
      <w:r>
        <w:rPr>
          <w:rStyle w:val="CommentReference"/>
          <w:rFonts w:ascii="Arial" w:eastAsia="Arial" w:hAnsi="Arial" w:cs="Arial"/>
          <w:vanish/>
          <w:color w:val="000000"/>
          <w:lang w:eastAsia="en-AU"/>
        </w:rPr>
        <w:commentReference w:id="4"/>
      </w:r>
      <w:r w:rsidR="005608CD">
        <w:t xml:space="preserve">the </w:t>
      </w:r>
      <w:hyperlink r:id="rId9" w:history="1">
        <w:r w:rsidR="005608CD" w:rsidRPr="005608CD">
          <w:rPr>
            <w:rStyle w:val="Hyperlink"/>
          </w:rPr>
          <w:t>National Identity Security Strategy</w:t>
        </w:r>
      </w:hyperlink>
    </w:p>
    <w:p w:rsidR="00B822B0" w:rsidRDefault="005608CD" w:rsidP="005608CD">
      <w:pPr>
        <w:pStyle w:val="ListParagraph"/>
        <w:numPr>
          <w:ilvl w:val="0"/>
          <w:numId w:val="7"/>
        </w:numPr>
        <w:ind w:left="426" w:firstLine="0"/>
      </w:pPr>
      <w:r>
        <w:t xml:space="preserve">the </w:t>
      </w:r>
      <w:hyperlink r:id="rId10" w:history="1">
        <w:r w:rsidRPr="005608CD">
          <w:rPr>
            <w:rStyle w:val="Hyperlink"/>
          </w:rPr>
          <w:t>National Identity Proofing Guidelines</w:t>
        </w:r>
      </w:hyperlink>
    </w:p>
    <w:p w:rsidR="00B4178A" w:rsidRDefault="00575FCB">
      <w:pPr>
        <w:pStyle w:val="Heading2"/>
        <w:contextualSpacing w:val="0"/>
      </w:pPr>
      <w:r>
        <w:t>How do I?</w:t>
      </w:r>
    </w:p>
    <w:p w:rsidR="00B822B0" w:rsidRDefault="00B822B0">
      <w:pPr>
        <w:numPr>
          <w:ilvl w:val="0"/>
          <w:numId w:val="1"/>
        </w:numPr>
        <w:ind w:hanging="360"/>
        <w:contextualSpacing/>
      </w:pPr>
      <w:r>
        <w:t>Apply for Accreditation</w:t>
      </w:r>
    </w:p>
    <w:p w:rsidR="00B822B0" w:rsidRDefault="00B822B0">
      <w:pPr>
        <w:numPr>
          <w:ilvl w:val="0"/>
          <w:numId w:val="1"/>
        </w:numPr>
        <w:ind w:hanging="360"/>
        <w:contextualSpacing/>
      </w:pPr>
      <w:r>
        <w:t xml:space="preserve">See who is Accredited </w:t>
      </w:r>
    </w:p>
    <w:p w:rsidR="00B4178A" w:rsidRDefault="00B822B0" w:rsidP="00095045">
      <w:pPr>
        <w:numPr>
          <w:ilvl w:val="0"/>
          <w:numId w:val="1"/>
        </w:numPr>
        <w:ind w:hanging="360"/>
        <w:contextualSpacing/>
      </w:pPr>
      <w:r>
        <w:t>See who is undergoing accreditation</w:t>
      </w:r>
    </w:p>
    <w:sectPr w:rsidR="00B4178A" w:rsidSect="00C2396D">
      <w:pgSz w:w="12240" w:h="15840"/>
      <w:pgMar w:top="1440" w:right="1440" w:bottom="1440" w:left="1440" w:gutter="0"/>
      <w:pgNumType w:start="1"/>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arie Cavanaugh" w:date="2015-11-04T23:15:00Z" w:initials="MC">
    <w:p w:rsidR="00912139" w:rsidRDefault="00912139">
      <w:pPr>
        <w:pStyle w:val="CommentText"/>
      </w:pPr>
      <w:r>
        <w:rPr>
          <w:rStyle w:val="CommentReference"/>
        </w:rPr>
        <w:annotationRef/>
      </w:r>
      <w:r>
        <w:t>Need to link to the relevant pages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626B93" w15:done="0"/>
</w15:commentsEx>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3214"/>
    <w:multiLevelType w:val="multilevel"/>
    <w:tmpl w:val="A7F6FA7E"/>
    <w:lvl w:ilvl="0">
      <w:start w:val="1"/>
      <w:numFmt w:val="bullet"/>
      <w:lvlText w:val="●"/>
      <w:lvlJc w:val="left"/>
      <w:pPr>
        <w:ind w:left="720" w:firstLine="360"/>
      </w:pPr>
      <w:rPr>
        <w:rFonts w:ascii="Arial" w:eastAsia="Arial" w:hAnsi="Arial" w:cs="Symbo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E52744"/>
    <w:multiLevelType w:val="hybridMultilevel"/>
    <w:tmpl w:val="0952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01303"/>
    <w:multiLevelType w:val="hybridMultilevel"/>
    <w:tmpl w:val="196A4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9866981"/>
    <w:multiLevelType w:val="multilevel"/>
    <w:tmpl w:val="7C706586"/>
    <w:lvl w:ilvl="0">
      <w:start w:val="1"/>
      <w:numFmt w:val="bullet"/>
      <w:lvlText w:val="●"/>
      <w:lvlJc w:val="left"/>
      <w:pPr>
        <w:ind w:left="720" w:firstLine="360"/>
      </w:pPr>
      <w:rPr>
        <w:rFonts w:ascii="Arial" w:eastAsia="Arial" w:hAnsi="Arial" w:cs="Symbo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0A23B52"/>
    <w:multiLevelType w:val="hybridMultilevel"/>
    <w:tmpl w:val="18F6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45A74"/>
    <w:multiLevelType w:val="hybridMultilevel"/>
    <w:tmpl w:val="B4280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1B596C"/>
    <w:multiLevelType w:val="hybridMultilevel"/>
    <w:tmpl w:val="25E4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rsids>
    <w:rsidRoot w:val="00B4178A"/>
    <w:rsid w:val="00095045"/>
    <w:rsid w:val="00270034"/>
    <w:rsid w:val="005608CD"/>
    <w:rsid w:val="00575FCB"/>
    <w:rsid w:val="007921DE"/>
    <w:rsid w:val="00912139"/>
    <w:rsid w:val="00B015A5"/>
    <w:rsid w:val="00B4178A"/>
    <w:rsid w:val="00B445B7"/>
    <w:rsid w:val="00B822B0"/>
    <w:rsid w:val="00BE14B1"/>
    <w:rsid w:val="00C2396D"/>
    <w:rsid w:val="00D17AED"/>
    <w:rsid w:val="00FE425D"/>
  </w:rsids>
  <m:mathPr>
    <m:mathFont m:val="Segoe UI"/>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rsid w:val="00C2396D"/>
  </w:style>
  <w:style w:type="paragraph" w:styleId="Heading1">
    <w:name w:val="heading 1"/>
    <w:basedOn w:val="Normal"/>
    <w:next w:val="Normal"/>
    <w:rsid w:val="00C2396D"/>
    <w:pPr>
      <w:keepNext/>
      <w:keepLines/>
      <w:spacing w:before="400" w:after="120"/>
      <w:contextualSpacing/>
      <w:outlineLvl w:val="0"/>
    </w:pPr>
    <w:rPr>
      <w:sz w:val="40"/>
      <w:szCs w:val="40"/>
    </w:rPr>
  </w:style>
  <w:style w:type="paragraph" w:styleId="Heading2">
    <w:name w:val="heading 2"/>
    <w:basedOn w:val="Normal"/>
    <w:next w:val="Normal"/>
    <w:rsid w:val="00C2396D"/>
    <w:pPr>
      <w:keepNext/>
      <w:keepLines/>
      <w:spacing w:before="360" w:after="120"/>
      <w:contextualSpacing/>
      <w:outlineLvl w:val="1"/>
    </w:pPr>
    <w:rPr>
      <w:sz w:val="32"/>
      <w:szCs w:val="32"/>
    </w:rPr>
  </w:style>
  <w:style w:type="paragraph" w:styleId="Heading3">
    <w:name w:val="heading 3"/>
    <w:basedOn w:val="Normal"/>
    <w:next w:val="Normal"/>
    <w:rsid w:val="00C2396D"/>
    <w:pPr>
      <w:keepNext/>
      <w:keepLines/>
      <w:spacing w:before="320" w:after="80"/>
      <w:contextualSpacing/>
      <w:outlineLvl w:val="2"/>
    </w:pPr>
    <w:rPr>
      <w:color w:val="434343"/>
      <w:sz w:val="28"/>
      <w:szCs w:val="28"/>
    </w:rPr>
  </w:style>
  <w:style w:type="paragraph" w:styleId="Heading4">
    <w:name w:val="heading 4"/>
    <w:basedOn w:val="Normal"/>
    <w:next w:val="Normal"/>
    <w:rsid w:val="00C2396D"/>
    <w:pPr>
      <w:keepNext/>
      <w:keepLines/>
      <w:spacing w:before="280" w:after="80"/>
      <w:contextualSpacing/>
      <w:outlineLvl w:val="3"/>
    </w:pPr>
    <w:rPr>
      <w:color w:val="666666"/>
      <w:sz w:val="24"/>
      <w:szCs w:val="24"/>
    </w:rPr>
  </w:style>
  <w:style w:type="paragraph" w:styleId="Heading5">
    <w:name w:val="heading 5"/>
    <w:basedOn w:val="Normal"/>
    <w:next w:val="Normal"/>
    <w:rsid w:val="00C2396D"/>
    <w:pPr>
      <w:keepNext/>
      <w:keepLines/>
      <w:spacing w:before="240" w:after="80"/>
      <w:contextualSpacing/>
      <w:outlineLvl w:val="4"/>
    </w:pPr>
    <w:rPr>
      <w:color w:val="666666"/>
    </w:rPr>
  </w:style>
  <w:style w:type="paragraph" w:styleId="Heading6">
    <w:name w:val="heading 6"/>
    <w:basedOn w:val="Normal"/>
    <w:next w:val="Normal"/>
    <w:rsid w:val="00C2396D"/>
    <w:pPr>
      <w:keepNext/>
      <w:keepLines/>
      <w:spacing w:before="240" w:after="80"/>
      <w:contextualSpacing/>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C2396D"/>
    <w:pPr>
      <w:keepNext/>
      <w:keepLines/>
      <w:spacing w:after="60"/>
      <w:contextualSpacing/>
    </w:pPr>
    <w:rPr>
      <w:sz w:val="52"/>
      <w:szCs w:val="52"/>
    </w:rPr>
  </w:style>
  <w:style w:type="paragraph" w:styleId="Subtitle">
    <w:name w:val="Subtitle"/>
    <w:basedOn w:val="Normal"/>
    <w:next w:val="Normal"/>
    <w:rsid w:val="00C2396D"/>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C2396D"/>
    <w:pPr>
      <w:spacing w:line="240" w:lineRule="auto"/>
    </w:pPr>
    <w:rPr>
      <w:sz w:val="20"/>
      <w:szCs w:val="20"/>
    </w:rPr>
  </w:style>
  <w:style w:type="character" w:customStyle="1" w:styleId="CommentTextChar">
    <w:name w:val="Comment Text Char"/>
    <w:basedOn w:val="DefaultParagraphFont"/>
    <w:link w:val="CommentText"/>
    <w:uiPriority w:val="99"/>
    <w:semiHidden/>
    <w:rsid w:val="00C2396D"/>
    <w:rPr>
      <w:sz w:val="20"/>
      <w:szCs w:val="20"/>
    </w:rPr>
  </w:style>
  <w:style w:type="character" w:styleId="CommentReference">
    <w:name w:val="annotation reference"/>
    <w:basedOn w:val="DefaultParagraphFont"/>
    <w:uiPriority w:val="99"/>
    <w:semiHidden/>
    <w:unhideWhenUsed/>
    <w:rsid w:val="00C2396D"/>
    <w:rPr>
      <w:sz w:val="16"/>
      <w:szCs w:val="16"/>
    </w:rPr>
  </w:style>
  <w:style w:type="paragraph" w:styleId="BalloonText">
    <w:name w:val="Balloon Text"/>
    <w:basedOn w:val="Normal"/>
    <w:link w:val="BalloonTextChar"/>
    <w:uiPriority w:val="99"/>
    <w:semiHidden/>
    <w:unhideWhenUsed/>
    <w:rsid w:val="00575F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CB"/>
    <w:rPr>
      <w:rFonts w:ascii="Segoe UI" w:hAnsi="Segoe UI" w:cs="Segoe UI"/>
      <w:sz w:val="18"/>
      <w:szCs w:val="18"/>
    </w:rPr>
  </w:style>
  <w:style w:type="paragraph" w:styleId="ListParagraph">
    <w:name w:val="List Paragraph"/>
    <w:basedOn w:val="Normal"/>
    <w:uiPriority w:val="34"/>
    <w:qFormat/>
    <w:rsid w:val="00B822B0"/>
    <w:pPr>
      <w:spacing w:after="160" w:line="259" w:lineRule="auto"/>
      <w:ind w:left="720"/>
      <w:contextualSpacing/>
    </w:pPr>
    <w:rPr>
      <w:rFonts w:asciiTheme="minorHAnsi" w:eastAsiaTheme="minorHAnsi" w:hAnsiTheme="minorHAnsi" w:cstheme="minorBidi"/>
      <w:color w:val="auto"/>
      <w:lang w:eastAsia="en-US"/>
    </w:rPr>
  </w:style>
  <w:style w:type="character" w:styleId="Hyperlink">
    <w:name w:val="Hyperlink"/>
    <w:basedOn w:val="DefaultParagraphFont"/>
    <w:rsid w:val="00095045"/>
    <w:rPr>
      <w:color w:val="0563C1" w:themeColor="hyperlink"/>
      <w:u w:val="single"/>
    </w:rPr>
  </w:style>
  <w:style w:type="paragraph" w:styleId="CommentSubject">
    <w:name w:val="annotation subject"/>
    <w:basedOn w:val="CommentText"/>
    <w:next w:val="CommentText"/>
    <w:link w:val="CommentSubjectChar"/>
    <w:rsid w:val="00912139"/>
    <w:rPr>
      <w:b/>
      <w:bCs/>
    </w:rPr>
  </w:style>
  <w:style w:type="character" w:customStyle="1" w:styleId="CommentSubjectChar">
    <w:name w:val="Comment Subject Char"/>
    <w:basedOn w:val="CommentTextChar"/>
    <w:link w:val="CommentSubject"/>
    <w:rsid w:val="00912139"/>
    <w:rPr>
      <w:b/>
      <w:bC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rotectivesecurity.gov.au/ExecutiveGuidance/Documents/ProtectiveSecurityPolicyFrameworkSecuringGovernmentBusiness.pdf" TargetMode="External"/><Relationship Id="rId6" Type="http://schemas.openxmlformats.org/officeDocument/2006/relationships/hyperlink" Target="http://www.asd.gov.au/infosec/ism/" TargetMode="External"/><Relationship Id="rId7" Type="http://schemas.openxmlformats.org/officeDocument/2006/relationships/hyperlink" Target="http://www.oaic.gov.au/privacy-law/privacy-act/australian-privacy-principles" TargetMode="External"/><Relationship Id="rId8" Type="http://schemas.openxmlformats.org/officeDocument/2006/relationships/comments" Target="comments.xml"/><Relationship Id="rId9" Type="http://schemas.openxmlformats.org/officeDocument/2006/relationships/hyperlink" Target="http://www.ag.gov.au/RightsAndProtections/IdentitySecurity/Documents/National%20Identity%20Security%20Strategy%202012.PDF" TargetMode="External"/><Relationship Id="rId10" Type="http://schemas.openxmlformats.org/officeDocument/2006/relationships/hyperlink" Target="https://www.ag.gov.au/RightsAndProtections/IdentitySecurity/Documents/NationalIdentityProofing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337</Words>
  <Characters>1922</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Communications</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Cavanaugh, Marie</dc:creator>
  <cp:lastModifiedBy>Marie Cavanaugh</cp:lastModifiedBy>
  <cp:revision>7</cp:revision>
  <cp:lastPrinted>2015-11-02T10:51:00Z</cp:lastPrinted>
  <dcterms:created xsi:type="dcterms:W3CDTF">2015-11-04T11:28:00Z</dcterms:created>
  <dcterms:modified xsi:type="dcterms:W3CDTF">2015-11-04T12:15:00Z</dcterms:modified>
</cp:coreProperties>
</file>