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 xml:space="preserve">Sprawozdanie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Sieć wielowarstwowa uczona metodą propagacji wstecznej – techniki poprawiające skuteczność uczenia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1. Wstęp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Ćwiczenie ma na celu praktyczne poznanie technik zmniejszających ryzyko przeuczenia sieci. Ma również na celu obserwację funkcji neuronów ukrytych w roli detektorów cech.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2. Impleentacja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Do implementacji użyłem kodu z poprzedniego zadania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3. Badania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Dropout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drawing>
          <wp:inline distT="0" distB="0" distL="0" distR="0">
            <wp:extent cx="5762625" cy="324231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drawing>
          <wp:inline distT="0" distB="0" distL="0" distR="0">
            <wp:extent cx="5753735" cy="324040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4. Wnioski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dropout znacznie wpływa na szybkość I jakość uczenia.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Najlepszym parametrem p (prawdopodobieństwo włączenia neuronu w proces uczenia) jest 0.6 -0.8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t(p)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176.666666666667</c:v>
                </c:pt>
                <c:pt idx="4">
                  <c:v>80.3333333333333</c:v>
                </c:pt>
                <c:pt idx="5">
                  <c:v>52.3333333333333</c:v>
                </c:pt>
                <c:pt idx="6">
                  <c:v>42</c:v>
                </c:pt>
                <c:pt idx="7">
                  <c:v>41.3333333333333</c:v>
                </c:pt>
                <c:pt idx="8">
                  <c:v>39.3333333333333</c:v>
                </c:pt>
                <c:pt idx="9">
                  <c:v>51</c:v>
                </c:pt>
                <c:pt idx="10">
                  <c:v>83.3333333333333</c:v>
                </c:pt>
              </c:numCache>
            </c:numRef>
          </c:yVal>
        </c:ser>
        <c:axId val="84790651"/>
        <c:axId val="78609866"/>
      </c:scatterChart>
      <c:valAx>
        <c:axId val="847906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Prawdopodobeństwo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8609866"/>
        <c:crossesAt val="0"/>
      </c:valAx>
      <c:valAx>
        <c:axId val="7860986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Lczba epok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4790651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e(p)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0.221248871853418</c:v>
                </c:pt>
                <c:pt idx="1">
                  <c:v>0.0427643189589999</c:v>
                </c:pt>
                <c:pt idx="2">
                  <c:v>0.0486198107035535</c:v>
                </c:pt>
                <c:pt idx="3">
                  <c:v>0.0414684999109791</c:v>
                </c:pt>
                <c:pt idx="4">
                  <c:v>0.0368116487477715</c:v>
                </c:pt>
                <c:pt idx="5">
                  <c:v>0.0351083895331126</c:v>
                </c:pt>
                <c:pt idx="6">
                  <c:v>0.0333607331009281</c:v>
                </c:pt>
                <c:pt idx="7">
                  <c:v>0.031929063210769</c:v>
                </c:pt>
                <c:pt idx="8">
                  <c:v>0.0309182648132075</c:v>
                </c:pt>
                <c:pt idx="9">
                  <c:v>0.030675971379093</c:v>
                </c:pt>
                <c:pt idx="10">
                  <c:v>0.0305568973794285</c:v>
                </c:pt>
              </c:numCache>
            </c:numRef>
          </c:yVal>
        </c:ser>
        <c:axId val="6310978"/>
        <c:axId val="50921002"/>
      </c:scatterChart>
      <c:valAx>
        <c:axId val="631097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Prawdopodobieństwo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0921002"/>
        <c:crossesAt val="0"/>
      </c:valAx>
      <c:valAx>
        <c:axId val="5092100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Błąd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310978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