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C56CB" w14:textId="4B4831F8" w:rsidR="00BD3C99" w:rsidRPr="00E43186" w:rsidRDefault="00365438" w:rsidP="00FE180C">
      <w:pPr>
        <w:pStyle w:val="Titel"/>
      </w:pPr>
      <w:bookmarkStart w:id="6" w:name="OLE_LINK19"/>
      <w:bookmarkStart w:id="7" w:name="OLE_LINK20"/>
      <w:r>
        <w:t xml:space="preserve">Anonymisierung von Gerichtsurteilen </w:t>
      </w:r>
      <w:bookmarkEnd w:id="6"/>
      <w:bookmarkEnd w:id="7"/>
      <w:r w:rsidR="002E5525">
        <w:t>–</w:t>
      </w:r>
      <w:r w:rsidR="00FE180C">
        <w:t xml:space="preserve"> </w:t>
      </w:r>
      <w:r w:rsidR="00C030B6">
        <w:t xml:space="preserve">Eine Wesentliche </w:t>
      </w:r>
      <w:r w:rsidR="00FE180C">
        <w:t>Voraussetzung für E-Justice</w:t>
      </w:r>
      <w:r w:rsidR="002E5525">
        <w:t xml:space="preserve"> –</w:t>
      </w:r>
    </w:p>
    <w:p w14:paraId="168A9891" w14:textId="7FB956F9" w:rsidR="00BD3C99" w:rsidRPr="006E567B" w:rsidRDefault="00D91EB6" w:rsidP="00AF6679">
      <w:pPr>
        <w:pStyle w:val="Autor"/>
      </w:pPr>
      <w:r>
        <w:t>Prof. Dr. Axel Adrian / Prof. Dr. Stefan Evert /</w:t>
      </w:r>
      <w:r w:rsidR="00E8166A">
        <w:t xml:space="preserve"> </w:t>
      </w:r>
      <w:r w:rsidR="00572729">
        <w:t xml:space="preserve">Michael Keuchen / </w:t>
      </w:r>
      <w:r w:rsidR="00AF6679">
        <w:br/>
      </w:r>
      <w:r w:rsidR="00881724">
        <w:t xml:space="preserve">Philipp Heinrich / </w:t>
      </w:r>
      <w:r w:rsidR="00DE6427">
        <w:t>Natalie Dykes</w:t>
      </w:r>
    </w:p>
    <w:p w14:paraId="4BF5E57C" w14:textId="0F2CB166" w:rsidR="00FE47EC" w:rsidRDefault="00AE30FE" w:rsidP="00D91EB6">
      <w:pPr>
        <w:pStyle w:val="Affiliation"/>
      </w:pPr>
      <w:r>
        <w:t xml:space="preserve">Prof. Dr. Axel Adrian, Notar, Honorarprofessor für Rechtstheorie und Rechtsgestaltung, </w:t>
      </w:r>
      <w:r w:rsidR="00FE47EC" w:rsidRPr="00FE47EC">
        <w:t>axel.adrian@fau.de</w:t>
      </w:r>
    </w:p>
    <w:p w14:paraId="44A07512" w14:textId="13E4F32B" w:rsidR="00FE47EC" w:rsidRDefault="00D91EB6" w:rsidP="00D91EB6">
      <w:pPr>
        <w:pStyle w:val="Affiliation"/>
      </w:pPr>
      <w:r>
        <w:t>Prof. Dr. Stefan Evert, Inhaber des Lehrstuhls für Korpus- und Computerlinguistik,</w:t>
      </w:r>
      <w:r w:rsidRPr="003E239F">
        <w:t xml:space="preserve"> </w:t>
      </w:r>
      <w:r w:rsidR="00FE47EC" w:rsidRPr="00FE47EC">
        <w:t>stefan.evert@fau.de</w:t>
      </w:r>
    </w:p>
    <w:p w14:paraId="462E07C7" w14:textId="3B22D2F6" w:rsidR="00FE47EC" w:rsidRDefault="00D91EB6" w:rsidP="00D91EB6">
      <w:pPr>
        <w:pStyle w:val="Affiliation"/>
      </w:pPr>
      <w:r>
        <w:t xml:space="preserve">Michael Keuchen, Assessor und Doktorand, </w:t>
      </w:r>
      <w:r w:rsidR="00FE47EC" w:rsidRPr="00FE47EC">
        <w:t>michael.keuchen@fau.de</w:t>
      </w:r>
    </w:p>
    <w:p w14:paraId="57E38500" w14:textId="77777777" w:rsidR="00FE47EC" w:rsidRDefault="00D91EB6" w:rsidP="00D91EB6">
      <w:pPr>
        <w:pStyle w:val="Affiliation"/>
        <w:rPr>
          <w:rStyle w:val="Hyperlink"/>
          <w:color w:val="auto"/>
          <w:u w:val="none"/>
        </w:rPr>
      </w:pPr>
      <w:r>
        <w:t xml:space="preserve">Philipp Heinrich, </w:t>
      </w:r>
      <w:proofErr w:type="spellStart"/>
      <w:r>
        <w:t>M.Sc</w:t>
      </w:r>
      <w:proofErr w:type="spellEnd"/>
      <w:r>
        <w:t xml:space="preserve">. und Doktorand, </w:t>
      </w:r>
      <w:hyperlink r:id="rId8" w:history="1">
        <w:r w:rsidRPr="002D6AB3">
          <w:rPr>
            <w:rStyle w:val="Hyperlink"/>
            <w:color w:val="auto"/>
            <w:u w:val="none"/>
          </w:rPr>
          <w:t>philipp.heinrich@fau.de</w:t>
        </w:r>
      </w:hyperlink>
    </w:p>
    <w:p w14:paraId="6F9EEF57" w14:textId="4384C76D" w:rsidR="00645557" w:rsidRPr="00645557" w:rsidRDefault="00D91EB6" w:rsidP="00D91EB6">
      <w:pPr>
        <w:pStyle w:val="Affiliation"/>
      </w:pPr>
      <w:r>
        <w:t>Natalie Dykes, M.</w:t>
      </w:r>
      <w:r w:rsidR="00DC12D6">
        <w:t>A</w:t>
      </w:r>
      <w:r>
        <w:t xml:space="preserve">. und Doktorandin, </w:t>
      </w:r>
      <w:r w:rsidR="00AF6679" w:rsidRPr="00AF6679">
        <w:t>natalie.dykes@fau.de</w:t>
      </w:r>
      <w:r w:rsidR="00AF6679">
        <w:br/>
      </w:r>
      <w:r w:rsidR="001154E7">
        <w:t>Friedrich-Alexander-Universität Erlangen-Nürnberg (FAU),</w:t>
      </w:r>
      <w:r w:rsidR="00AF6679">
        <w:t xml:space="preserve"> </w:t>
      </w:r>
      <w:r w:rsidR="001154E7">
        <w:t>Bismarckstr. 6, 91054 Erlangen</w:t>
      </w:r>
      <w:r w:rsidR="00AF6679">
        <w:t>, DE</w:t>
      </w:r>
    </w:p>
    <w:p w14:paraId="03A96D09" w14:textId="113C396A" w:rsidR="00BD3C99" w:rsidRPr="006E567B" w:rsidRDefault="000D6012" w:rsidP="006E567B">
      <w:pPr>
        <w:pStyle w:val="Schlagworte"/>
        <w:rPr>
          <w:lang w:val="de-DE"/>
        </w:rPr>
      </w:pPr>
      <w:r w:rsidRPr="006E567B">
        <w:rPr>
          <w:lang w:val="de-DE"/>
        </w:rPr>
        <w:t>Schlagworte:</w:t>
      </w:r>
      <w:r w:rsidRPr="006E567B">
        <w:rPr>
          <w:lang w:val="de-DE"/>
        </w:rPr>
        <w:tab/>
      </w:r>
      <w:r w:rsidR="00365438">
        <w:rPr>
          <w:lang w:val="de-DE"/>
        </w:rPr>
        <w:t xml:space="preserve">Anonymisierung, </w:t>
      </w:r>
      <w:r w:rsidR="00DE6427">
        <w:rPr>
          <w:lang w:val="de-DE"/>
        </w:rPr>
        <w:t xml:space="preserve">Datenschutz, </w:t>
      </w:r>
      <w:r w:rsidR="00AF6679">
        <w:rPr>
          <w:lang w:val="de-DE"/>
        </w:rPr>
        <w:t>U</w:t>
      </w:r>
      <w:r w:rsidR="00365438">
        <w:rPr>
          <w:lang w:val="de-DE"/>
        </w:rPr>
        <w:t xml:space="preserve">rteile, </w:t>
      </w:r>
      <w:r w:rsidR="00066AF8">
        <w:rPr>
          <w:lang w:val="de-DE"/>
        </w:rPr>
        <w:t>Legal-</w:t>
      </w:r>
      <w:r w:rsidR="00AE30FE">
        <w:rPr>
          <w:lang w:val="de-DE"/>
        </w:rPr>
        <w:t xml:space="preserve">Tech, </w:t>
      </w:r>
      <w:r w:rsidR="00E2573B">
        <w:rPr>
          <w:lang w:val="de-DE"/>
        </w:rPr>
        <w:t>Künstliche Intelligenz, Trainingsdaten</w:t>
      </w:r>
    </w:p>
    <w:p w14:paraId="388A510B" w14:textId="2DE0C7A1" w:rsidR="00E34B67" w:rsidRPr="00AF6679" w:rsidRDefault="000D6012" w:rsidP="00AF6679">
      <w:pPr>
        <w:pStyle w:val="Abstract"/>
      </w:pPr>
      <w:r w:rsidRPr="006E567B">
        <w:rPr>
          <w:b/>
          <w:lang w:val="de-DE"/>
        </w:rPr>
        <w:t>Abstract:</w:t>
      </w:r>
      <w:r w:rsidRPr="006E567B">
        <w:rPr>
          <w:lang w:val="de-DE"/>
        </w:rPr>
        <w:tab/>
      </w:r>
      <w:bookmarkStart w:id="8" w:name="_Hlk54468188"/>
      <w:r w:rsidR="00F152F4" w:rsidRPr="00E34B67">
        <w:rPr>
          <w:lang w:val="de-DE"/>
        </w:rPr>
        <w:t>In Deutschland gibt es bereits viel</w:t>
      </w:r>
      <w:r w:rsidR="00256C59">
        <w:rPr>
          <w:lang w:val="de-DE"/>
        </w:rPr>
        <w:t>e</w:t>
      </w:r>
      <w:r w:rsidR="00F152F4" w:rsidRPr="00E34B67">
        <w:rPr>
          <w:lang w:val="de-DE"/>
        </w:rPr>
        <w:t xml:space="preserve"> </w:t>
      </w:r>
      <w:r w:rsidR="00AF6679">
        <w:rPr>
          <w:lang w:val="de-DE"/>
        </w:rPr>
        <w:t>Einzelanwendungen</w:t>
      </w:r>
      <w:r w:rsidR="00256C59">
        <w:rPr>
          <w:lang w:val="de-DE"/>
        </w:rPr>
        <w:t xml:space="preserve"> im Bereich </w:t>
      </w:r>
      <w:r w:rsidR="00F152F4" w:rsidRPr="00E34B67">
        <w:rPr>
          <w:lang w:val="de-DE"/>
        </w:rPr>
        <w:t xml:space="preserve">Legal-Tech. Es fehlen aber </w:t>
      </w:r>
      <w:proofErr w:type="spellStart"/>
      <w:r w:rsidR="00F152F4" w:rsidRPr="00E34B67">
        <w:rPr>
          <w:lang w:val="de-DE"/>
        </w:rPr>
        <w:t>Predictive</w:t>
      </w:r>
      <w:proofErr w:type="spellEnd"/>
      <w:r w:rsidR="00F152F4" w:rsidRPr="00E34B67">
        <w:rPr>
          <w:lang w:val="de-DE"/>
        </w:rPr>
        <w:t xml:space="preserve"> Tools wie in den USA oder </w:t>
      </w:r>
      <w:r w:rsidR="00256C59">
        <w:rPr>
          <w:lang w:val="de-DE"/>
        </w:rPr>
        <w:t xml:space="preserve">automatisch erstellte </w:t>
      </w:r>
      <w:r w:rsidR="00F152F4" w:rsidRPr="00E34B67">
        <w:rPr>
          <w:lang w:val="de-DE"/>
        </w:rPr>
        <w:t>Urteilsentwürfe, weil nicht genügend Urteile als Trainingsdaten für sub</w:t>
      </w:r>
      <w:r w:rsidR="00F152F4">
        <w:rPr>
          <w:lang w:val="de-DE"/>
        </w:rPr>
        <w:t>s</w:t>
      </w:r>
      <w:r w:rsidR="00F152F4" w:rsidRPr="00E34B67">
        <w:rPr>
          <w:lang w:val="de-DE"/>
        </w:rPr>
        <w:t xml:space="preserve">ymbolische KI-Verfahren zur Verfügung stehen. </w:t>
      </w:r>
      <w:r w:rsidR="00256C59">
        <w:rPr>
          <w:lang w:val="de-DE"/>
        </w:rPr>
        <w:t xml:space="preserve">Bisher werden wohl </w:t>
      </w:r>
      <w:r w:rsidR="00256C59">
        <w:t xml:space="preserve">nicht </w:t>
      </w:r>
      <w:r w:rsidR="00F152F4" w:rsidRPr="00E34B67">
        <w:rPr>
          <w:lang w:val="de-DE"/>
        </w:rPr>
        <w:t>einmal 2</w:t>
      </w:r>
      <w:r w:rsidR="0057228C">
        <w:rPr>
          <w:lang w:val="de-DE"/>
        </w:rPr>
        <w:t xml:space="preserve"> </w:t>
      </w:r>
      <w:r w:rsidR="00F152F4" w:rsidRPr="00E34B67">
        <w:rPr>
          <w:lang w:val="de-DE"/>
        </w:rPr>
        <w:t xml:space="preserve">% aller Urteile veröffentlicht, da </w:t>
      </w:r>
      <w:r w:rsidR="00256C59">
        <w:rPr>
          <w:lang w:val="de-DE"/>
        </w:rPr>
        <w:t xml:space="preserve">hierfür eine </w:t>
      </w:r>
      <w:r w:rsidR="00F152F4" w:rsidRPr="00E34B67">
        <w:rPr>
          <w:lang w:val="de-DE"/>
        </w:rPr>
        <w:t xml:space="preserve">Anonymisierung </w:t>
      </w:r>
      <w:r w:rsidR="00256C59">
        <w:rPr>
          <w:lang w:val="de-DE"/>
        </w:rPr>
        <w:t xml:space="preserve">erforderlich ist, die immer </w:t>
      </w:r>
      <w:r w:rsidR="00F152F4" w:rsidRPr="00E34B67">
        <w:rPr>
          <w:lang w:val="de-DE"/>
        </w:rPr>
        <w:t xml:space="preserve">noch vollständig manuell erfolgt. Wir arbeiten im Rahmen eines Forschungsprojektes mit dem Bayerischen Staatsministerium der Justiz an rechtlichen und technischen Fragen zur Möglichkeit einer automatischen Anonymisierung von Urteilen, insbesondere mit Hilfe </w:t>
      </w:r>
      <w:proofErr w:type="spellStart"/>
      <w:r w:rsidR="00F152F4" w:rsidRPr="00E34B67">
        <w:rPr>
          <w:lang w:val="de-DE"/>
        </w:rPr>
        <w:t>korpuslinguistischer</w:t>
      </w:r>
      <w:proofErr w:type="spellEnd"/>
      <w:r w:rsidR="00F152F4" w:rsidRPr="00E34B67">
        <w:rPr>
          <w:lang w:val="de-DE"/>
        </w:rPr>
        <w:t xml:space="preserve"> Verfahren.</w:t>
      </w:r>
      <w:bookmarkEnd w:id="8"/>
    </w:p>
    <w:p w14:paraId="5006A57A" w14:textId="3ABB0A94" w:rsidR="00FC5ED9" w:rsidRPr="00E34B67" w:rsidRDefault="00E34B67" w:rsidP="00E34B67">
      <w:pPr>
        <w:ind w:left="1416" w:hanging="1416"/>
        <w:rPr>
          <w:b/>
          <w:bCs/>
          <w:sz w:val="24"/>
          <w:szCs w:val="24"/>
          <w:lang w:val="de-DE"/>
        </w:rPr>
      </w:pPr>
      <w:r w:rsidRPr="00E34B67">
        <w:rPr>
          <w:b/>
          <w:bCs/>
          <w:sz w:val="24"/>
          <w:szCs w:val="24"/>
          <w:lang w:val="de-DE"/>
        </w:rPr>
        <w:t xml:space="preserve">1. </w:t>
      </w:r>
      <w:r w:rsidR="00FC5ED9" w:rsidRPr="00E34B67">
        <w:rPr>
          <w:b/>
          <w:bCs/>
          <w:sz w:val="24"/>
          <w:szCs w:val="24"/>
          <w:lang w:val="de-DE"/>
        </w:rPr>
        <w:t>Einleitung</w:t>
      </w:r>
    </w:p>
    <w:p w14:paraId="2A071CAD" w14:textId="424FB3F7" w:rsidR="00FC5ED9" w:rsidRDefault="00FC5ED9" w:rsidP="00C14010">
      <w:r w:rsidRPr="00C14010">
        <w:t xml:space="preserve">Im vorliegenden Beitrag </w:t>
      </w:r>
      <w:r w:rsidR="00FE47EC">
        <w:t>werden</w:t>
      </w:r>
      <w:r w:rsidRPr="00C14010">
        <w:t xml:space="preserve"> einige Gedanken</w:t>
      </w:r>
      <w:r w:rsidR="00FE47EC">
        <w:t>,</w:t>
      </w:r>
      <w:r w:rsidRPr="00C14010">
        <w:t xml:space="preserve"> sowohl aus der Rechtswissenschaft als auch aus der </w:t>
      </w:r>
      <w:r w:rsidR="00FE180C">
        <w:t>Korpus- und Computerlinguistik vor</w:t>
      </w:r>
      <w:r w:rsidR="007861C8">
        <w:t>ge</w:t>
      </w:r>
      <w:r w:rsidR="00FE180C">
        <w:t>stell</w:t>
      </w:r>
      <w:r w:rsidR="007861C8">
        <w:t>t</w:t>
      </w:r>
      <w:r w:rsidR="00FE180C">
        <w:t xml:space="preserve">, um die Notwendigkeit einer möglichst automatischen Anonymisierung von Gerichtsurteilen, sowie deren rechtliche Grundlagen </w:t>
      </w:r>
      <w:r w:rsidR="00FE47EC">
        <w:t>und</w:t>
      </w:r>
      <w:r w:rsidR="00FE180C">
        <w:t xml:space="preserve"> technische Voraussetzungen zu erörtern</w:t>
      </w:r>
      <w:r w:rsidRPr="00C14010">
        <w:t>.</w:t>
      </w:r>
    </w:p>
    <w:p w14:paraId="6DE3ED24" w14:textId="2325DD62" w:rsidR="00FC5ED9" w:rsidRDefault="009B29F0" w:rsidP="0088456F">
      <w:pPr>
        <w:pStyle w:val="berschrift2"/>
      </w:pPr>
      <w:r>
        <w:t>Beispiele fortschreitender Digitalisierung im Bereich E-</w:t>
      </w:r>
      <w:proofErr w:type="spellStart"/>
      <w:r>
        <w:t>Government</w:t>
      </w:r>
      <w:proofErr w:type="spellEnd"/>
      <w:r>
        <w:t xml:space="preserve"> und E-Justice</w:t>
      </w:r>
    </w:p>
    <w:p w14:paraId="6C3E4493" w14:textId="26ED8555" w:rsidR="00E858EC" w:rsidRPr="00E858EC" w:rsidRDefault="00724401" w:rsidP="00E858EC">
      <w:r>
        <w:t>Im Zusammenhang mit E-</w:t>
      </w:r>
      <w:proofErr w:type="spellStart"/>
      <w:r>
        <w:t>Government</w:t>
      </w:r>
      <w:proofErr w:type="spellEnd"/>
      <w:r>
        <w:t xml:space="preserve"> und E-Justice gibt es</w:t>
      </w:r>
      <w:r w:rsidR="00E858EC">
        <w:t xml:space="preserve"> </w:t>
      </w:r>
      <w:r w:rsidR="00DE6427">
        <w:t xml:space="preserve">in </w:t>
      </w:r>
      <w:r w:rsidR="00E858EC">
        <w:t xml:space="preserve">Deutschland bereits </w:t>
      </w:r>
      <w:r w:rsidR="00A31730">
        <w:t xml:space="preserve">für spezielle Anwendungen </w:t>
      </w:r>
      <w:r>
        <w:t xml:space="preserve">zahlreiche </w:t>
      </w:r>
      <w:r w:rsidR="00A31730">
        <w:t>Legal-Tech-Tools.</w:t>
      </w:r>
      <w:r w:rsidR="00716AD3">
        <w:rPr>
          <w:rStyle w:val="Funotenzeichen"/>
        </w:rPr>
        <w:footnoteReference w:id="1"/>
      </w:r>
      <w:r w:rsidR="008B08A9">
        <w:t xml:space="preserve"> So werden </w:t>
      </w:r>
      <w:r w:rsidR="00F612E8">
        <w:t xml:space="preserve">nach </w:t>
      </w:r>
      <w:r w:rsidR="00365A77">
        <w:t xml:space="preserve">internen </w:t>
      </w:r>
      <w:r w:rsidR="00F612E8">
        <w:t>Ang</w:t>
      </w:r>
      <w:r w:rsidR="00F50112">
        <w:t>a</w:t>
      </w:r>
      <w:r w:rsidR="00F612E8">
        <w:t xml:space="preserve">ben </w:t>
      </w:r>
      <w:r w:rsidR="008B08A9">
        <w:t xml:space="preserve">allein durch die Bayerische </w:t>
      </w:r>
      <w:r w:rsidR="00E858EC" w:rsidRPr="00E858EC">
        <w:t xml:space="preserve">Finanzverwaltung von </w:t>
      </w:r>
      <w:r w:rsidR="008B08A9">
        <w:t xml:space="preserve">ca. </w:t>
      </w:r>
      <w:r w:rsidR="00E858EC" w:rsidRPr="00E858EC">
        <w:t>80 Mi</w:t>
      </w:r>
      <w:r w:rsidR="008B08A9">
        <w:t xml:space="preserve">llionen </w:t>
      </w:r>
      <w:r w:rsidR="00E858EC" w:rsidRPr="00E858EC">
        <w:t xml:space="preserve">Steuerbescheiden </w:t>
      </w:r>
      <w:r w:rsidR="008B08A9">
        <w:t>schon fast</w:t>
      </w:r>
      <w:r w:rsidR="00E858EC" w:rsidRPr="00E858EC">
        <w:t xml:space="preserve"> 10 % </w:t>
      </w:r>
      <w:r w:rsidR="008B08A9">
        <w:t xml:space="preserve">ganz </w:t>
      </w:r>
      <w:r w:rsidR="00E858EC" w:rsidRPr="00E858EC">
        <w:t>ohne menschliches Zutun erlassen</w:t>
      </w:r>
      <w:r w:rsidR="008B08A9">
        <w:t xml:space="preserve">, indem Expertensysteme zum Einsatz kommen. Städte setzen bereits </w:t>
      </w:r>
      <w:r w:rsidR="008B08A9" w:rsidRPr="00E858EC">
        <w:t xml:space="preserve">Onlineplattformen zur Serviceverbesserung </w:t>
      </w:r>
      <w:r w:rsidR="008B08A9">
        <w:t xml:space="preserve">ein. Es werden </w:t>
      </w:r>
      <w:r w:rsidR="008B08A9" w:rsidRPr="00E858EC">
        <w:t xml:space="preserve">Möglichkeiten </w:t>
      </w:r>
      <w:r w:rsidR="00F612E8">
        <w:t xml:space="preserve">der Erforschung </w:t>
      </w:r>
      <w:r w:rsidR="008B08A9">
        <w:t>einer</w:t>
      </w:r>
      <w:r w:rsidR="008B08A9" w:rsidRPr="00E858EC">
        <w:t xml:space="preserve"> automatischen Erstell</w:t>
      </w:r>
      <w:r w:rsidR="008B08A9">
        <w:t>ung</w:t>
      </w:r>
      <w:r w:rsidR="008B08A9" w:rsidRPr="00E858EC">
        <w:t xml:space="preserve"> öffentlich</w:t>
      </w:r>
      <w:r w:rsidR="008B08A9">
        <w:t>-</w:t>
      </w:r>
      <w:r w:rsidR="008B08A9" w:rsidRPr="00E858EC">
        <w:t>rechtliche</w:t>
      </w:r>
      <w:r w:rsidR="008B08A9">
        <w:t>r</w:t>
      </w:r>
      <w:r w:rsidR="008B08A9" w:rsidRPr="00E858EC">
        <w:t xml:space="preserve"> </w:t>
      </w:r>
      <w:r w:rsidR="008B08A9">
        <w:t xml:space="preserve">Verwaltungsakte </w:t>
      </w:r>
      <w:r w:rsidR="00F612E8">
        <w:t>diskutiert</w:t>
      </w:r>
      <w:r w:rsidR="008B08A9">
        <w:t xml:space="preserve">. Sofern es um öffentliches Baurecht geht, müssten </w:t>
      </w:r>
      <w:r w:rsidR="00F612E8">
        <w:t xml:space="preserve">dazu </w:t>
      </w:r>
      <w:r w:rsidR="008B08A9" w:rsidRPr="00E858EC">
        <w:t>maschinenlesbare Bauanträge</w:t>
      </w:r>
      <w:r w:rsidR="008B08A9">
        <w:t xml:space="preserve"> und Baugenehmigungen</w:t>
      </w:r>
      <w:r w:rsidR="008B08A9" w:rsidRPr="00E858EC">
        <w:t xml:space="preserve"> </w:t>
      </w:r>
      <w:r w:rsidR="008B08A9">
        <w:t xml:space="preserve">verarbeitet werden können, d.h. es </w:t>
      </w:r>
      <w:r w:rsidR="00F612E8">
        <w:t>geht</w:t>
      </w:r>
      <w:r w:rsidR="008B08A9">
        <w:t xml:space="preserve"> nicht nur </w:t>
      </w:r>
      <w:r w:rsidR="00F612E8">
        <w:t xml:space="preserve">um </w:t>
      </w:r>
      <w:r w:rsidR="008B08A9" w:rsidRPr="00E858EC">
        <w:t>natürliche Sprache</w:t>
      </w:r>
      <w:r w:rsidR="008B08A9">
        <w:t xml:space="preserve">, sondern auch </w:t>
      </w:r>
      <w:r w:rsidR="00F612E8">
        <w:t xml:space="preserve">um </w:t>
      </w:r>
      <w:r w:rsidR="008B08A9">
        <w:t xml:space="preserve">Pläne, also </w:t>
      </w:r>
      <w:r w:rsidR="008B08A9" w:rsidRPr="00E858EC">
        <w:t>Bilder</w:t>
      </w:r>
      <w:r w:rsidR="00F612E8">
        <w:t>, die</w:t>
      </w:r>
      <w:r w:rsidR="008B08A9">
        <w:t xml:space="preserve"> durch Maschine</w:t>
      </w:r>
      <w:r w:rsidR="00F612E8">
        <w:t>n zu verarbeiten wären</w:t>
      </w:r>
      <w:r w:rsidR="008B08A9">
        <w:t>.</w:t>
      </w:r>
    </w:p>
    <w:p w14:paraId="522012AD" w14:textId="1FBEB794" w:rsidR="00C3697A" w:rsidRDefault="00791270" w:rsidP="00C3697A">
      <w:r>
        <w:t xml:space="preserve">Justiz und Notariat </w:t>
      </w:r>
      <w:r w:rsidR="00DC12D6">
        <w:t xml:space="preserve">führten im </w:t>
      </w:r>
      <w:r w:rsidR="00DF147F">
        <w:t>Januar 2007</w:t>
      </w:r>
      <w:r w:rsidR="00716AD3">
        <w:t xml:space="preserve"> flächendeckend in Deutschland </w:t>
      </w:r>
      <w:r w:rsidR="00DF147F">
        <w:t>de</w:t>
      </w:r>
      <w:r>
        <w:t>n</w:t>
      </w:r>
      <w:r w:rsidR="00DF147F">
        <w:t xml:space="preserve"> elektronische</w:t>
      </w:r>
      <w:r>
        <w:t>n</w:t>
      </w:r>
      <w:r w:rsidR="00DF147F">
        <w:t xml:space="preserve"> Rechtsverkehr </w:t>
      </w:r>
      <w:r w:rsidR="00F612E8">
        <w:t>zwischen Notariat und</w:t>
      </w:r>
      <w:r w:rsidR="00DF147F">
        <w:t xml:space="preserve"> Handelsregister, und in der Folge auch mit verschiedenen anderen Kommunikationspartnern wie Grundbuchamt und </w:t>
      </w:r>
      <w:r w:rsidR="003172D4">
        <w:t xml:space="preserve">diversen </w:t>
      </w:r>
      <w:r w:rsidR="00DF147F">
        <w:t xml:space="preserve">Behörden </w:t>
      </w:r>
      <w:r w:rsidR="00DC12D6">
        <w:t>ein</w:t>
      </w:r>
      <w:r w:rsidR="00DF147F">
        <w:t xml:space="preserve">. Seit Jahren werden also z.B. alle Handelsregisteranmeldungen, manche Grundbuchanträge und Vorkaufsrechtsanfragen </w:t>
      </w:r>
      <w:proofErr w:type="spellStart"/>
      <w:r w:rsidR="00DF147F">
        <w:t>nurmehr</w:t>
      </w:r>
      <w:proofErr w:type="spellEnd"/>
      <w:r w:rsidR="00DF147F">
        <w:t xml:space="preserve"> elektronisch erledigt. </w:t>
      </w:r>
      <w:r w:rsidR="003179CD">
        <w:t xml:space="preserve">Hierzu wird u.a. </w:t>
      </w:r>
      <w:proofErr w:type="spellStart"/>
      <w:r w:rsidR="00716AD3">
        <w:t>XNotar</w:t>
      </w:r>
      <w:proofErr w:type="spellEnd"/>
      <w:r w:rsidR="00716AD3">
        <w:t xml:space="preserve"> verwendet, eine digitale „Toolbox“ für verschiedene notarielle Aufgaben</w:t>
      </w:r>
      <w:r w:rsidR="003179CD">
        <w:t xml:space="preserve">, wie das besondere </w:t>
      </w:r>
      <w:r w:rsidR="003179CD">
        <w:lastRenderedPageBreak/>
        <w:t>e</w:t>
      </w:r>
      <w:r w:rsidR="00157AA0">
        <w:t>lektronische Notarpostfach</w:t>
      </w:r>
      <w:r w:rsidR="003179CD">
        <w:t>, als Nachfolger des bisherigen Elektronischen Geri</w:t>
      </w:r>
      <w:r w:rsidR="00157AA0">
        <w:t>chts- und Verwaltungspostfaches</w:t>
      </w:r>
      <w:r w:rsidR="003179CD">
        <w:t>, die Verzeichnisse der Bundesnotarkammer (Notarverzeichnis, Not</w:t>
      </w:r>
      <w:r w:rsidR="00157AA0">
        <w:t>arportal, Stammdatenverzeichnis</w:t>
      </w:r>
      <w:r w:rsidR="003179CD">
        <w:t xml:space="preserve">, Standesamtsverzeichnis </w:t>
      </w:r>
      <w:r w:rsidR="00157AA0">
        <w:t>und das Gerichtsverzeichnis</w:t>
      </w:r>
      <w:r w:rsidR="003179CD">
        <w:t>) sowie der XKR-Kostenrechner</w:t>
      </w:r>
      <w:r w:rsidR="00716AD3">
        <w:t xml:space="preserve">. Wie auch sonst </w:t>
      </w:r>
      <w:r w:rsidR="00244A05">
        <w:t>bei</w:t>
      </w:r>
      <w:r w:rsidR="00716AD3">
        <w:t xml:space="preserve"> Legal-Tech üblich, werden rechtliche Prozesse </w:t>
      </w:r>
      <w:r w:rsidR="003179CD">
        <w:t>immer schrittweise dort</w:t>
      </w:r>
      <w:r w:rsidR="00DC12D6">
        <w:t>,</w:t>
      </w:r>
      <w:r w:rsidR="003179CD">
        <w:t xml:space="preserve"> </w:t>
      </w:r>
      <w:r w:rsidR="00716AD3">
        <w:t>wo es möglich ist, digitalisiert.</w:t>
      </w:r>
      <w:r w:rsidR="00DF147F" w:rsidRPr="00DF147F">
        <w:t xml:space="preserve"> </w:t>
      </w:r>
      <w:r w:rsidR="00244A05">
        <w:t>So erreichte der elektronische Rechtsverkehrs in der notariellen Praxis eine beachtliche Leistun</w:t>
      </w:r>
      <w:r w:rsidR="00C3697A">
        <w:t>gsfähigkeit.</w:t>
      </w:r>
      <w:r w:rsidR="00244A05">
        <w:rPr>
          <w:rStyle w:val="Funotenzeichen"/>
        </w:rPr>
        <w:footnoteReference w:id="2"/>
      </w:r>
    </w:p>
    <w:p w14:paraId="0777AFEA" w14:textId="3E15D845" w:rsidR="006E2242" w:rsidRDefault="00F334F0" w:rsidP="006E2242">
      <w:r>
        <w:t>Weiterhin besteht eine große Herausforderung,</w:t>
      </w:r>
      <w:r w:rsidR="006E2242">
        <w:t xml:space="preserve"> </w:t>
      </w:r>
      <w:r>
        <w:t>i</w:t>
      </w:r>
      <w:r w:rsidR="006E2242">
        <w:t xml:space="preserve">nsbesondere </w:t>
      </w:r>
      <w:r>
        <w:t xml:space="preserve">in </w:t>
      </w:r>
      <w:r w:rsidR="006E2242">
        <w:t>unterschiedliche</w:t>
      </w:r>
      <w:r>
        <w:t>n</w:t>
      </w:r>
      <w:r w:rsidR="006E2242">
        <w:t xml:space="preserve"> Konzepte</w:t>
      </w:r>
      <w:r>
        <w:t>n</w:t>
      </w:r>
      <w:r w:rsidR="006E2242">
        <w:t xml:space="preserve"> und Strategien </w:t>
      </w:r>
      <w:r>
        <w:t>der Bundesländer, die</w:t>
      </w:r>
      <w:r w:rsidR="006E2242">
        <w:t xml:space="preserve"> Schnittstellen und „Medienbrüche“ verursachen. So </w:t>
      </w:r>
      <w:r w:rsidR="00086FF0">
        <w:t>sind</w:t>
      </w:r>
      <w:r w:rsidR="006E2242">
        <w:t xml:space="preserve"> die Unterschiede </w:t>
      </w:r>
      <w:r w:rsidR="00086FF0">
        <w:t xml:space="preserve">der in der Justiz genutzten Software </w:t>
      </w:r>
      <w:r w:rsidR="0096312C">
        <w:t>–</w:t>
      </w:r>
      <w:r w:rsidR="00086FF0">
        <w:t xml:space="preserve"> einerseits</w:t>
      </w:r>
      <w:r w:rsidR="006E2242">
        <w:t xml:space="preserve"> </w:t>
      </w:r>
      <w:proofErr w:type="spellStart"/>
      <w:r w:rsidR="006E2242">
        <w:t>SolumStar</w:t>
      </w:r>
      <w:proofErr w:type="spellEnd"/>
      <w:r w:rsidR="006E2242">
        <w:t xml:space="preserve"> (</w:t>
      </w:r>
      <w:r w:rsidR="00086FF0">
        <w:t xml:space="preserve">in </w:t>
      </w:r>
      <w:r w:rsidR="006E2242">
        <w:t xml:space="preserve">14 Bundesländern) und </w:t>
      </w:r>
      <w:r w:rsidR="00086FF0">
        <w:t xml:space="preserve">andererseits </w:t>
      </w:r>
      <w:proofErr w:type="spellStart"/>
      <w:r w:rsidR="006E2242">
        <w:t>Folia</w:t>
      </w:r>
      <w:proofErr w:type="spellEnd"/>
      <w:r w:rsidR="006E2242">
        <w:t>/EGB (</w:t>
      </w:r>
      <w:r w:rsidR="00086FF0">
        <w:t xml:space="preserve">in </w:t>
      </w:r>
      <w:r w:rsidR="006E2242">
        <w:t xml:space="preserve">Baden-Württemberg und Schleswig-Holstein) </w:t>
      </w:r>
      <w:r w:rsidR="0096312C">
        <w:t xml:space="preserve">– </w:t>
      </w:r>
      <w:r w:rsidR="00086FF0">
        <w:t>für eine weitere Digitalisierung der Prozesse hinderlich</w:t>
      </w:r>
      <w:r w:rsidR="006E2242">
        <w:t>.</w:t>
      </w:r>
      <w:r w:rsidR="00831F5E">
        <w:rPr>
          <w:rStyle w:val="Funotenzeichen"/>
        </w:rPr>
        <w:footnoteReference w:id="3"/>
      </w:r>
      <w:r w:rsidR="006E2242">
        <w:t xml:space="preserve"> </w:t>
      </w:r>
      <w:r w:rsidR="00086FF0">
        <w:t>Auch</w:t>
      </w:r>
      <w:r w:rsidR="006E2242">
        <w:t xml:space="preserve"> </w:t>
      </w:r>
      <w:r>
        <w:t>sollte</w:t>
      </w:r>
      <w:r w:rsidR="006E2242">
        <w:t xml:space="preserve"> man den vollständigen (semantischen) Inhalt der </w:t>
      </w:r>
      <w:r w:rsidR="00086FF0">
        <w:t xml:space="preserve">Registeranmeldungen, Grundbuchanträge, etc. und natürlich der </w:t>
      </w:r>
      <w:r w:rsidR="006E2242">
        <w:t xml:space="preserve">Grundbücher </w:t>
      </w:r>
      <w:r w:rsidR="00086FF0">
        <w:t xml:space="preserve">selbst </w:t>
      </w:r>
      <w:r w:rsidR="006E2242">
        <w:t xml:space="preserve">maschinell verarbeiten können. </w:t>
      </w:r>
      <w:r w:rsidR="00086FF0">
        <w:t>Die derzeit verwendeten</w:t>
      </w:r>
      <w:r w:rsidR="006E2242">
        <w:t xml:space="preserve"> PDF/A</w:t>
      </w:r>
      <w:r w:rsidR="0096312C">
        <w:t>-Dokumente</w:t>
      </w:r>
      <w:r w:rsidR="006E2242">
        <w:t xml:space="preserve"> und XML-Strukturdaten </w:t>
      </w:r>
      <w:r w:rsidR="0096312C">
        <w:t xml:space="preserve">sind </w:t>
      </w:r>
      <w:r w:rsidR="00086FF0">
        <w:t>aber</w:t>
      </w:r>
      <w:r w:rsidR="0096312C">
        <w:t xml:space="preserve"> für</w:t>
      </w:r>
      <w:r w:rsidR="00086FF0">
        <w:t xml:space="preserve"> </w:t>
      </w:r>
      <w:r w:rsidR="0096312C">
        <w:t xml:space="preserve">eine maschinelle Sprachverarbeitung (engl. </w:t>
      </w:r>
      <w:proofErr w:type="spellStart"/>
      <w:r w:rsidR="0096312C" w:rsidRPr="004B1052">
        <w:rPr>
          <w:i/>
          <w:iCs/>
        </w:rPr>
        <w:t>n</w:t>
      </w:r>
      <w:r w:rsidR="006E2242" w:rsidRPr="004B1052">
        <w:rPr>
          <w:i/>
          <w:iCs/>
        </w:rPr>
        <w:t>atural</w:t>
      </w:r>
      <w:proofErr w:type="spellEnd"/>
      <w:r w:rsidR="006E2242" w:rsidRPr="004B1052">
        <w:rPr>
          <w:i/>
          <w:iCs/>
        </w:rPr>
        <w:t xml:space="preserve"> </w:t>
      </w:r>
      <w:proofErr w:type="spellStart"/>
      <w:r w:rsidR="0096312C" w:rsidRPr="004B1052">
        <w:rPr>
          <w:i/>
          <w:iCs/>
        </w:rPr>
        <w:t>l</w:t>
      </w:r>
      <w:r w:rsidR="006E2242" w:rsidRPr="004B1052">
        <w:rPr>
          <w:i/>
          <w:iCs/>
        </w:rPr>
        <w:t>anguage</w:t>
      </w:r>
      <w:proofErr w:type="spellEnd"/>
      <w:r w:rsidR="006E2242" w:rsidRPr="004B1052">
        <w:rPr>
          <w:i/>
          <w:iCs/>
        </w:rPr>
        <w:t xml:space="preserve"> </w:t>
      </w:r>
      <w:proofErr w:type="spellStart"/>
      <w:r w:rsidR="0096312C" w:rsidRPr="004B1052">
        <w:rPr>
          <w:i/>
          <w:iCs/>
        </w:rPr>
        <w:t>p</w:t>
      </w:r>
      <w:r w:rsidR="006E2242" w:rsidRPr="004B1052">
        <w:rPr>
          <w:i/>
          <w:iCs/>
        </w:rPr>
        <w:t>rocessing</w:t>
      </w:r>
      <w:proofErr w:type="spellEnd"/>
      <w:r w:rsidR="0096312C">
        <w:t>, NLP)</w:t>
      </w:r>
      <w:r w:rsidR="006E2242">
        <w:t xml:space="preserve"> </w:t>
      </w:r>
      <w:r w:rsidR="00086FF0">
        <w:t>nicht ausreichend</w:t>
      </w:r>
      <w:r w:rsidR="0096312C">
        <w:t>;</w:t>
      </w:r>
      <w:r w:rsidR="00086FF0">
        <w:t xml:space="preserve"> </w:t>
      </w:r>
      <w:r w:rsidR="0096312C">
        <w:t xml:space="preserve">vielmehr werden </w:t>
      </w:r>
      <w:r w:rsidR="006E2242">
        <w:t xml:space="preserve">maschinelesbare Repräsentationen natürlicher Sprache </w:t>
      </w:r>
      <w:r w:rsidR="0096312C">
        <w:t>benötigt.</w:t>
      </w:r>
    </w:p>
    <w:p w14:paraId="58E2935E" w14:textId="51ABFA5C" w:rsidR="00E858EC" w:rsidRPr="00E858EC" w:rsidRDefault="008B08A9" w:rsidP="00E858EC">
      <w:r>
        <w:t xml:space="preserve">Justiz und Anwaltschaft haben </w:t>
      </w:r>
      <w:r w:rsidR="00716AD3">
        <w:t xml:space="preserve">im September 2018 nun </w:t>
      </w:r>
      <w:r>
        <w:t xml:space="preserve">flächendeckend </w:t>
      </w:r>
      <w:r w:rsidR="00716AD3">
        <w:t xml:space="preserve">jedenfalls mit „passiver Nutzungspflicht“ </w:t>
      </w:r>
      <w:r>
        <w:t>das</w:t>
      </w:r>
      <w:r w:rsidR="00E858EC" w:rsidRPr="00E858EC">
        <w:t xml:space="preserve"> besondere elektronische Anwaltspostfach</w:t>
      </w:r>
      <w:r>
        <w:t xml:space="preserve"> (</w:t>
      </w:r>
      <w:proofErr w:type="spellStart"/>
      <w:r>
        <w:t>beA</w:t>
      </w:r>
      <w:proofErr w:type="spellEnd"/>
      <w:r w:rsidR="00E858EC" w:rsidRPr="00E858EC">
        <w:t xml:space="preserve">) </w:t>
      </w:r>
      <w:r w:rsidR="00716AD3">
        <w:t>eingeführt. Auch hier bleibt kritisch zu fragen, inwieweit die Formate der eingereichten Schriftsätze tatsächlich in der Form</w:t>
      </w:r>
      <w:r w:rsidR="00E858EC" w:rsidRPr="00E858EC">
        <w:t xml:space="preserve"> maschinenlesbar</w:t>
      </w:r>
      <w:r w:rsidR="00716AD3">
        <w:t xml:space="preserve"> sind, dass darauf aufbauend komplexere Legal-Tech-Tools </w:t>
      </w:r>
      <w:r w:rsidR="003B1813">
        <w:t xml:space="preserve">(mit semantischer Textverarbeitung) </w:t>
      </w:r>
      <w:r w:rsidR="00716AD3">
        <w:t>entwickelt werden können.</w:t>
      </w:r>
    </w:p>
    <w:p w14:paraId="3C4DAC6C" w14:textId="661C6996" w:rsidR="00E770DD" w:rsidRDefault="00E770DD" w:rsidP="009A4849">
      <w:pPr>
        <w:pStyle w:val="berschrift2"/>
      </w:pPr>
      <w:r>
        <w:t xml:space="preserve">Bedeutung anonymisierter </w:t>
      </w:r>
      <w:r w:rsidR="00157AA0">
        <w:t>U</w:t>
      </w:r>
      <w:r>
        <w:t xml:space="preserve">rteile als Trainingsdaten zur </w:t>
      </w:r>
      <w:r w:rsidR="00B46A3D">
        <w:t>Fort</w:t>
      </w:r>
      <w:r>
        <w:t>entwicklung von E-Justice</w:t>
      </w:r>
    </w:p>
    <w:p w14:paraId="7685F83D" w14:textId="78DDFCC8" w:rsidR="007519B8" w:rsidRDefault="00E770DD" w:rsidP="00E858EC">
      <w:pPr>
        <w:rPr>
          <w:lang w:val="de-DE"/>
        </w:rPr>
      </w:pPr>
      <w:r>
        <w:rPr>
          <w:lang w:val="de-DE"/>
        </w:rPr>
        <w:t xml:space="preserve">Obwohl nun über das </w:t>
      </w:r>
      <w:proofErr w:type="spellStart"/>
      <w:r>
        <w:rPr>
          <w:lang w:val="de-DE"/>
        </w:rPr>
        <w:t>beA</w:t>
      </w:r>
      <w:proofErr w:type="spellEnd"/>
      <w:r>
        <w:rPr>
          <w:lang w:val="de-DE"/>
        </w:rPr>
        <w:t xml:space="preserve"> entsprechende Schriftsätze und auch aufgrund der in der Justiz eingesetzten Software die daraus resultierenden Urteile </w:t>
      </w:r>
      <w:r w:rsidR="001D1CE7">
        <w:rPr>
          <w:lang w:val="de-DE"/>
        </w:rPr>
        <w:t xml:space="preserve">bereits </w:t>
      </w:r>
      <w:r w:rsidR="0057228C">
        <w:rPr>
          <w:lang w:val="de-DE"/>
        </w:rPr>
        <w:t xml:space="preserve">digital </w:t>
      </w:r>
      <w:r>
        <w:rPr>
          <w:lang w:val="de-DE"/>
        </w:rPr>
        <w:t>vorliegen</w:t>
      </w:r>
      <w:r w:rsidR="001D1CE7">
        <w:rPr>
          <w:lang w:val="de-DE"/>
        </w:rPr>
        <w:t>,</w:t>
      </w:r>
      <w:r>
        <w:rPr>
          <w:lang w:val="de-DE"/>
        </w:rPr>
        <w:t xml:space="preserve"> können diese (noch) nicht </w:t>
      </w:r>
      <w:r w:rsidR="009A03D8">
        <w:rPr>
          <w:lang w:val="de-DE"/>
        </w:rPr>
        <w:t xml:space="preserve">in ausreichender Zahl </w:t>
      </w:r>
      <w:r w:rsidR="0057228C">
        <w:rPr>
          <w:lang w:val="de-DE"/>
        </w:rPr>
        <w:t xml:space="preserve">für NLP-Analysen sowie </w:t>
      </w:r>
      <w:r>
        <w:rPr>
          <w:lang w:val="de-DE"/>
        </w:rPr>
        <w:t>als Trainingsdaten</w:t>
      </w:r>
      <w:r w:rsidR="00365A77" w:rsidRPr="00C14010">
        <w:rPr>
          <w:rStyle w:val="Funotenzeichen"/>
        </w:rPr>
        <w:footnoteReference w:id="4"/>
      </w:r>
      <w:r>
        <w:rPr>
          <w:lang w:val="de-DE"/>
        </w:rPr>
        <w:t xml:space="preserve"> für </w:t>
      </w:r>
      <w:r w:rsidR="0057228C">
        <w:rPr>
          <w:lang w:val="de-DE"/>
        </w:rPr>
        <w:t xml:space="preserve">maschinelle Lernverfahren (engl. </w:t>
      </w:r>
      <w:proofErr w:type="spellStart"/>
      <w:r w:rsidR="0057228C" w:rsidRPr="004B1052">
        <w:rPr>
          <w:i/>
          <w:iCs/>
          <w:lang w:val="de-DE"/>
        </w:rPr>
        <w:t>m</w:t>
      </w:r>
      <w:r w:rsidRPr="004B1052">
        <w:rPr>
          <w:i/>
          <w:iCs/>
          <w:lang w:val="de-DE"/>
        </w:rPr>
        <w:t>achine</w:t>
      </w:r>
      <w:proofErr w:type="spellEnd"/>
      <w:r w:rsidR="0057228C" w:rsidRPr="004B1052">
        <w:rPr>
          <w:i/>
          <w:iCs/>
          <w:lang w:val="de-DE"/>
        </w:rPr>
        <w:t xml:space="preserve"> </w:t>
      </w:r>
      <w:proofErr w:type="spellStart"/>
      <w:r w:rsidR="0057228C" w:rsidRPr="004B1052">
        <w:rPr>
          <w:i/>
          <w:iCs/>
          <w:lang w:val="de-DE"/>
        </w:rPr>
        <w:t>l</w:t>
      </w:r>
      <w:r w:rsidR="00DC12D6" w:rsidRPr="004B1052">
        <w:rPr>
          <w:i/>
          <w:iCs/>
          <w:lang w:val="de-DE"/>
        </w:rPr>
        <w:t>earning</w:t>
      </w:r>
      <w:proofErr w:type="spellEnd"/>
      <w:r w:rsidR="0057228C">
        <w:rPr>
          <w:lang w:val="de-DE"/>
        </w:rPr>
        <w:t>, ML)</w:t>
      </w:r>
      <w:r>
        <w:rPr>
          <w:lang w:val="de-DE"/>
        </w:rPr>
        <w:t xml:space="preserve"> </w:t>
      </w:r>
      <w:r w:rsidR="0057228C">
        <w:rPr>
          <w:lang w:val="de-DE"/>
        </w:rPr>
        <w:t xml:space="preserve">genutzt </w:t>
      </w:r>
      <w:r>
        <w:rPr>
          <w:lang w:val="de-DE"/>
        </w:rPr>
        <w:t>werden</w:t>
      </w:r>
      <w:r w:rsidR="007519B8">
        <w:rPr>
          <w:lang w:val="de-DE"/>
        </w:rPr>
        <w:t>, was aber eine wesentliche Voraussetzung für die Entwicklung weiterführender Legal-Tech-Tools wäre.</w:t>
      </w:r>
      <w:r w:rsidR="00F424ED">
        <w:rPr>
          <w:lang w:val="de-DE"/>
        </w:rPr>
        <w:t xml:space="preserve"> </w:t>
      </w:r>
      <w:r w:rsidR="001D1CE7">
        <w:rPr>
          <w:lang w:val="de-DE"/>
        </w:rPr>
        <w:t xml:space="preserve">Daher </w:t>
      </w:r>
      <w:r>
        <w:rPr>
          <w:lang w:val="de-DE"/>
        </w:rPr>
        <w:t xml:space="preserve">fehlen </w:t>
      </w:r>
      <w:r w:rsidR="001D1CE7">
        <w:rPr>
          <w:lang w:val="de-DE"/>
        </w:rPr>
        <w:t>in Deutschland bis heute z.B. gut funktionierende</w:t>
      </w:r>
      <w:r>
        <w:rPr>
          <w:lang w:val="de-DE"/>
        </w:rPr>
        <w:t xml:space="preserve"> </w:t>
      </w:r>
      <w:proofErr w:type="spellStart"/>
      <w:r w:rsidR="00C57A88">
        <w:rPr>
          <w:lang w:val="de-DE"/>
        </w:rPr>
        <w:t>P</w:t>
      </w:r>
      <w:r w:rsidR="00D27898">
        <w:rPr>
          <w:lang w:val="de-DE"/>
        </w:rPr>
        <w:t>redictive</w:t>
      </w:r>
      <w:proofErr w:type="spellEnd"/>
      <w:r w:rsidR="00D27898">
        <w:rPr>
          <w:lang w:val="de-DE"/>
        </w:rPr>
        <w:t xml:space="preserve"> </w:t>
      </w:r>
      <w:r>
        <w:rPr>
          <w:lang w:val="de-DE"/>
        </w:rPr>
        <w:t xml:space="preserve">Tools, wie </w:t>
      </w:r>
      <w:r w:rsidR="001D1CE7">
        <w:rPr>
          <w:lang w:val="de-DE"/>
        </w:rPr>
        <w:t xml:space="preserve">diese </w:t>
      </w:r>
      <w:r>
        <w:rPr>
          <w:lang w:val="de-DE"/>
        </w:rPr>
        <w:lastRenderedPageBreak/>
        <w:t>in den USA</w:t>
      </w:r>
      <w:r w:rsidR="001D1CE7">
        <w:rPr>
          <w:lang w:val="de-DE"/>
        </w:rPr>
        <w:t xml:space="preserve"> bereits erfolgreich eingesetzt werden</w:t>
      </w:r>
      <w:r w:rsidR="00011168">
        <w:rPr>
          <w:rStyle w:val="Funotenzeichen"/>
          <w:lang w:val="de-DE"/>
        </w:rPr>
        <w:footnoteReference w:id="5"/>
      </w:r>
      <w:r>
        <w:rPr>
          <w:lang w:val="de-DE"/>
        </w:rPr>
        <w:t xml:space="preserve">, oder gar ein </w:t>
      </w:r>
      <w:r w:rsidR="0057228C">
        <w:rPr>
          <w:lang w:val="de-DE"/>
        </w:rPr>
        <w:t xml:space="preserve">Werkzeug </w:t>
      </w:r>
      <w:r>
        <w:rPr>
          <w:lang w:val="de-DE"/>
        </w:rPr>
        <w:t xml:space="preserve">zur </w:t>
      </w:r>
      <w:r w:rsidR="0057228C">
        <w:rPr>
          <w:lang w:val="de-DE"/>
        </w:rPr>
        <w:t xml:space="preserve">automatischen Erstellung </w:t>
      </w:r>
      <w:r>
        <w:rPr>
          <w:lang w:val="de-DE"/>
        </w:rPr>
        <w:t>von Urteilsentwürfen auf Grundlage bisheriger Gerichtsentscheidungen.</w:t>
      </w:r>
      <w:r w:rsidR="00011168">
        <w:rPr>
          <w:rStyle w:val="Funotenzeichen"/>
          <w:lang w:val="de-DE"/>
        </w:rPr>
        <w:footnoteReference w:id="6"/>
      </w:r>
    </w:p>
    <w:p w14:paraId="19CEB3DC" w14:textId="7F62962B" w:rsidR="001D1CE7" w:rsidRDefault="00E770DD" w:rsidP="00253AAB">
      <w:pPr>
        <w:rPr>
          <w:lang w:val="de-DE"/>
        </w:rPr>
      </w:pPr>
      <w:r>
        <w:rPr>
          <w:lang w:val="de-DE"/>
        </w:rPr>
        <w:t>D</w:t>
      </w:r>
      <w:r w:rsidR="001D1CE7">
        <w:rPr>
          <w:lang w:val="de-DE"/>
        </w:rPr>
        <w:t>ass</w:t>
      </w:r>
      <w:r>
        <w:rPr>
          <w:lang w:val="de-DE"/>
        </w:rPr>
        <w:t xml:space="preserve"> nicht genügend Gerichtsurteile als Trainingsdaten zur Verfügung</w:t>
      </w:r>
      <w:r w:rsidR="001D1CE7">
        <w:rPr>
          <w:lang w:val="de-DE"/>
        </w:rPr>
        <w:t xml:space="preserve"> stehen</w:t>
      </w:r>
      <w:r w:rsidR="00011168">
        <w:rPr>
          <w:rStyle w:val="Funotenzeichen"/>
          <w:lang w:val="de-DE"/>
        </w:rPr>
        <w:footnoteReference w:id="7"/>
      </w:r>
      <w:r>
        <w:rPr>
          <w:lang w:val="de-DE"/>
        </w:rPr>
        <w:t xml:space="preserve"> </w:t>
      </w:r>
      <w:r w:rsidR="00253AAB">
        <w:rPr>
          <w:lang w:val="de-DE"/>
        </w:rPr>
        <w:t xml:space="preserve">überrascht zunächst, weil in Deutschland die Rechtsprechung </w:t>
      </w:r>
      <w:r w:rsidR="00994E5D">
        <w:rPr>
          <w:lang w:val="de-DE"/>
        </w:rPr>
        <w:t xml:space="preserve">seit Jahren </w:t>
      </w:r>
      <w:r w:rsidR="00253AAB">
        <w:rPr>
          <w:lang w:val="de-DE"/>
        </w:rPr>
        <w:t>ein</w:t>
      </w:r>
      <w:r w:rsidR="00994E5D">
        <w:rPr>
          <w:lang w:val="de-DE"/>
        </w:rPr>
        <w:t>e</w:t>
      </w:r>
      <w:r w:rsidR="00253AAB">
        <w:rPr>
          <w:lang w:val="de-DE"/>
        </w:rPr>
        <w:t xml:space="preserve"> Veröffentlichungspflicht von Entscheidungen aus dem Rechts</w:t>
      </w:r>
      <w:r w:rsidR="00253AAB" w:rsidRPr="00253AAB">
        <w:rPr>
          <w:lang w:val="de-DE"/>
        </w:rPr>
        <w:t xml:space="preserve">staatsgebot einschließlich der </w:t>
      </w:r>
      <w:r w:rsidR="00253AAB">
        <w:rPr>
          <w:lang w:val="de-DE"/>
        </w:rPr>
        <w:t>Justizgewährungspflicht, dem De</w:t>
      </w:r>
      <w:r w:rsidR="00253AAB" w:rsidRPr="00253AAB">
        <w:rPr>
          <w:lang w:val="de-DE"/>
        </w:rPr>
        <w:t>mokratiegebot und de</w:t>
      </w:r>
      <w:r w:rsidR="00994E5D">
        <w:rPr>
          <w:lang w:val="de-DE"/>
        </w:rPr>
        <w:t>m Grundsatz der Gewaltenteilung judiziert.</w:t>
      </w:r>
      <w:r w:rsidR="00994E5D">
        <w:rPr>
          <w:rStyle w:val="Funotenzeichen"/>
          <w:lang w:val="de-DE"/>
        </w:rPr>
        <w:footnoteReference w:id="8"/>
      </w:r>
      <w:r w:rsidR="00994E5D">
        <w:rPr>
          <w:lang w:val="de-DE"/>
        </w:rPr>
        <w:t xml:space="preserve"> Das Problem liegt jedoch darin, dass die</w:t>
      </w:r>
      <w:r w:rsidR="001D1CE7">
        <w:rPr>
          <w:lang w:val="de-DE"/>
        </w:rPr>
        <w:t xml:space="preserve"> </w:t>
      </w:r>
      <w:r w:rsidR="002A1E94">
        <w:rPr>
          <w:lang w:val="de-DE"/>
        </w:rPr>
        <w:t>U</w:t>
      </w:r>
      <w:r>
        <w:rPr>
          <w:lang w:val="de-DE"/>
        </w:rPr>
        <w:t>rtei</w:t>
      </w:r>
      <w:r w:rsidR="00E929B1">
        <w:rPr>
          <w:lang w:val="de-DE"/>
        </w:rPr>
        <w:t>le durch die Justizverwaltungen</w:t>
      </w:r>
      <w:r w:rsidR="001D1CE7">
        <w:rPr>
          <w:lang w:val="de-DE"/>
        </w:rPr>
        <w:t xml:space="preserve"> </w:t>
      </w:r>
      <w:r>
        <w:rPr>
          <w:lang w:val="de-DE"/>
        </w:rPr>
        <w:t>nur anonymisiert veröffentlicht werden</w:t>
      </w:r>
      <w:r w:rsidR="00E929B1">
        <w:rPr>
          <w:lang w:val="de-DE"/>
        </w:rPr>
        <w:t xml:space="preserve"> dürfen</w:t>
      </w:r>
      <w:r>
        <w:rPr>
          <w:lang w:val="de-DE"/>
        </w:rPr>
        <w:t>. Da die Anonymisierung derzeit bundeslandspezifisch auf verschiedene</w:t>
      </w:r>
      <w:r w:rsidR="00DE6427">
        <w:rPr>
          <w:lang w:val="de-DE"/>
        </w:rPr>
        <w:t>n</w:t>
      </w:r>
      <w:r>
        <w:rPr>
          <w:lang w:val="de-DE"/>
        </w:rPr>
        <w:t xml:space="preserve"> Rechtsgrundlagen </w:t>
      </w:r>
      <w:r w:rsidR="00572729">
        <w:rPr>
          <w:lang w:val="de-DE"/>
        </w:rPr>
        <w:t>umgesetzt</w:t>
      </w:r>
      <w:r>
        <w:rPr>
          <w:lang w:val="de-DE"/>
        </w:rPr>
        <w:t xml:space="preserve"> wird, technisch nicht in einheitlicher Form und insbesondere noch vollständig manuell </w:t>
      </w:r>
      <w:r w:rsidR="00DE6427">
        <w:rPr>
          <w:lang w:val="de-DE"/>
        </w:rPr>
        <w:t>erfolgt</w:t>
      </w:r>
      <w:r>
        <w:rPr>
          <w:lang w:val="de-DE"/>
        </w:rPr>
        <w:t xml:space="preserve">, sind </w:t>
      </w:r>
      <w:r w:rsidR="00F152F4">
        <w:rPr>
          <w:lang w:val="de-DE"/>
        </w:rPr>
        <w:t xml:space="preserve">wohl </w:t>
      </w:r>
      <w:r>
        <w:rPr>
          <w:lang w:val="de-DE"/>
        </w:rPr>
        <w:t xml:space="preserve">nicht einmal 2 % aller Gerichtsurteile </w:t>
      </w:r>
      <w:r w:rsidR="001D1CE7">
        <w:rPr>
          <w:lang w:val="de-DE"/>
        </w:rPr>
        <w:t xml:space="preserve">in Deutschland </w:t>
      </w:r>
      <w:r>
        <w:rPr>
          <w:lang w:val="de-DE"/>
        </w:rPr>
        <w:t>veröffentlicht.</w:t>
      </w:r>
      <w:r w:rsidR="00365A77">
        <w:rPr>
          <w:rStyle w:val="Funotenzeichen"/>
          <w:lang w:val="de-DE"/>
        </w:rPr>
        <w:footnoteReference w:id="9"/>
      </w:r>
    </w:p>
    <w:p w14:paraId="5CA78A45" w14:textId="104C27EF" w:rsidR="007519B8" w:rsidRDefault="00AB3C14" w:rsidP="007519B8">
      <w:pPr>
        <w:rPr>
          <w:lang w:val="de-DE"/>
        </w:rPr>
      </w:pPr>
      <w:r>
        <w:rPr>
          <w:lang w:val="de-DE"/>
        </w:rPr>
        <w:t xml:space="preserve">Insbesondere mit Hilfe </w:t>
      </w:r>
      <w:proofErr w:type="spellStart"/>
      <w:r>
        <w:rPr>
          <w:lang w:val="de-DE"/>
        </w:rPr>
        <w:t>korpus</w:t>
      </w:r>
      <w:proofErr w:type="spellEnd"/>
      <w:r>
        <w:rPr>
          <w:lang w:val="de-DE"/>
        </w:rPr>
        <w:t>- und computerlinguistischer Verfahren</w:t>
      </w:r>
      <w:r w:rsidR="00E770DD">
        <w:rPr>
          <w:lang w:val="de-DE"/>
        </w:rPr>
        <w:t xml:space="preserve"> arbeiten</w:t>
      </w:r>
      <w:r w:rsidR="001D1CE7">
        <w:rPr>
          <w:lang w:val="de-DE"/>
        </w:rPr>
        <w:t xml:space="preserve"> wir</w:t>
      </w:r>
      <w:r w:rsidR="00E770DD">
        <w:rPr>
          <w:lang w:val="de-DE"/>
        </w:rPr>
        <w:t xml:space="preserve"> im Rahmen eines Forschungsprojektes mit dem Bayerischen </w:t>
      </w:r>
      <w:r w:rsidR="00002C2E">
        <w:rPr>
          <w:lang w:val="de-DE"/>
        </w:rPr>
        <w:t>Staatsministerium der Justiz</w:t>
      </w:r>
      <w:r w:rsidR="00E770DD">
        <w:rPr>
          <w:lang w:val="de-DE"/>
        </w:rPr>
        <w:t xml:space="preserve"> an rechtlichen und technischen Fragen </w:t>
      </w:r>
      <w:r w:rsidR="003D184B">
        <w:rPr>
          <w:lang w:val="de-DE"/>
        </w:rPr>
        <w:t xml:space="preserve">zur </w:t>
      </w:r>
      <w:r w:rsidR="00E770DD">
        <w:rPr>
          <w:lang w:val="de-DE"/>
        </w:rPr>
        <w:t>Möglichkeit einer im Idealfall vollautomatis</w:t>
      </w:r>
      <w:r w:rsidR="002A1E94">
        <w:rPr>
          <w:lang w:val="de-DE"/>
        </w:rPr>
        <w:t>chen</w:t>
      </w:r>
      <w:r w:rsidR="00FE33FC">
        <w:rPr>
          <w:rStyle w:val="Funotenzeichen"/>
        </w:rPr>
        <w:footnoteReference w:id="10"/>
      </w:r>
      <w:r w:rsidR="002A1E94">
        <w:rPr>
          <w:lang w:val="de-DE"/>
        </w:rPr>
        <w:t xml:space="preserve"> Anonymisierung von U</w:t>
      </w:r>
      <w:r w:rsidR="00E770DD">
        <w:rPr>
          <w:lang w:val="de-DE"/>
        </w:rPr>
        <w:t>rteilen.</w:t>
      </w:r>
      <w:r w:rsidR="00994753">
        <w:rPr>
          <w:lang w:val="de-DE"/>
        </w:rPr>
        <w:t xml:space="preserve"> </w:t>
      </w:r>
      <w:r w:rsidR="007519B8">
        <w:rPr>
          <w:lang w:val="de-DE"/>
        </w:rPr>
        <w:t>So</w:t>
      </w:r>
      <w:r w:rsidR="007861C8">
        <w:rPr>
          <w:lang w:val="de-DE"/>
        </w:rPr>
        <w:t>lange</w:t>
      </w:r>
      <w:r w:rsidR="00C00896">
        <w:rPr>
          <w:lang w:val="de-DE"/>
        </w:rPr>
        <w:t xml:space="preserve"> anonymisierte</w:t>
      </w:r>
      <w:r w:rsidR="007519B8">
        <w:rPr>
          <w:lang w:val="de-DE"/>
        </w:rPr>
        <w:t xml:space="preserve"> Urteile</w:t>
      </w:r>
      <w:r w:rsidR="007861C8">
        <w:rPr>
          <w:lang w:val="de-DE"/>
        </w:rPr>
        <w:t xml:space="preserve"> nicht</w:t>
      </w:r>
      <w:r w:rsidR="007519B8">
        <w:rPr>
          <w:lang w:val="de-DE"/>
        </w:rPr>
        <w:t xml:space="preserve"> in </w:t>
      </w:r>
      <w:r w:rsidR="00C00896">
        <w:rPr>
          <w:lang w:val="de-DE"/>
        </w:rPr>
        <w:t xml:space="preserve">ausreichender </w:t>
      </w:r>
      <w:r w:rsidR="007519B8">
        <w:rPr>
          <w:lang w:val="de-DE"/>
        </w:rPr>
        <w:t xml:space="preserve">Zahl als Trainingsdaten für subsymbolische KI-Verfahren </w:t>
      </w:r>
      <w:r w:rsidR="00C00896">
        <w:rPr>
          <w:lang w:val="de-DE"/>
        </w:rPr>
        <w:t>verfügbar sind</w:t>
      </w:r>
      <w:r w:rsidR="007519B8">
        <w:rPr>
          <w:lang w:val="de-DE"/>
        </w:rPr>
        <w:t>, wird der Rechtsstandor</w:t>
      </w:r>
      <w:r w:rsidR="00C00896">
        <w:rPr>
          <w:lang w:val="de-DE"/>
        </w:rPr>
        <w:t xml:space="preserve">t Deutschland </w:t>
      </w:r>
      <w:r w:rsidR="007519B8">
        <w:rPr>
          <w:lang w:val="de-DE"/>
        </w:rPr>
        <w:t>im Vergleich zu den USA ins Hintertreffen geraten.</w:t>
      </w:r>
    </w:p>
    <w:p w14:paraId="0FE2E29A" w14:textId="621C3D00" w:rsidR="0074472D" w:rsidRDefault="00E45667" w:rsidP="00C704A9">
      <w:pPr>
        <w:pStyle w:val="berschrift1"/>
      </w:pPr>
      <w:r>
        <w:t xml:space="preserve">Rechtliche </w:t>
      </w:r>
      <w:r w:rsidR="0074472D">
        <w:t xml:space="preserve">Herausforderungen </w:t>
      </w:r>
      <w:r>
        <w:t>bei der</w:t>
      </w:r>
      <w:r w:rsidR="0074472D">
        <w:t xml:space="preserve"> Anonymisierung von juristischen Texten</w:t>
      </w:r>
    </w:p>
    <w:p w14:paraId="0E1BE0D3" w14:textId="1E3D9DED" w:rsidR="0074472D" w:rsidRDefault="0074472D" w:rsidP="0074472D">
      <w:r>
        <w:t xml:space="preserve">Bei der Anonymisierung von juristischen Texten </w:t>
      </w:r>
      <w:r w:rsidR="007B1ECE">
        <w:t xml:space="preserve">stellen sich </w:t>
      </w:r>
      <w:r>
        <w:t xml:space="preserve">einige </w:t>
      </w:r>
      <w:r w:rsidR="007B1ECE">
        <w:t xml:space="preserve">oft </w:t>
      </w:r>
      <w:r>
        <w:t>unterschätze Herausforderungen. Zunächst ist es im Vergleich zu strukturierten Mikrodaten, die meist in tabellarischer Form vorliegen, nicht trivial</w:t>
      </w:r>
      <w:r w:rsidR="00A67867">
        <w:t>,</w:t>
      </w:r>
      <w:r>
        <w:t xml:space="preserve"> die zu anonymisierenden </w:t>
      </w:r>
      <w:r w:rsidR="00994753">
        <w:t xml:space="preserve">sensitiven </w:t>
      </w:r>
      <w:r>
        <w:t>Informationen in einem Fließtext zu lokalisieren.</w:t>
      </w:r>
      <w:r>
        <w:rPr>
          <w:rStyle w:val="Funotenzeichen"/>
        </w:rPr>
        <w:footnoteReference w:id="11"/>
      </w:r>
      <w:r>
        <w:t xml:space="preserve"> Dafür muss der Mensch oder die Maschine erkennen, in welchen Wörtern kritische Information</w:t>
      </w:r>
      <w:r w:rsidR="007B1ECE">
        <w:t>en</w:t>
      </w:r>
      <w:r>
        <w:t xml:space="preserve"> enthalten </w:t>
      </w:r>
      <w:r w:rsidR="007B1ECE">
        <w:t>sind</w:t>
      </w:r>
      <w:r>
        <w:t xml:space="preserve">. Dies gestaltet sich </w:t>
      </w:r>
      <w:r w:rsidR="007B1ECE">
        <w:t xml:space="preserve">besonders </w:t>
      </w:r>
      <w:r>
        <w:t xml:space="preserve">schwierig, da </w:t>
      </w:r>
      <w:r w:rsidR="007B1ECE">
        <w:t xml:space="preserve">an praktisch allen Stellen des Textes solche </w:t>
      </w:r>
      <w:r>
        <w:t>Informationen auftauchen können oder</w:t>
      </w:r>
      <w:r w:rsidR="00DC12D6">
        <w:t xml:space="preserve"> diese</w:t>
      </w:r>
      <w:r>
        <w:t xml:space="preserve"> erst im </w:t>
      </w:r>
      <w:r w:rsidR="00DC12D6">
        <w:t>Zusammenspiel mehrerer</w:t>
      </w:r>
      <w:r>
        <w:t xml:space="preserve"> Textstellen entstehen. </w:t>
      </w:r>
      <w:r w:rsidR="00DC12D6">
        <w:t xml:space="preserve">Um diese Aufgabe zu bewältigen, </w:t>
      </w:r>
      <w:r>
        <w:t xml:space="preserve">muss man sich fragen, welche Informationen als kritisch einzustufen sind, um diese einer Risikobewertung zu unterziehen und schließlich </w:t>
      </w:r>
      <w:r w:rsidR="00A67867">
        <w:t>entscheiden zu können</w:t>
      </w:r>
      <w:r>
        <w:t>, in welcher Weise sie behandelt werden müssen. Insgesamt zeigt sich bei de</w:t>
      </w:r>
      <w:r w:rsidR="00797C04">
        <w:t>r Anonymisierung von Fließtext</w:t>
      </w:r>
      <w:r>
        <w:t xml:space="preserve"> eine besondere Schwierigkeit, da nicht nur ein angemessener Schutz vor De-Anonymisierung bestehen muss, sondern auch die </w:t>
      </w:r>
      <w:r w:rsidR="004074D2">
        <w:t xml:space="preserve">Syntax </w:t>
      </w:r>
      <w:r>
        <w:t>und Semantik des Textes</w:t>
      </w:r>
      <w:r w:rsidR="00C704A9">
        <w:t xml:space="preserve"> sowie die Relationen zwischen Personen und </w:t>
      </w:r>
      <w:r w:rsidR="007B1ECE">
        <w:t xml:space="preserve">andere juristisch relevante </w:t>
      </w:r>
      <w:r w:rsidR="00C704A9">
        <w:t>Informationen</w:t>
      </w:r>
      <w:r>
        <w:t xml:space="preserve"> hinreichend erhalten bleiben </w:t>
      </w:r>
      <w:r w:rsidR="004074D2">
        <w:t>müssen</w:t>
      </w:r>
      <w:r>
        <w:t>.</w:t>
      </w:r>
    </w:p>
    <w:p w14:paraId="5E8CBEF0" w14:textId="77777777" w:rsidR="0074472D" w:rsidRDefault="0074472D" w:rsidP="0074472D">
      <w:pPr>
        <w:pStyle w:val="berschrift2"/>
        <w:numPr>
          <w:ilvl w:val="1"/>
          <w:numId w:val="29"/>
        </w:numPr>
        <w:ind w:left="567" w:hanging="567"/>
        <w:textAlignment w:val="auto"/>
      </w:pPr>
      <w:r>
        <w:lastRenderedPageBreak/>
        <w:t>Anonymisierung – Vom Volkszählungsgesetz zur modernen Kryptografie</w:t>
      </w:r>
    </w:p>
    <w:p w14:paraId="57D01D11" w14:textId="3A6C45B5" w:rsidR="00FD36E8" w:rsidRDefault="004074D2" w:rsidP="0074472D">
      <w:pPr>
        <w:rPr>
          <w:rStyle w:val="HTMLZitat"/>
          <w:i w:val="0"/>
        </w:rPr>
      </w:pPr>
      <w:r>
        <w:rPr>
          <w:rStyle w:val="HTMLZitat"/>
          <w:i w:val="0"/>
        </w:rPr>
        <w:t>Die Bedeutung des</w:t>
      </w:r>
      <w:r w:rsidRPr="002872A0">
        <w:rPr>
          <w:rStyle w:val="HTMLZitat"/>
          <w:i w:val="0"/>
        </w:rPr>
        <w:t xml:space="preserve"> </w:t>
      </w:r>
      <w:r w:rsidR="0074472D" w:rsidRPr="002872A0">
        <w:rPr>
          <w:rStyle w:val="HTMLZitat"/>
          <w:i w:val="0"/>
        </w:rPr>
        <w:t xml:space="preserve">altgriechischen Worts </w:t>
      </w:r>
      <w:proofErr w:type="spellStart"/>
      <w:r w:rsidR="0074472D" w:rsidRPr="002872A0">
        <w:rPr>
          <w:i/>
          <w:iCs/>
        </w:rPr>
        <w:t>anónymos</w:t>
      </w:r>
      <w:proofErr w:type="spellEnd"/>
      <w:r>
        <w:rPr>
          <w:i/>
          <w:iCs/>
        </w:rPr>
        <w:t xml:space="preserve"> </w:t>
      </w:r>
      <w:r>
        <w:t xml:space="preserve">ist </w:t>
      </w:r>
      <w:r w:rsidR="007B1ECE">
        <w:t>„</w:t>
      </w:r>
      <w:r>
        <w:t>ohne Namen</w:t>
      </w:r>
      <w:r w:rsidR="007B1ECE">
        <w:t>“</w:t>
      </w:r>
      <w:r w:rsidR="0074472D" w:rsidRPr="002872A0">
        <w:rPr>
          <w:i/>
          <w:iCs/>
        </w:rPr>
        <w:t>.</w:t>
      </w:r>
      <w:r w:rsidR="0074472D" w:rsidRPr="002872A0">
        <w:rPr>
          <w:rStyle w:val="HTMLZitat"/>
          <w:i w:val="0"/>
        </w:rPr>
        <w:t xml:space="preserve"> Doch die Persönlichkeit und besonders die Personenbeziehbarkeit </w:t>
      </w:r>
      <w:r>
        <w:rPr>
          <w:rStyle w:val="HTMLZitat"/>
          <w:i w:val="0"/>
        </w:rPr>
        <w:t>ergeben</w:t>
      </w:r>
      <w:r w:rsidRPr="002872A0">
        <w:rPr>
          <w:rStyle w:val="HTMLZitat"/>
          <w:i w:val="0"/>
        </w:rPr>
        <w:t xml:space="preserve"> </w:t>
      </w:r>
      <w:r w:rsidR="0074472D" w:rsidRPr="002872A0">
        <w:rPr>
          <w:rStyle w:val="HTMLZitat"/>
          <w:i w:val="0"/>
        </w:rPr>
        <w:t xml:space="preserve">sich </w:t>
      </w:r>
      <w:r w:rsidR="002872A0">
        <w:rPr>
          <w:rStyle w:val="HTMLZitat"/>
          <w:i w:val="0"/>
        </w:rPr>
        <w:t xml:space="preserve">nicht nur aus </w:t>
      </w:r>
      <w:r w:rsidR="0074472D" w:rsidRPr="002872A0">
        <w:rPr>
          <w:rStyle w:val="HTMLZitat"/>
          <w:i w:val="0"/>
        </w:rPr>
        <w:t xml:space="preserve">direkten </w:t>
      </w:r>
      <w:proofErr w:type="spellStart"/>
      <w:r w:rsidR="002872A0">
        <w:rPr>
          <w:rStyle w:val="HTMLZitat"/>
          <w:i w:val="0"/>
        </w:rPr>
        <w:t>Identifikatoren</w:t>
      </w:r>
      <w:proofErr w:type="spellEnd"/>
      <w:r w:rsidR="002872A0">
        <w:rPr>
          <w:rStyle w:val="HTMLZitat"/>
          <w:i w:val="0"/>
        </w:rPr>
        <w:t xml:space="preserve"> wie Name oder Adresse, sondern auch aus</w:t>
      </w:r>
      <w:r w:rsidR="0074472D" w:rsidRPr="002872A0">
        <w:rPr>
          <w:rStyle w:val="HTMLZitat"/>
          <w:i w:val="0"/>
        </w:rPr>
        <w:t xml:space="preserve"> indirekten sowie kombinierten </w:t>
      </w:r>
      <w:proofErr w:type="spellStart"/>
      <w:r w:rsidR="0074472D" w:rsidRPr="002872A0">
        <w:rPr>
          <w:rStyle w:val="HTMLZitat"/>
          <w:i w:val="0"/>
        </w:rPr>
        <w:t>Identifikatoren</w:t>
      </w:r>
      <w:proofErr w:type="spellEnd"/>
      <w:r w:rsidR="00A67867">
        <w:rPr>
          <w:rStyle w:val="HTMLZitat"/>
          <w:i w:val="0"/>
        </w:rPr>
        <w:t>,</w:t>
      </w:r>
      <w:r w:rsidR="0074472D" w:rsidRPr="002872A0">
        <w:rPr>
          <w:rStyle w:val="HTMLZitat"/>
          <w:i w:val="0"/>
        </w:rPr>
        <w:t xml:space="preserve"> die i</w:t>
      </w:r>
      <w:r w:rsidR="00C704A9">
        <w:rPr>
          <w:rStyle w:val="HTMLZitat"/>
          <w:i w:val="0"/>
        </w:rPr>
        <w:t xml:space="preserve">nsgesamt ein Individuum </w:t>
      </w:r>
      <w:r w:rsidR="00E929B1">
        <w:rPr>
          <w:rStyle w:val="HTMLZitat"/>
          <w:i w:val="0"/>
        </w:rPr>
        <w:t>prägen</w:t>
      </w:r>
      <w:r w:rsidR="0074472D" w:rsidRPr="002872A0">
        <w:rPr>
          <w:rStyle w:val="HTMLZitat"/>
          <w:i w:val="0"/>
        </w:rPr>
        <w:t>.</w:t>
      </w:r>
      <w:r w:rsidR="002872A0">
        <w:rPr>
          <w:rStyle w:val="HTMLZitat"/>
          <w:i w:val="0"/>
        </w:rPr>
        <w:t xml:space="preserve"> Diese </w:t>
      </w:r>
      <w:proofErr w:type="spellStart"/>
      <w:r w:rsidR="002872A0">
        <w:rPr>
          <w:rStyle w:val="HTMLZitat"/>
          <w:i w:val="0"/>
        </w:rPr>
        <w:t>Identifikatoren</w:t>
      </w:r>
      <w:proofErr w:type="spellEnd"/>
      <w:r w:rsidR="002872A0">
        <w:rPr>
          <w:rStyle w:val="HTMLZitat"/>
          <w:i w:val="0"/>
        </w:rPr>
        <w:t xml:space="preserve"> können aus zahlreichen unterschiedlichen </w:t>
      </w:r>
      <w:r w:rsidR="00E929B1">
        <w:rPr>
          <w:rStyle w:val="HTMLZitat"/>
          <w:i w:val="0"/>
        </w:rPr>
        <w:t xml:space="preserve">statischen wie wandelbaren </w:t>
      </w:r>
      <w:r w:rsidR="002872A0">
        <w:rPr>
          <w:rStyle w:val="HTMLZitat"/>
          <w:i w:val="0"/>
        </w:rPr>
        <w:t>Merkmale</w:t>
      </w:r>
      <w:r w:rsidR="00165CF8">
        <w:rPr>
          <w:rStyle w:val="HTMLZitat"/>
          <w:i w:val="0"/>
        </w:rPr>
        <w:t>n</w:t>
      </w:r>
      <w:r w:rsidR="002872A0">
        <w:rPr>
          <w:rStyle w:val="HTMLZitat"/>
          <w:i w:val="0"/>
        </w:rPr>
        <w:t xml:space="preserve"> bestehen, wie Geschlecht, Beruf oder Gesundheitszustand</w:t>
      </w:r>
      <w:r>
        <w:rPr>
          <w:rStyle w:val="HTMLZitat"/>
          <w:i w:val="0"/>
        </w:rPr>
        <w:t>,</w:t>
      </w:r>
      <w:r w:rsidR="002872A0">
        <w:rPr>
          <w:rStyle w:val="HTMLZitat"/>
          <w:i w:val="0"/>
        </w:rPr>
        <w:t xml:space="preserve"> aber auch wesentlich </w:t>
      </w:r>
      <w:proofErr w:type="spellStart"/>
      <w:r w:rsidR="002872A0">
        <w:rPr>
          <w:rStyle w:val="HTMLZitat"/>
          <w:i w:val="0"/>
        </w:rPr>
        <w:t>fernliegender</w:t>
      </w:r>
      <w:r w:rsidR="00165CF8">
        <w:rPr>
          <w:rStyle w:val="HTMLZitat"/>
          <w:i w:val="0"/>
        </w:rPr>
        <w:t>en</w:t>
      </w:r>
      <w:proofErr w:type="spellEnd"/>
      <w:r w:rsidR="002872A0">
        <w:rPr>
          <w:rStyle w:val="HTMLZitat"/>
          <w:i w:val="0"/>
        </w:rPr>
        <w:t xml:space="preserve"> Informationen.</w:t>
      </w:r>
      <w:r w:rsidR="006F4072">
        <w:rPr>
          <w:rStyle w:val="Funotenzeichen"/>
          <w:iCs/>
        </w:rPr>
        <w:footnoteReference w:id="12"/>
      </w:r>
      <w:r w:rsidR="002872A0">
        <w:rPr>
          <w:rStyle w:val="HTMLZitat"/>
          <w:i w:val="0"/>
        </w:rPr>
        <w:t xml:space="preserve"> So kann</w:t>
      </w:r>
      <w:r w:rsidR="001C010D">
        <w:rPr>
          <w:rStyle w:val="HTMLZitat"/>
          <w:i w:val="0"/>
        </w:rPr>
        <w:t xml:space="preserve"> bspw.</w:t>
      </w:r>
      <w:r w:rsidR="002872A0">
        <w:rPr>
          <w:rStyle w:val="HTMLZitat"/>
          <w:i w:val="0"/>
        </w:rPr>
        <w:t xml:space="preserve"> </w:t>
      </w:r>
      <w:r w:rsidR="00C704A9">
        <w:rPr>
          <w:rStyle w:val="HTMLZitat"/>
          <w:i w:val="0"/>
        </w:rPr>
        <w:t>e</w:t>
      </w:r>
      <w:r w:rsidR="002872A0">
        <w:rPr>
          <w:rStyle w:val="HTMLZitat"/>
          <w:i w:val="0"/>
        </w:rPr>
        <w:t>in Wohnort nicht nur über die Adresse dargestellt werden, sondern</w:t>
      </w:r>
      <w:r w:rsidR="0074472D" w:rsidRPr="002872A0">
        <w:rPr>
          <w:rStyle w:val="HTMLZitat"/>
          <w:i w:val="0"/>
        </w:rPr>
        <w:t xml:space="preserve"> </w:t>
      </w:r>
      <w:r w:rsidR="002872A0">
        <w:rPr>
          <w:rStyle w:val="HTMLZitat"/>
          <w:i w:val="0"/>
        </w:rPr>
        <w:t xml:space="preserve">über deskriptive Merkmale, wie </w:t>
      </w:r>
      <w:r w:rsidR="00E929B1">
        <w:rPr>
          <w:rStyle w:val="HTMLZitat"/>
          <w:i w:val="0"/>
        </w:rPr>
        <w:t>das</w:t>
      </w:r>
      <w:r w:rsidR="00165CF8">
        <w:rPr>
          <w:rStyle w:val="HTMLZitat"/>
          <w:i w:val="0"/>
        </w:rPr>
        <w:t xml:space="preserve"> </w:t>
      </w:r>
      <w:r w:rsidR="00E929B1" w:rsidRPr="00E929B1">
        <w:rPr>
          <w:rStyle w:val="HTMLZitat"/>
          <w:i w:val="0"/>
        </w:rPr>
        <w:t>(</w:t>
      </w:r>
      <w:r w:rsidR="002872A0" w:rsidRPr="00E929B1">
        <w:rPr>
          <w:rStyle w:val="HTMLZitat"/>
          <w:i w:val="0"/>
        </w:rPr>
        <w:t xml:space="preserve">einzige) rote Haus in einem </w:t>
      </w:r>
      <w:r w:rsidR="00165CF8" w:rsidRPr="00E929B1">
        <w:rPr>
          <w:rStyle w:val="HTMLZitat"/>
          <w:i w:val="0"/>
        </w:rPr>
        <w:t xml:space="preserve">bestimmten </w:t>
      </w:r>
      <w:r w:rsidR="002872A0" w:rsidRPr="00E929B1">
        <w:rPr>
          <w:rStyle w:val="HTMLZitat"/>
          <w:i w:val="0"/>
        </w:rPr>
        <w:t>kleinen</w:t>
      </w:r>
      <w:r w:rsidR="002872A0">
        <w:rPr>
          <w:rStyle w:val="HTMLZitat"/>
          <w:i w:val="0"/>
        </w:rPr>
        <w:t xml:space="preserve"> Dorf.</w:t>
      </w:r>
      <w:r w:rsidR="006F4072">
        <w:rPr>
          <w:rStyle w:val="HTMLZitat"/>
          <w:i w:val="0"/>
        </w:rPr>
        <w:t xml:space="preserve"> Hier lauert eine häufig unterschätzte Gefahr in Urteilen</w:t>
      </w:r>
      <w:r w:rsidR="00916074">
        <w:rPr>
          <w:rStyle w:val="HTMLZitat"/>
          <w:i w:val="0"/>
        </w:rPr>
        <w:t xml:space="preserve"> aufgrund von kostengünstigen Verknüpfungsmöglichkeiten</w:t>
      </w:r>
      <w:r w:rsidR="00C96596" w:rsidRPr="002E5525">
        <w:rPr>
          <w:rStyle w:val="Funotenzeichen"/>
          <w:iCs/>
        </w:rPr>
        <w:footnoteReference w:id="13"/>
      </w:r>
      <w:r w:rsidR="00966806">
        <w:rPr>
          <w:rStyle w:val="HTMLZitat"/>
          <w:i w:val="0"/>
        </w:rPr>
        <w:t xml:space="preserve"> </w:t>
      </w:r>
      <w:r w:rsidR="008D2787">
        <w:rPr>
          <w:rStyle w:val="HTMLZitat"/>
          <w:i w:val="0"/>
        </w:rPr>
        <w:t xml:space="preserve">eine De-Anonymisierung herbeizuführen </w:t>
      </w:r>
      <w:r w:rsidR="00966806">
        <w:rPr>
          <w:rStyle w:val="HTMLZitat"/>
          <w:i w:val="0"/>
        </w:rPr>
        <w:t>(</w:t>
      </w:r>
      <w:r w:rsidR="00966806" w:rsidRPr="002E5525">
        <w:rPr>
          <w:rStyle w:val="HTMLZitat"/>
          <w:i w:val="0"/>
        </w:rPr>
        <w:t xml:space="preserve">vgl. </w:t>
      </w:r>
      <w:r w:rsidR="008D2787">
        <w:rPr>
          <w:rStyle w:val="HTMLZitat"/>
          <w:i w:val="0"/>
        </w:rPr>
        <w:t xml:space="preserve">zur Häufigkeit von indirekten </w:t>
      </w:r>
      <w:proofErr w:type="spellStart"/>
      <w:r w:rsidR="008D2787">
        <w:rPr>
          <w:rStyle w:val="HTMLZitat"/>
          <w:i w:val="0"/>
        </w:rPr>
        <w:t>Identifikatoren</w:t>
      </w:r>
      <w:proofErr w:type="spellEnd"/>
      <w:r w:rsidR="008D2787">
        <w:rPr>
          <w:rStyle w:val="HTMLZitat"/>
          <w:i w:val="0"/>
        </w:rPr>
        <w:t xml:space="preserve"> </w:t>
      </w:r>
      <w:r w:rsidR="001427B7" w:rsidRPr="002E5525">
        <w:rPr>
          <w:rStyle w:val="HTMLZitat"/>
          <w:i w:val="0"/>
        </w:rPr>
        <w:t>die ersten Projektergebnisse unter 3.</w:t>
      </w:r>
      <w:r w:rsidR="00970324" w:rsidRPr="002E5525">
        <w:rPr>
          <w:rStyle w:val="HTMLZitat"/>
          <w:i w:val="0"/>
        </w:rPr>
        <w:t>3.</w:t>
      </w:r>
      <w:r w:rsidR="00966806" w:rsidRPr="002E5525">
        <w:rPr>
          <w:rStyle w:val="HTMLZitat"/>
          <w:i w:val="0"/>
        </w:rPr>
        <w:t>)</w:t>
      </w:r>
      <w:r w:rsidR="006F4072" w:rsidRPr="002E5525">
        <w:rPr>
          <w:rStyle w:val="HTMLZitat"/>
          <w:i w:val="0"/>
        </w:rPr>
        <w:t>.</w:t>
      </w:r>
    </w:p>
    <w:p w14:paraId="5885F78B" w14:textId="2DD230E4" w:rsidR="0074472D" w:rsidRDefault="00FD36E8" w:rsidP="0074472D">
      <w:r>
        <w:rPr>
          <w:rStyle w:val="HTMLZitat"/>
          <w:i w:val="0"/>
        </w:rPr>
        <w:t xml:space="preserve">Aus den komplexen Merkmalen formt sich </w:t>
      </w:r>
      <w:r w:rsidRPr="002872A0">
        <w:rPr>
          <w:rStyle w:val="HTMLZitat"/>
          <w:i w:val="0"/>
        </w:rPr>
        <w:t>das Recht auf informationelle Selbstbestimmung</w:t>
      </w:r>
      <w:r>
        <w:rPr>
          <w:rStyle w:val="HTMLZitat"/>
          <w:i w:val="0"/>
        </w:rPr>
        <w:t xml:space="preserve">, welches das </w:t>
      </w:r>
      <w:r w:rsidRPr="002872A0">
        <w:rPr>
          <w:rStyle w:val="HTMLZitat"/>
          <w:i w:val="0"/>
        </w:rPr>
        <w:t>Bundesverfassungsgericht</w:t>
      </w:r>
      <w:r>
        <w:rPr>
          <w:rStyle w:val="HTMLZitat"/>
          <w:i w:val="0"/>
        </w:rPr>
        <w:t xml:space="preserve"> im Volkszählungsurteil aus dem allgemeine</w:t>
      </w:r>
      <w:r w:rsidR="004074D2">
        <w:rPr>
          <w:rStyle w:val="HTMLZitat"/>
          <w:i w:val="0"/>
        </w:rPr>
        <w:t>n</w:t>
      </w:r>
      <w:r w:rsidR="0074472D" w:rsidRPr="002872A0">
        <w:rPr>
          <w:rStyle w:val="HTMLZitat"/>
          <w:i w:val="0"/>
        </w:rPr>
        <w:t xml:space="preserve"> Persönlichke</w:t>
      </w:r>
      <w:r w:rsidR="00A13670">
        <w:rPr>
          <w:rStyle w:val="HTMLZitat"/>
          <w:i w:val="0"/>
        </w:rPr>
        <w:t xml:space="preserve">itsrecht </w:t>
      </w:r>
      <w:r w:rsidR="00ED2BDF">
        <w:rPr>
          <w:rStyle w:val="HTMLZitat"/>
          <w:i w:val="0"/>
        </w:rPr>
        <w:t>in</w:t>
      </w:r>
      <w:r w:rsidR="00A13670">
        <w:rPr>
          <w:rStyle w:val="HTMLZitat"/>
          <w:i w:val="0"/>
        </w:rPr>
        <w:t xml:space="preserve"> Art. 2 Abs. 2 GG </w:t>
      </w:r>
      <w:proofErr w:type="spellStart"/>
      <w:r w:rsidR="00A13670">
        <w:rPr>
          <w:rStyle w:val="HTMLZitat"/>
          <w:i w:val="0"/>
        </w:rPr>
        <w:t>i.V.m</w:t>
      </w:r>
      <w:proofErr w:type="spellEnd"/>
      <w:r w:rsidR="00A13670">
        <w:rPr>
          <w:rStyle w:val="HTMLZitat"/>
          <w:i w:val="0"/>
        </w:rPr>
        <w:t>.</w:t>
      </w:r>
      <w:r>
        <w:rPr>
          <w:rStyle w:val="HTMLZitat"/>
          <w:i w:val="0"/>
        </w:rPr>
        <w:t xml:space="preserve"> der Menschenwürde </w:t>
      </w:r>
      <w:r w:rsidR="00ED2BDF">
        <w:rPr>
          <w:rStyle w:val="HTMLZitat"/>
          <w:i w:val="0"/>
        </w:rPr>
        <w:t>in</w:t>
      </w:r>
      <w:r w:rsidR="0074472D" w:rsidRPr="002872A0">
        <w:rPr>
          <w:rStyle w:val="HTMLZitat"/>
          <w:i w:val="0"/>
        </w:rPr>
        <w:t xml:space="preserve"> Art. 1 Abs. 1 GG </w:t>
      </w:r>
      <w:r>
        <w:rPr>
          <w:rStyle w:val="HTMLZitat"/>
          <w:i w:val="0"/>
        </w:rPr>
        <w:t>entwickelt hat</w:t>
      </w:r>
      <w:r w:rsidR="0074472D" w:rsidRPr="002872A0">
        <w:rPr>
          <w:rStyle w:val="HTMLZitat"/>
          <w:i w:val="0"/>
        </w:rPr>
        <w:t>. Jedem Individuum steht es frei</w:t>
      </w:r>
      <w:r w:rsidR="00A67867">
        <w:rPr>
          <w:rStyle w:val="HTMLZitat"/>
          <w:i w:val="0"/>
        </w:rPr>
        <w:t>,</w:t>
      </w:r>
      <w:r w:rsidR="0074472D" w:rsidRPr="002872A0">
        <w:rPr>
          <w:rStyle w:val="HTMLZitat"/>
          <w:i w:val="0"/>
        </w:rPr>
        <w:t xml:space="preserve"> </w:t>
      </w:r>
      <w:r w:rsidR="0074472D" w:rsidRPr="00FD36E8">
        <w:rPr>
          <w:rStyle w:val="HTMLZitat"/>
          <w:i w:val="0"/>
        </w:rPr>
        <w:t>g</w:t>
      </w:r>
      <w:r w:rsidR="0074472D" w:rsidRPr="002872A0">
        <w:t xml:space="preserve">rundsätzlich selbst über die Preisgabe und Verwendung seiner persönlichen Daten zu bestimmen und vor unbegrenzter Erhebung, Speicherung, Verwendung und Weitergabe </w:t>
      </w:r>
      <w:r w:rsidR="0074472D">
        <w:t>geschützt zu sein.</w:t>
      </w:r>
      <w:r w:rsidR="0074472D">
        <w:rPr>
          <w:rStyle w:val="Funotenzeichen"/>
        </w:rPr>
        <w:footnoteReference w:id="14"/>
      </w:r>
      <w:r w:rsidR="0074472D">
        <w:t xml:space="preserve"> Hintergrund der Verfassungsbeschwerden war das Volkszählungsgesetz, das dem Staat statistische Ergebnisse über gesellschaftliche und wirtschaftliche Entwicklungen zur Vorbereitung von Entscheidungen geben sollte. Doch durch die damals zunehmende technische Erfassung und Verknüpfbarkeit von Datenbeständen wuchsen die Gefahren </w:t>
      </w:r>
      <w:r w:rsidR="00D27898">
        <w:t>von</w:t>
      </w:r>
      <w:r w:rsidR="0074472D">
        <w:t xml:space="preserve"> Re-Identifikation und Persönlichkeitsprofilbildung durch Kombination von Zusatzwissen und Datenbeständen. Kurzum, das Statistikgeheimnis aus § 11 des Bundessstatistikgesetz von 1980 und die </w:t>
      </w:r>
      <w:r w:rsidR="00D27898">
        <w:t>judizierte</w:t>
      </w:r>
      <w:r w:rsidR="00942EA6">
        <w:t xml:space="preserve"> </w:t>
      </w:r>
      <w:r w:rsidR="0074472D">
        <w:t>Anonymität aus dem Mikrozensus-Beschluss</w:t>
      </w:r>
      <w:r w:rsidR="0074472D">
        <w:rPr>
          <w:rStyle w:val="Funotenzeichen"/>
        </w:rPr>
        <w:footnoteReference w:id="15"/>
      </w:r>
      <w:r w:rsidR="0074472D">
        <w:t xml:space="preserve"> des Bundesverfassungsgerichts wurden als beeinträchtigt gesehen.</w:t>
      </w:r>
    </w:p>
    <w:p w14:paraId="26768117" w14:textId="40A79970" w:rsidR="0074472D" w:rsidRDefault="00ED2BDF" w:rsidP="0074472D">
      <w:r>
        <w:t>D</w:t>
      </w:r>
      <w:r w:rsidR="007B1ECE">
        <w:t>ies</w:t>
      </w:r>
      <w:r>
        <w:t>er</w:t>
      </w:r>
      <w:r w:rsidR="0074472D">
        <w:t xml:space="preserve"> historische Ausflug zeigt, wo die Wiege des modernen Datenschutzrechts im Sinne einer DSGVO liegt. Viele Begriffe wie Anonymität, Personenbeziehbarkeit, Re-Identifizierbarkeit und deren </w:t>
      </w:r>
      <w:r w:rsidR="0074472D" w:rsidRPr="00F37567">
        <w:t xml:space="preserve">Zusammenhänge </w:t>
      </w:r>
      <w:r w:rsidR="00165CF8" w:rsidRPr="00F37567">
        <w:t>bestehen nach der</w:t>
      </w:r>
      <w:r w:rsidR="0074472D" w:rsidRPr="00F37567">
        <w:t xml:space="preserve"> Grundkonzeption</w:t>
      </w:r>
      <w:r w:rsidR="00165CF8" w:rsidRPr="00F37567">
        <w:t xml:space="preserve"> fort</w:t>
      </w:r>
      <w:r w:rsidR="0074472D" w:rsidRPr="00F37567">
        <w:t>. Auf dieser Basis haben sich jedoch einerseits die Anf</w:t>
      </w:r>
      <w:r w:rsidR="0074472D">
        <w:t>orderungen an die Anonymität und die Anonymisierungstechniken weiterentwickelt, aber andererseits</w:t>
      </w:r>
      <w:r w:rsidR="004074D2">
        <w:t xml:space="preserve"> auch</w:t>
      </w:r>
      <w:r w:rsidR="0074472D">
        <w:t xml:space="preserve"> die Gefahren einer De-Anonymisierung </w:t>
      </w:r>
      <w:r>
        <w:t xml:space="preserve">nochmals </w:t>
      </w:r>
      <w:r w:rsidR="0074472D">
        <w:t>verschärft.</w:t>
      </w:r>
      <w:r w:rsidR="0074472D">
        <w:rPr>
          <w:rStyle w:val="Funotenzeichen"/>
        </w:rPr>
        <w:footnoteReference w:id="16"/>
      </w:r>
      <w:r w:rsidR="0074472D">
        <w:t xml:space="preserve"> </w:t>
      </w:r>
      <w:r>
        <w:t>Zwar</w:t>
      </w:r>
      <w:r w:rsidR="001C010D">
        <w:t xml:space="preserve"> lässt bspw.</w:t>
      </w:r>
      <w:r w:rsidR="0074472D">
        <w:t xml:space="preserve"> die moderne Kryptografie mittels </w:t>
      </w:r>
      <w:proofErr w:type="spellStart"/>
      <w:r w:rsidR="0074472D">
        <w:t>Blockchain</w:t>
      </w:r>
      <w:proofErr w:type="spellEnd"/>
      <w:r w:rsidR="0074472D">
        <w:t>-Technologie</w:t>
      </w:r>
      <w:r w:rsidR="00E45667">
        <w:t xml:space="preserve"> unter bestimmten Rahmenbedingungen</w:t>
      </w:r>
      <w:r w:rsidR="0074472D">
        <w:t xml:space="preserve"> ein anonymes und zugleich transparentes Register</w:t>
      </w:r>
      <w:r w:rsidR="00942EA6">
        <w:t xml:space="preserve"> zu</w:t>
      </w:r>
      <w:r w:rsidR="0074472D">
        <w:t>.</w:t>
      </w:r>
      <w:r w:rsidR="00E45667">
        <w:rPr>
          <w:rStyle w:val="Funotenzeichen"/>
        </w:rPr>
        <w:footnoteReference w:id="17"/>
      </w:r>
      <w:r w:rsidR="0074472D">
        <w:t xml:space="preserve"> Doch </w:t>
      </w:r>
      <w:r w:rsidR="004074D2">
        <w:t xml:space="preserve">gleichzeitig </w:t>
      </w:r>
      <w:r w:rsidR="0074472D">
        <w:t xml:space="preserve">existieren so viele Daten wie noch nie über uns alle </w:t>
      </w:r>
      <w:r w:rsidR="0074472D" w:rsidRPr="00672ADA">
        <w:t xml:space="preserve">in öffentlich zugänglichen </w:t>
      </w:r>
      <w:r w:rsidR="00165CF8" w:rsidRPr="00672ADA">
        <w:t xml:space="preserve">staatlichen oder privaten </w:t>
      </w:r>
      <w:r w:rsidR="0074472D" w:rsidRPr="00672ADA">
        <w:t>Datenbanken.</w:t>
      </w:r>
      <w:r w:rsidR="0074472D">
        <w:t xml:space="preserve"> Diesbezüglich haben einige Re-Identifikationsexperimente gezeigt, wie anfällig die Anonymität ist und mit wie wenigen Merkmalen eine Person identifizier</w:t>
      </w:r>
      <w:r w:rsidR="007B1ECE">
        <w:t>t werden kann</w:t>
      </w:r>
      <w:r w:rsidR="0074472D">
        <w:t>.</w:t>
      </w:r>
      <w:r w:rsidR="0074472D">
        <w:rPr>
          <w:rStyle w:val="Funotenzeichen"/>
        </w:rPr>
        <w:footnoteReference w:id="18"/>
      </w:r>
    </w:p>
    <w:p w14:paraId="2B4310EB" w14:textId="14961AF0" w:rsidR="0074472D" w:rsidRDefault="0074472D" w:rsidP="0074472D">
      <w:r>
        <w:lastRenderedPageBreak/>
        <w:t xml:space="preserve">Diese Gegebenheiten und </w:t>
      </w:r>
      <w:r w:rsidR="00797A81">
        <w:t xml:space="preserve">die </w:t>
      </w:r>
      <w:r>
        <w:t xml:space="preserve">Entwicklung immer schneller </w:t>
      </w:r>
      <w:r w:rsidR="004074D2">
        <w:t xml:space="preserve">wachsender </w:t>
      </w:r>
      <w:r>
        <w:t>Datenbanken, mit einer immensen quantitativen wie qualitativen Dimension</w:t>
      </w:r>
      <w:r w:rsidR="00A67867">
        <w:t>,</w:t>
      </w:r>
      <w:r>
        <w:t xml:space="preserve"> sollten eine Parallele zum ursprünglichen Statistikrecht aufzeigen. Komplexeste Dat</w:t>
      </w:r>
      <w:r w:rsidR="00E45667">
        <w:t>enbanken der großen Internetkonzerne</w:t>
      </w:r>
      <w:r>
        <w:t xml:space="preserve"> entsprechen mittlerweile einer interaktiven Gesellschaftsstatistik, mit der Möglichkeit über </w:t>
      </w:r>
      <w:r w:rsidR="0049777C">
        <w:t>eine Vielzahl an Individuen</w:t>
      </w:r>
      <w:r>
        <w:t xml:space="preserve"> Vorhersagen zu </w:t>
      </w:r>
      <w:r w:rsidR="00797A81">
        <w:t>treffen</w:t>
      </w:r>
      <w:r>
        <w:t xml:space="preserve">. Wenn in Zukunft große Datenbanken aus Urteilen, Bescheiden, Verträgen, Urkunden usw. für </w:t>
      </w:r>
      <w:r w:rsidR="00797A81">
        <w:t>Legal-Tech-</w:t>
      </w:r>
      <w:r>
        <w:t xml:space="preserve">Anwendungen entstehen, dann birgt dies dieselbe Gefahr. Wenn bereits die Justizstatistik mit Angaben über Verfahrensausgänge usw. dem strengen Statistikrecht unterliegt, so muss erst </w:t>
      </w:r>
      <w:r w:rsidR="004074D2">
        <w:t>r</w:t>
      </w:r>
      <w:r>
        <w:t xml:space="preserve">echt eine Datenbank mit den unzähligen Einzelentscheidungen </w:t>
      </w:r>
      <w:r w:rsidR="00797A81">
        <w:t xml:space="preserve">– </w:t>
      </w:r>
      <w:r>
        <w:t>mit wesentlich mehr Merkmalen und einem deutlich höheren Risiko einer Re-Identifizierung</w:t>
      </w:r>
      <w:r w:rsidR="00797A81">
        <w:t xml:space="preserve"> –</w:t>
      </w:r>
      <w:r>
        <w:t xml:space="preserve"> einem strengeren Reglungsregime unterliegen als bloß der DSGVO. Vor diesen Besonderheiten sind </w:t>
      </w:r>
      <w:r w:rsidRPr="00672ADA">
        <w:t xml:space="preserve">die tradierten Begriffe wie Anonymität, Personenbeziehbarkeit und Re-Identifizierung </w:t>
      </w:r>
      <w:r w:rsidR="00797A81">
        <w:t>unter Berücksichtigung</w:t>
      </w:r>
      <w:r w:rsidR="00797A81" w:rsidRPr="00672ADA">
        <w:t xml:space="preserve"> </w:t>
      </w:r>
      <w:r w:rsidR="00797A81">
        <w:t>d</w:t>
      </w:r>
      <w:r w:rsidRPr="00672ADA">
        <w:t>e</w:t>
      </w:r>
      <w:r w:rsidR="00797A81">
        <w:t>r</w:t>
      </w:r>
      <w:r w:rsidRPr="00672ADA">
        <w:t xml:space="preserve"> </w:t>
      </w:r>
      <w:r w:rsidR="00797C04">
        <w:t>aktuellen</w:t>
      </w:r>
      <w:r w:rsidRPr="00672ADA">
        <w:t xml:space="preserve"> technischen </w:t>
      </w:r>
      <w:r w:rsidR="00165CF8" w:rsidRPr="00672ADA">
        <w:t>Möglichkeiten</w:t>
      </w:r>
      <w:r>
        <w:t xml:space="preserve"> einer interdisziplinären</w:t>
      </w:r>
      <w:r>
        <w:rPr>
          <w:rStyle w:val="Funotenzeichen"/>
        </w:rPr>
        <w:footnoteReference w:id="19"/>
      </w:r>
      <w:r>
        <w:t xml:space="preserve"> Beg</w:t>
      </w:r>
      <w:r w:rsidR="00942EA6">
        <w:t>riffsbestimmung zu unterziehen.</w:t>
      </w:r>
    </w:p>
    <w:p w14:paraId="036B7AF8" w14:textId="2A35BF06" w:rsidR="0074472D" w:rsidRDefault="0074472D" w:rsidP="0074472D">
      <w:pPr>
        <w:pStyle w:val="berschrift2"/>
        <w:numPr>
          <w:ilvl w:val="1"/>
          <w:numId w:val="29"/>
        </w:numPr>
        <w:ind w:left="567" w:hanging="567"/>
        <w:textAlignment w:val="auto"/>
      </w:pPr>
      <w:proofErr w:type="spellStart"/>
      <w:r>
        <w:t>Rethinking</w:t>
      </w:r>
      <w:proofErr w:type="spellEnd"/>
      <w:r>
        <w:t xml:space="preserve"> Anonymität, Personenbeziehbarkeit und Re-Identifikation</w:t>
      </w:r>
    </w:p>
    <w:p w14:paraId="33841424" w14:textId="5C53F75D" w:rsidR="00FD36E8" w:rsidRDefault="00DD2578" w:rsidP="0074472D">
      <w:r>
        <w:t xml:space="preserve">Die Überlegungen zur Begriffsbestimmung der Anonymität </w:t>
      </w:r>
      <w:r w:rsidRPr="00672ADA">
        <w:t>reich</w:t>
      </w:r>
      <w:r w:rsidR="00165CF8" w:rsidRPr="00672ADA">
        <w:t>en</w:t>
      </w:r>
      <w:r>
        <w:t xml:space="preserve"> bereits Jahrzehnte zurück. Schnell wurde klar, dass es eine absolute Anonymität </w:t>
      </w:r>
      <w:r w:rsidR="00E13009">
        <w:t>nach rein formalen (m</w:t>
      </w:r>
      <w:r>
        <w:t>athematischen</w:t>
      </w:r>
      <w:r w:rsidR="00E13009">
        <w:t>) Kriterien</w:t>
      </w:r>
      <w:r>
        <w:t xml:space="preserve"> nicht gibt.</w:t>
      </w:r>
      <w:r>
        <w:rPr>
          <w:rStyle w:val="Funotenzeichen"/>
        </w:rPr>
        <w:footnoteReference w:id="20"/>
      </w:r>
      <w:r>
        <w:t xml:space="preserve"> Die </w:t>
      </w:r>
      <w:r w:rsidR="00797A81">
        <w:t xml:space="preserve">zentrale </w:t>
      </w:r>
      <w:r w:rsidRPr="00280D1C">
        <w:t xml:space="preserve">Frage ist also, </w:t>
      </w:r>
      <w:r w:rsidR="00E13009" w:rsidRPr="00280D1C">
        <w:t>ab</w:t>
      </w:r>
      <w:r w:rsidRPr="00280D1C">
        <w:t xml:space="preserve"> welchem </w:t>
      </w:r>
      <w:r w:rsidR="00E13009" w:rsidRPr="00280D1C">
        <w:t>(relative</w:t>
      </w:r>
      <w:r w:rsidR="004074D2">
        <w:t>n</w:t>
      </w:r>
      <w:r w:rsidR="00E13009" w:rsidRPr="00280D1C">
        <w:t xml:space="preserve">) </w:t>
      </w:r>
      <w:r w:rsidRPr="00280D1C">
        <w:t xml:space="preserve">Grad </w:t>
      </w:r>
      <w:r w:rsidR="00522B86">
        <w:t>von zu investierendem Re-Identifikationsaufwand</w:t>
      </w:r>
      <w:r w:rsidR="00E13009" w:rsidRPr="00280D1C">
        <w:t xml:space="preserve"> </w:t>
      </w:r>
      <w:r w:rsidR="0049777C" w:rsidRPr="00280D1C">
        <w:t xml:space="preserve">ein Datensatz als </w:t>
      </w:r>
      <w:r w:rsidRPr="00280D1C">
        <w:t>anonym gelten kann</w:t>
      </w:r>
      <w:r w:rsidR="0049777C" w:rsidRPr="00280D1C">
        <w:t xml:space="preserve"> (sog. faktische Anonymität)</w:t>
      </w:r>
      <w:r w:rsidRPr="00280D1C">
        <w:t>. Dies zeigt</w:t>
      </w:r>
      <w:r w:rsidR="00A67867">
        <w:t>,</w:t>
      </w:r>
      <w:r w:rsidRPr="00280D1C">
        <w:t xml:space="preserve"> </w:t>
      </w:r>
      <w:r w:rsidR="0049777C" w:rsidRPr="00280D1C">
        <w:t>wie normativ der</w:t>
      </w:r>
      <w:r w:rsidRPr="00280D1C">
        <w:t xml:space="preserve"> Begriff </w:t>
      </w:r>
      <w:r w:rsidR="00E13009" w:rsidRPr="00280D1C">
        <w:t xml:space="preserve">der Anonymität </w:t>
      </w:r>
      <w:r w:rsidR="0049777C" w:rsidRPr="00280D1C">
        <w:t>aufgeladen</w:t>
      </w:r>
      <w:r w:rsidRPr="00280D1C">
        <w:t xml:space="preserve"> ist</w:t>
      </w:r>
      <w:r w:rsidR="004074D2">
        <w:t>,</w:t>
      </w:r>
      <w:r w:rsidRPr="00280D1C">
        <w:t xml:space="preserve"> und </w:t>
      </w:r>
      <w:r w:rsidR="00E13009" w:rsidRPr="00280D1C">
        <w:t xml:space="preserve">dass dieser erst </w:t>
      </w:r>
      <w:r w:rsidRPr="00280D1C">
        <w:t xml:space="preserve">mit Hilfe </w:t>
      </w:r>
      <w:r w:rsidR="00E13009" w:rsidRPr="00280D1C">
        <w:t>v</w:t>
      </w:r>
      <w:r w:rsidRPr="00280D1C">
        <w:t>erschiedene</w:t>
      </w:r>
      <w:r w:rsidR="00E13009" w:rsidRPr="00280D1C">
        <w:t>r normativer</w:t>
      </w:r>
      <w:r w:rsidRPr="00280D1C">
        <w:t xml:space="preserve"> Kriterien definiert werden </w:t>
      </w:r>
      <w:r w:rsidR="003F4D99" w:rsidRPr="00280D1C">
        <w:t>kann</w:t>
      </w:r>
      <w:r w:rsidRPr="00280D1C">
        <w:t xml:space="preserve">. Betrachtet man </w:t>
      </w:r>
      <w:proofErr w:type="spellStart"/>
      <w:r w:rsidR="004D79FB" w:rsidRPr="00280D1C">
        <w:t>ErwGr</w:t>
      </w:r>
      <w:proofErr w:type="spellEnd"/>
      <w:r w:rsidR="004D79FB" w:rsidRPr="00280D1C">
        <w:t>.</w:t>
      </w:r>
      <w:r w:rsidR="00C463E2" w:rsidRPr="00280D1C">
        <w:t xml:space="preserve"> 26 </w:t>
      </w:r>
      <w:r w:rsidRPr="00280D1C">
        <w:t xml:space="preserve">DSGVO, so </w:t>
      </w:r>
      <w:r w:rsidR="00C463E2" w:rsidRPr="00280D1C">
        <w:t>ist entscheidend, ob sich die Information auf eine identifizierte oder identifizierbare natürliche Person bezieh</w:t>
      </w:r>
      <w:r w:rsidR="00E13009" w:rsidRPr="00280D1C">
        <w:t>t</w:t>
      </w:r>
      <w:r w:rsidR="00C463E2" w:rsidRPr="00280D1C">
        <w:t xml:space="preserve">. </w:t>
      </w:r>
      <w:r w:rsidR="00E13009" w:rsidRPr="00280D1C">
        <w:t>Zur Feststellung der faktischen Anonymität</w:t>
      </w:r>
      <w:r w:rsidR="00C463E2" w:rsidRPr="00280D1C">
        <w:t xml:space="preserve">, insbesondere für </w:t>
      </w:r>
      <w:r w:rsidR="00E13009" w:rsidRPr="00280D1C">
        <w:t xml:space="preserve">den schwierigeren Fall einer </w:t>
      </w:r>
      <w:r w:rsidR="00C463E2" w:rsidRPr="00280D1C">
        <w:t>indirekte</w:t>
      </w:r>
      <w:r w:rsidR="00A67867">
        <w:t>n</w:t>
      </w:r>
      <w:r w:rsidR="00C463E2" w:rsidRPr="00280D1C">
        <w:t xml:space="preserve"> Identifizierbarkeit, </w:t>
      </w:r>
      <w:r w:rsidR="00E13009" w:rsidRPr="00280D1C">
        <w:t xml:space="preserve">sind </w:t>
      </w:r>
      <w:r w:rsidR="00C463E2" w:rsidRPr="00280D1C">
        <w:t xml:space="preserve">alle objektiven Faktoren wie die Kosten der </w:t>
      </w:r>
      <w:r w:rsidR="00E13009" w:rsidRPr="00280D1C">
        <w:t>Re-</w:t>
      </w:r>
      <w:r w:rsidR="00C463E2" w:rsidRPr="00280D1C">
        <w:t>Identifizierung und der dafür erforderliche Zeitaufwand</w:t>
      </w:r>
      <w:r w:rsidR="001834A4" w:rsidRPr="00280D1C">
        <w:t xml:space="preserve"> zu berücksichtigen</w:t>
      </w:r>
      <w:r w:rsidR="00C463E2" w:rsidRPr="00280D1C">
        <w:t xml:space="preserve">, wobei </w:t>
      </w:r>
      <w:r w:rsidR="001834A4" w:rsidRPr="00280D1C">
        <w:t xml:space="preserve">dafür </w:t>
      </w:r>
      <w:r w:rsidR="00280D1C" w:rsidRPr="00280D1C">
        <w:t xml:space="preserve">die zum Zeitpunkt der </w:t>
      </w:r>
      <w:r w:rsidR="001834A4" w:rsidRPr="00280D1C">
        <w:t xml:space="preserve">Anonymisierung </w:t>
      </w:r>
      <w:r w:rsidR="00C463E2" w:rsidRPr="00280D1C">
        <w:t xml:space="preserve">verfügbare Technologie und </w:t>
      </w:r>
      <w:r w:rsidR="001834A4" w:rsidRPr="00280D1C">
        <w:t xml:space="preserve">die </w:t>
      </w:r>
      <w:r w:rsidR="00C463E2" w:rsidRPr="00280D1C">
        <w:t>technologische</w:t>
      </w:r>
      <w:r w:rsidR="00280D1C" w:rsidRPr="00280D1C">
        <w:t>n</w:t>
      </w:r>
      <w:r w:rsidR="00C463E2" w:rsidRPr="00280D1C">
        <w:t xml:space="preserve"> Entwicklungen</w:t>
      </w:r>
      <w:r w:rsidR="001834A4" w:rsidRPr="00280D1C">
        <w:t xml:space="preserve"> maßgeblich sind</w:t>
      </w:r>
      <w:r w:rsidR="00C463E2" w:rsidRPr="00280D1C">
        <w:t>.</w:t>
      </w:r>
      <w:r w:rsidR="00C463E2">
        <w:t xml:space="preserve"> </w:t>
      </w:r>
      <w:r w:rsidR="004C5441">
        <w:t xml:space="preserve">Diese Bestimmung macht deutlich, dass nicht nur der verarbeitete Datensatz von Relevanz ist, sondern </w:t>
      </w:r>
      <w:r w:rsidR="0049777C">
        <w:t>außerdem</w:t>
      </w:r>
      <w:r w:rsidR="004C5441">
        <w:t xml:space="preserve"> </w:t>
      </w:r>
      <w:r w:rsidR="006B10EF">
        <w:t>das</w:t>
      </w:r>
      <w:r w:rsidR="004C5441">
        <w:t xml:space="preserve"> bestehende Zusatzwissen, welches vom Angreifer zur De-Anonymisierung herangezogen wird. </w:t>
      </w:r>
      <w:r w:rsidR="005D6770">
        <w:t>Dieses Zusatzwissen besteht aus eigenen, allgemein zugänglichen oder nach bestimmte</w:t>
      </w:r>
      <w:r w:rsidR="00696591">
        <w:t>n</w:t>
      </w:r>
      <w:r w:rsidR="005D6770">
        <w:t xml:space="preserve"> Berechtigungen </w:t>
      </w:r>
      <w:r w:rsidR="00696591">
        <w:t xml:space="preserve">legal </w:t>
      </w:r>
      <w:r w:rsidR="005D6770">
        <w:t>verfügbaren Datensätzen, welche der Angreifer nutzt, um Überschneidungen in den Merkmalen oder Merkmalsausprägungen zu entdecken</w:t>
      </w:r>
      <w:r w:rsidR="00A67867">
        <w:t>,</w:t>
      </w:r>
      <w:r w:rsidR="005D6770">
        <w:t xml:space="preserve"> </w:t>
      </w:r>
      <w:r w:rsidR="00696591">
        <w:t>damit</w:t>
      </w:r>
      <w:r w:rsidR="005D6770">
        <w:t xml:space="preserve"> die Merkmalsträger durch den Ausschluss von Doppelgängern mit einer hinreichenden Sicherheit </w:t>
      </w:r>
      <w:proofErr w:type="spellStart"/>
      <w:r w:rsidR="001834A4" w:rsidRPr="00280D1C">
        <w:t>re</w:t>
      </w:r>
      <w:proofErr w:type="spellEnd"/>
      <w:r w:rsidR="001834A4" w:rsidRPr="00280D1C">
        <w:t>-</w:t>
      </w:r>
      <w:r w:rsidR="00696591" w:rsidRPr="00280D1C">
        <w:t>i</w:t>
      </w:r>
      <w:r w:rsidR="00696591">
        <w:t>dentifiziert werden</w:t>
      </w:r>
      <w:r w:rsidR="005D6770">
        <w:t>.</w:t>
      </w:r>
      <w:r w:rsidR="005D6770">
        <w:rPr>
          <w:rStyle w:val="Funotenzeichen"/>
        </w:rPr>
        <w:footnoteReference w:id="21"/>
      </w:r>
    </w:p>
    <w:p w14:paraId="3052B0B3" w14:textId="3F98A8EE" w:rsidR="00C463E2" w:rsidRDefault="006F4072" w:rsidP="0074472D">
      <w:r>
        <w:t xml:space="preserve">Die bisherige Darstellung zeigt, dass der Begriff der Anonymität von </w:t>
      </w:r>
      <w:r w:rsidR="006B10EF">
        <w:t>zahlreichen</w:t>
      </w:r>
      <w:r>
        <w:t xml:space="preserve"> Wertungsentscheidungen abhängt und an vielen Stellen verschied</w:t>
      </w:r>
      <w:r w:rsidR="00696591">
        <w:t>enste Wahrscheinlichkeitsentscheidungen</w:t>
      </w:r>
      <w:r>
        <w:t xml:space="preserve"> getroffen werden müssen. Obwohl diese Einzelwahrscheinlichkeiten aktuell mangels statistischen Datenmaterials nicht bestimmt oder bestimmbar sind</w:t>
      </w:r>
      <w:r w:rsidR="00D23A93">
        <w:t xml:space="preserve">, erfolgt dennoch eine binäre Entscheidung darüber, ob das Datenschutzrecht Anwendung findet oder nicht. </w:t>
      </w:r>
      <w:r w:rsidR="00340648">
        <w:t>Für pseudo-anonyme</w:t>
      </w:r>
      <w:r w:rsidR="00D23A93">
        <w:t xml:space="preserve"> Daten </w:t>
      </w:r>
      <w:r w:rsidR="00340648">
        <w:t xml:space="preserve">existiert </w:t>
      </w:r>
      <w:r w:rsidR="00D23A93">
        <w:t>kein rechtliches Zwischensta</w:t>
      </w:r>
      <w:r w:rsidR="00FA5FA3">
        <w:t xml:space="preserve">dium und damit </w:t>
      </w:r>
      <w:r w:rsidR="00340648">
        <w:t xml:space="preserve">können </w:t>
      </w:r>
      <w:r w:rsidR="00FA5FA3">
        <w:t>Schutzl</w:t>
      </w:r>
      <w:r w:rsidR="00D23A93">
        <w:t>ücken</w:t>
      </w:r>
      <w:r w:rsidR="00340648">
        <w:t xml:space="preserve"> entstehen, wenn</w:t>
      </w:r>
      <w:r w:rsidR="00D23A93">
        <w:t xml:space="preserve"> aufgrund von einer geschickten Kombination </w:t>
      </w:r>
      <w:r w:rsidR="006A2AA7">
        <w:t>(</w:t>
      </w:r>
      <w:proofErr w:type="spellStart"/>
      <w:r w:rsidR="006A2AA7" w:rsidRPr="00183050">
        <w:rPr>
          <w:i/>
          <w:iCs/>
        </w:rPr>
        <w:t>cross-referencing</w:t>
      </w:r>
      <w:proofErr w:type="spellEnd"/>
      <w:r w:rsidR="006A2AA7">
        <w:t xml:space="preserve">) </w:t>
      </w:r>
      <w:r w:rsidR="00D23A93">
        <w:t>von Daten ein Personenbezug herstellbar ist.</w:t>
      </w:r>
      <w:r w:rsidR="00D23A93">
        <w:rPr>
          <w:rStyle w:val="Funotenzeichen"/>
        </w:rPr>
        <w:footnoteReference w:id="22"/>
      </w:r>
      <w:r w:rsidR="00BA0C52">
        <w:t xml:space="preserve"> Damit sich diese Wahrscheinlichkeiten beziffern lassen, muss in Zukunft in </w:t>
      </w:r>
      <w:r w:rsidR="00BA0C52">
        <w:lastRenderedPageBreak/>
        <w:t xml:space="preserve">interdisziplinären Projekten eine empirische Forschung stattfinden, um das </w:t>
      </w:r>
      <w:proofErr w:type="spellStart"/>
      <w:r w:rsidR="00BA0C52">
        <w:t>Anonymity</w:t>
      </w:r>
      <w:proofErr w:type="spellEnd"/>
      <w:r w:rsidR="00BA0C52">
        <w:t>-Set der Merkmalsträger quantitativ wie qualitativ greifbar zu machen.</w:t>
      </w:r>
      <w:r w:rsidR="00FA5FA3">
        <w:rPr>
          <w:rStyle w:val="Funotenzeichen"/>
        </w:rPr>
        <w:footnoteReference w:id="23"/>
      </w:r>
      <w:r w:rsidR="00BA0C52">
        <w:t xml:space="preserve"> Dies ist notwendig, um eine realistische Einschätzung abzugeben, ab wann eine Zuordnung der Einzelangaben zu einer betroffenen Person nur mit </w:t>
      </w:r>
      <w:r w:rsidR="0047567E">
        <w:t xml:space="preserve">einem unvernünftig </w:t>
      </w:r>
      <w:r w:rsidR="00BA0C52">
        <w:t xml:space="preserve">großen Aufwand an Zeit, Kosten und Arbeitskraft möglich </w:t>
      </w:r>
      <w:r w:rsidR="006B10EF">
        <w:t>ist.</w:t>
      </w:r>
      <w:r w:rsidR="00E66395">
        <w:rPr>
          <w:rStyle w:val="Funotenzeichen"/>
        </w:rPr>
        <w:footnoteReference w:id="24"/>
      </w:r>
      <w:r w:rsidR="006A2AA7">
        <w:t xml:space="preserve"> Das</w:t>
      </w:r>
      <w:r w:rsidR="00E66395">
        <w:t xml:space="preserve"> wird helfen</w:t>
      </w:r>
      <w:r w:rsidR="00A67867">
        <w:t>,</w:t>
      </w:r>
      <w:r w:rsidR="00E66395">
        <w:t xml:space="preserve"> die relative Identifizierbarkeit </w:t>
      </w:r>
      <w:r w:rsidR="006A2AA7">
        <w:t>sicht</w:t>
      </w:r>
      <w:r w:rsidR="00E66395">
        <w:t>bar zu machen und festzulegen, welches Zusatzwissen der verarbeitenden Stelle noch zuzurechnen ist.</w:t>
      </w:r>
      <w:r w:rsidR="00E66395">
        <w:rPr>
          <w:rStyle w:val="Funotenzeichen"/>
        </w:rPr>
        <w:footnoteReference w:id="25"/>
      </w:r>
    </w:p>
    <w:p w14:paraId="14722B48" w14:textId="687E484C" w:rsidR="00942EA6" w:rsidRDefault="00942EA6" w:rsidP="00942EA6">
      <w:pPr>
        <w:pStyle w:val="berschrift2"/>
      </w:pPr>
      <w:r>
        <w:t>Anonymisierung von Urteilen – Nicht nur eine Frage der DSGVO</w:t>
      </w:r>
    </w:p>
    <w:p w14:paraId="1DD5C141" w14:textId="7F5F80AE" w:rsidR="004D79FB" w:rsidRDefault="004D79FB" w:rsidP="004D79FB">
      <w:pPr>
        <w:pStyle w:val="berschrift3"/>
      </w:pPr>
      <w:r>
        <w:t>Schutz juristischer Personen</w:t>
      </w:r>
    </w:p>
    <w:p w14:paraId="59D36F6E" w14:textId="0C031772" w:rsidR="00834E59" w:rsidRDefault="00696591" w:rsidP="00942EA6">
      <w:r>
        <w:t>In</w:t>
      </w:r>
      <w:r w:rsidR="00731E7C">
        <w:t xml:space="preserve"> Urteilen </w:t>
      </w:r>
      <w:r>
        <w:t xml:space="preserve">sind </w:t>
      </w:r>
      <w:r w:rsidR="00731E7C">
        <w:t xml:space="preserve">im erheblichen Umfang sensible Informationen </w:t>
      </w:r>
      <w:r>
        <w:t xml:space="preserve">über juristische Personen </w:t>
      </w:r>
      <w:r w:rsidR="00731E7C">
        <w:t>enthalten. Diese lassen sich allein mit den Vorschriften des Datenschutzrechts nicht adäquat schützen</w:t>
      </w:r>
      <w:r w:rsidR="004074D2">
        <w:t xml:space="preserve">, weshalb </w:t>
      </w:r>
      <w:r w:rsidR="00731E7C">
        <w:t>in diesem Kontext weitere Rechtspositionen neben dem Schutz des Rechts auf informationelle Selbstbestimmung zu beachten sind. So sind juristis</w:t>
      </w:r>
      <w:r w:rsidR="004D79FB">
        <w:t xml:space="preserve">che Personen nach </w:t>
      </w:r>
      <w:proofErr w:type="spellStart"/>
      <w:r w:rsidR="004D79FB">
        <w:t>ErwGr</w:t>
      </w:r>
      <w:proofErr w:type="spellEnd"/>
      <w:r w:rsidR="004D79FB">
        <w:t>.</w:t>
      </w:r>
      <w:r w:rsidR="00731E7C">
        <w:t xml:space="preserve"> 14 S. 2 DSGVO ausgeschlossen</w:t>
      </w:r>
      <w:r w:rsidR="00851D35">
        <w:t>.</w:t>
      </w:r>
      <w:r w:rsidR="00E54C62">
        <w:t xml:space="preserve"> Zwar erfolgt in Deutschland kein nationaler Schutz über das BSDG, d</w:t>
      </w:r>
      <w:r w:rsidR="00851D35">
        <w:t>ennoch schützt die Rechtsordnung die juristischen Personen in ihrem Ruf in der Öffentlichkeit, wobei stellenweise sogar ein Unternehm</w:t>
      </w:r>
      <w:r w:rsidR="005B54DA">
        <w:t>ens</w:t>
      </w:r>
      <w:r w:rsidR="00851D35">
        <w:t>persönlichkeitsrecht angenommen wird</w:t>
      </w:r>
      <w:r w:rsidR="001834A4">
        <w:t>.</w:t>
      </w:r>
      <w:r w:rsidR="00672ADA">
        <w:rPr>
          <w:rStyle w:val="Funotenzeichen"/>
        </w:rPr>
        <w:footnoteReference w:id="26"/>
      </w:r>
      <w:r w:rsidR="001834A4">
        <w:t xml:space="preserve"> </w:t>
      </w:r>
      <w:r w:rsidR="001834A4" w:rsidRPr="00672ADA">
        <w:t xml:space="preserve">Weiterer Schutz erfolgt </w:t>
      </w:r>
      <w:r w:rsidR="00834E59" w:rsidRPr="00672ADA">
        <w:t>im</w:t>
      </w:r>
      <w:r w:rsidR="00834E59">
        <w:t xml:space="preserve"> Rahmen des S</w:t>
      </w:r>
      <w:r w:rsidR="008C76A8">
        <w:t>tatistikrecht</w:t>
      </w:r>
      <w:r w:rsidR="00834E59">
        <w:t>s</w:t>
      </w:r>
      <w:r w:rsidR="00851D35">
        <w:t>.</w:t>
      </w:r>
      <w:r w:rsidR="00E54C62">
        <w:rPr>
          <w:rStyle w:val="Funotenzeichen"/>
        </w:rPr>
        <w:footnoteReference w:id="27"/>
      </w:r>
      <w:r w:rsidR="00851D35">
        <w:t xml:space="preserve"> Ein Ländervergleich</w:t>
      </w:r>
      <w:r w:rsidR="00E54C62">
        <w:t xml:space="preserve"> zur Schweiz zeigt, dass dort unmittelbar nach Art. 2 </w:t>
      </w:r>
      <w:r w:rsidR="00A94EF8">
        <w:t>DSG juristische Personen in den Geltungsbereich fallen. I</w:t>
      </w:r>
      <w:r w:rsidR="00851D35">
        <w:t xml:space="preserve">n Österreich </w:t>
      </w:r>
      <w:r w:rsidR="00A94EF8">
        <w:t>ist die Rechtslage</w:t>
      </w:r>
      <w:r w:rsidR="00834E59">
        <w:t xml:space="preserve"> seit der Umsetzung der DSGVO in das nationale</w:t>
      </w:r>
      <w:r w:rsidR="00A94EF8">
        <w:t xml:space="preserve"> Recht im Wandel</w:t>
      </w:r>
      <w:r w:rsidR="00AB32C7">
        <w:t>.</w:t>
      </w:r>
      <w:r w:rsidR="00A94EF8">
        <w:t xml:space="preserve"> </w:t>
      </w:r>
      <w:r w:rsidR="00AB32C7">
        <w:t>Bis zur Gesetzesnovelle am 24. Mai 2018 galt nach</w:t>
      </w:r>
      <w:r w:rsidR="00A94EF8">
        <w:t xml:space="preserve"> Art. 4 § 2 Nr. 1 und 3 DSG 2010 </w:t>
      </w:r>
      <w:r w:rsidR="00AB32C7">
        <w:t>eine</w:t>
      </w:r>
      <w:r w:rsidR="00A94EF8">
        <w:t xml:space="preserve"> juristische Pe</w:t>
      </w:r>
      <w:r w:rsidR="00AB32C7">
        <w:t>rson</w:t>
      </w:r>
      <w:r w:rsidR="00A94EF8">
        <w:t xml:space="preserve"> als Betroffene</w:t>
      </w:r>
      <w:r w:rsidR="00AB32C7">
        <w:t>, wird</w:t>
      </w:r>
      <w:r w:rsidR="00A94EF8">
        <w:t xml:space="preserve"> aber seit</w:t>
      </w:r>
      <w:r w:rsidR="00AB32C7">
        <w:t>dem</w:t>
      </w:r>
      <w:r w:rsidR="00A94EF8">
        <w:t xml:space="preserve"> nicht mehr ausdrücklich vom Wortlaut umfasst</w:t>
      </w:r>
      <w:r w:rsidR="00AB32C7">
        <w:t>.</w:t>
      </w:r>
      <w:r w:rsidR="00A94EF8">
        <w:t xml:space="preserve"> </w:t>
      </w:r>
      <w:r w:rsidR="00AB32C7">
        <w:t xml:space="preserve">Dennoch </w:t>
      </w:r>
      <w:r w:rsidR="000152DF">
        <w:t>bejaht</w:t>
      </w:r>
      <w:r w:rsidR="00AB32C7">
        <w:t xml:space="preserve"> die Datenschutzbehörde wegen des in Art. 1 § 1 Abs. 1 DSG </w:t>
      </w:r>
      <w:r w:rsidR="00834E59">
        <w:t xml:space="preserve">und Art. 8 </w:t>
      </w:r>
      <w:proofErr w:type="spellStart"/>
      <w:r w:rsidR="00834E59">
        <w:t>GRCh</w:t>
      </w:r>
      <w:proofErr w:type="spellEnd"/>
      <w:r w:rsidR="00834E59">
        <w:t xml:space="preserve"> </w:t>
      </w:r>
      <w:r w:rsidR="00AB32C7">
        <w:t>kodifizierten Grundrecht</w:t>
      </w:r>
      <w:r w:rsidR="00834E59">
        <w:t>s</w:t>
      </w:r>
      <w:r w:rsidR="00AB32C7">
        <w:t xml:space="preserve"> auf Datenschutz für „jedermann“ </w:t>
      </w:r>
      <w:r w:rsidR="000152DF">
        <w:t>einen Schutz für juristische Personen</w:t>
      </w:r>
      <w:r w:rsidR="00983F18">
        <w:t xml:space="preserve"> durch die einfachgesetzlichen Bestimmungen des DSG</w:t>
      </w:r>
      <w:r w:rsidR="000152DF">
        <w:t>.</w:t>
      </w:r>
      <w:r w:rsidR="000152DF">
        <w:rPr>
          <w:rStyle w:val="Funotenzeichen"/>
        </w:rPr>
        <w:footnoteReference w:id="28"/>
      </w:r>
    </w:p>
    <w:p w14:paraId="7AD30931" w14:textId="404C712C" w:rsidR="00F91C71" w:rsidRDefault="00F91C71" w:rsidP="00942EA6">
      <w:r>
        <w:t xml:space="preserve">Stets unter das Datenschutzrecht fallen </w:t>
      </w:r>
      <w:r w:rsidR="00834E59">
        <w:t xml:space="preserve">in Deutschland </w:t>
      </w:r>
      <w:r>
        <w:t xml:space="preserve">die hinter der juristischen Person stehenden natürlichen Personen, insbesondere die </w:t>
      </w:r>
      <w:proofErr w:type="spellStart"/>
      <w:r>
        <w:t>Organwalter</w:t>
      </w:r>
      <w:proofErr w:type="spellEnd"/>
      <w:r>
        <w:t xml:space="preserve"> oder Angestellte</w:t>
      </w:r>
      <w:r w:rsidR="001834A4" w:rsidRPr="00970E51">
        <w:t>n</w:t>
      </w:r>
      <w:r>
        <w:t>.</w:t>
      </w:r>
      <w:r>
        <w:rPr>
          <w:rStyle w:val="Funotenzeichen"/>
        </w:rPr>
        <w:footnoteReference w:id="29"/>
      </w:r>
      <w:r>
        <w:t xml:space="preserve"> Werden Informationen über juristische Personen preisgegeben, so können sich diese leicht auf die handelnden natürlichen Personen beziehen und auf diese durchschlagen.</w:t>
      </w:r>
      <w:r>
        <w:rPr>
          <w:rStyle w:val="Funotenzeichen"/>
        </w:rPr>
        <w:footnoteReference w:id="30"/>
      </w:r>
      <w:r w:rsidR="00834E59">
        <w:t xml:space="preserve"> Diese </w:t>
      </w:r>
      <w:r w:rsidR="00464922">
        <w:t>Problematik</w:t>
      </w:r>
      <w:r w:rsidR="00834E59">
        <w:t xml:space="preserve"> trennscharf zu erfassen – insbesondere mit technischen Mitteln – stellt eine Herausforderung dar, weshalb darüber nachgedacht </w:t>
      </w:r>
      <w:r w:rsidR="00834E59" w:rsidRPr="00970E51">
        <w:t xml:space="preserve">werden </w:t>
      </w:r>
      <w:r w:rsidR="001834A4" w:rsidRPr="00970E51">
        <w:t>sollte</w:t>
      </w:r>
      <w:r w:rsidR="00834E59" w:rsidRPr="00970E51">
        <w:t xml:space="preserve">, juristische Personen pauschal bei der Anonymisierung von Urteilen </w:t>
      </w:r>
      <w:r w:rsidR="00B82A69" w:rsidRPr="00970E51">
        <w:t xml:space="preserve">zu </w:t>
      </w:r>
      <w:r w:rsidR="00834E59" w:rsidRPr="00970E51">
        <w:t>inkludieren</w:t>
      </w:r>
      <w:r w:rsidR="00B82A69" w:rsidRPr="00970E51">
        <w:t>.</w:t>
      </w:r>
    </w:p>
    <w:p w14:paraId="692E72E9" w14:textId="15A5FA41" w:rsidR="004D79FB" w:rsidRDefault="00B82A69" w:rsidP="00942EA6">
      <w:r>
        <w:t>Eine</w:t>
      </w:r>
      <w:r w:rsidR="00851D35">
        <w:t xml:space="preserve"> </w:t>
      </w:r>
      <w:r>
        <w:t xml:space="preserve">Heterogenität im Umgang </w:t>
      </w:r>
      <w:r w:rsidR="00AF7324">
        <w:t xml:space="preserve">mit </w:t>
      </w:r>
      <w:r>
        <w:t>der Anonymisierung juristische</w:t>
      </w:r>
      <w:r w:rsidR="00AF7324">
        <w:t>r</w:t>
      </w:r>
      <w:r>
        <w:t xml:space="preserve"> Personen wegen einer angenommen Schutzwürdigkeit</w:t>
      </w:r>
      <w:r w:rsidR="00851D35">
        <w:t xml:space="preserve"> konnten wir auch bei einer Analyse d</w:t>
      </w:r>
      <w:r w:rsidR="004D79FB">
        <w:t>er Rech</w:t>
      </w:r>
      <w:r w:rsidR="006723D2">
        <w:t>t</w:t>
      </w:r>
      <w:r w:rsidR="004D79FB">
        <w:t>sprechungsdatenbank der Bayerischen Staatskanzlei</w:t>
      </w:r>
      <w:r w:rsidR="00851D35">
        <w:t xml:space="preserve"> „</w:t>
      </w:r>
      <w:proofErr w:type="spellStart"/>
      <w:r w:rsidR="00851D35">
        <w:t>Bayern.Recht</w:t>
      </w:r>
      <w:proofErr w:type="spellEnd"/>
      <w:r w:rsidR="00851D35">
        <w:t>“</w:t>
      </w:r>
      <w:r w:rsidR="00851D35">
        <w:rPr>
          <w:rStyle w:val="Funotenzeichen"/>
        </w:rPr>
        <w:footnoteReference w:id="31"/>
      </w:r>
      <w:r w:rsidR="00851D35">
        <w:t xml:space="preserve"> feststellen</w:t>
      </w:r>
      <w:r>
        <w:t xml:space="preserve">. </w:t>
      </w:r>
      <w:r w:rsidR="00464922" w:rsidRPr="00970E51">
        <w:t xml:space="preserve">Dort </w:t>
      </w:r>
      <w:r w:rsidR="001834A4" w:rsidRPr="00970E51">
        <w:t>ergaben sich</w:t>
      </w:r>
      <w:r w:rsidR="00464922" w:rsidRPr="00970E51">
        <w:t xml:space="preserve"> </w:t>
      </w:r>
      <w:r w:rsidR="001834A4" w:rsidRPr="00970E51">
        <w:t>bei der Suche nach juristischen Personen und Unternehmen</w:t>
      </w:r>
      <w:r w:rsidR="001834A4">
        <w:t xml:space="preserve"> </w:t>
      </w:r>
      <w:r w:rsidR="00464922">
        <w:t>in den</w:t>
      </w:r>
      <w:r>
        <w:t xml:space="preserve"> </w:t>
      </w:r>
      <w:r w:rsidR="00464922">
        <w:t>6.310</w:t>
      </w:r>
      <w:r w:rsidR="00851D35">
        <w:t xml:space="preserve"> erfassten Urteilen der o</w:t>
      </w:r>
      <w:r w:rsidR="00464922">
        <w:t xml:space="preserve">rdentlichen </w:t>
      </w:r>
      <w:r w:rsidR="00464922" w:rsidRPr="00966806">
        <w:t xml:space="preserve">Gerichtsbarkeit </w:t>
      </w:r>
      <w:r w:rsidR="00AF7324">
        <w:t xml:space="preserve">insgesamt </w:t>
      </w:r>
      <w:r w:rsidR="00AF7324" w:rsidRPr="00966806">
        <w:t xml:space="preserve">24.638 </w:t>
      </w:r>
      <w:r w:rsidR="00AF7324">
        <w:t xml:space="preserve">Vorkommen </w:t>
      </w:r>
      <w:r w:rsidR="00464922" w:rsidRPr="00966806">
        <w:t xml:space="preserve">in </w:t>
      </w:r>
      <w:r w:rsidR="00464922" w:rsidRPr="00966806">
        <w:lastRenderedPageBreak/>
        <w:t>2.858</w:t>
      </w:r>
      <w:r w:rsidR="00851D35" w:rsidRPr="00966806">
        <w:t xml:space="preserve"> Urteilen</w:t>
      </w:r>
      <w:r w:rsidR="00851D35">
        <w:t>. Die Behandlung war sehr unterschiedlich, von einer Anonymisierung mit Initialen</w:t>
      </w:r>
      <w:r w:rsidR="00464922">
        <w:t xml:space="preserve"> in </w:t>
      </w:r>
      <w:r w:rsidR="00966806">
        <w:t>ca. 69 % der</w:t>
      </w:r>
      <w:r w:rsidR="00464922">
        <w:t xml:space="preserve"> Fälle</w:t>
      </w:r>
      <w:r w:rsidR="00851D35">
        <w:t xml:space="preserve">, mit </w:t>
      </w:r>
      <w:r>
        <w:t>„</w:t>
      </w:r>
      <w:r w:rsidR="00851D35">
        <w:t>…</w:t>
      </w:r>
      <w:r>
        <w:t>“</w:t>
      </w:r>
      <w:r w:rsidR="00464922">
        <w:t xml:space="preserve"> in </w:t>
      </w:r>
      <w:r w:rsidR="00966806">
        <w:t>ca. 21 % der</w:t>
      </w:r>
      <w:r w:rsidR="00464922">
        <w:t xml:space="preserve"> Fälle</w:t>
      </w:r>
      <w:r w:rsidR="00851D35">
        <w:t xml:space="preserve"> oder dem </w:t>
      </w:r>
      <w:r w:rsidR="00A67867">
        <w:t>B</w:t>
      </w:r>
      <w:r w:rsidR="00851D35">
        <w:t>elassen der Klarinformation</w:t>
      </w:r>
      <w:r w:rsidR="00464922">
        <w:t xml:space="preserve"> in </w:t>
      </w:r>
      <w:r w:rsidR="00966806">
        <w:t>rund 10 % der Fälle</w:t>
      </w:r>
      <w:r w:rsidR="00851D35">
        <w:t xml:space="preserve">. Dieses Bild zeigt, dass neben dem Datenschutzrecht ein </w:t>
      </w:r>
      <w:r w:rsidR="00213453">
        <w:t>Bedürfnis</w:t>
      </w:r>
      <w:r w:rsidR="00851D35">
        <w:t xml:space="preserve"> besteht, die Informationen über juristische Personen in Urteilen </w:t>
      </w:r>
      <w:r w:rsidR="00AF7324">
        <w:t xml:space="preserve">zu </w:t>
      </w:r>
      <w:r w:rsidR="00213453">
        <w:t>neutralisieren.</w:t>
      </w:r>
      <w:r w:rsidR="00F91C71">
        <w:t xml:space="preserve"> </w:t>
      </w:r>
      <w:r w:rsidR="00213453">
        <w:t xml:space="preserve">Andererseits </w:t>
      </w:r>
      <w:r>
        <w:t xml:space="preserve">kommt </w:t>
      </w:r>
      <w:r w:rsidRPr="00667B96">
        <w:t xml:space="preserve">diesen </w:t>
      </w:r>
      <w:r w:rsidR="00B64A11" w:rsidRPr="00667B96">
        <w:t xml:space="preserve">Beteiligten </w:t>
      </w:r>
      <w:r w:rsidRPr="00667B96">
        <w:t>ein</w:t>
      </w:r>
      <w:r w:rsidR="00213453">
        <w:t xml:space="preserve"> geringeres Schutzniveau</w:t>
      </w:r>
      <w:r w:rsidR="00F91C71">
        <w:t xml:space="preserve"> </w:t>
      </w:r>
      <w:r>
        <w:t>zu</w:t>
      </w:r>
      <w:r w:rsidR="00213453">
        <w:t>, da sich diese bewusst in die Öffentlichkeit begeben</w:t>
      </w:r>
      <w:r w:rsidR="009A4EE8">
        <w:t>,</w:t>
      </w:r>
      <w:r w:rsidR="00213453">
        <w:t xml:space="preserve"> in besondere</w:t>
      </w:r>
      <w:r w:rsidR="009A4EE8">
        <w:t>m</w:t>
      </w:r>
      <w:r w:rsidR="00213453">
        <w:t xml:space="preserve"> Maße in der Sozial</w:t>
      </w:r>
      <w:r w:rsidR="00AF7324">
        <w:t>s</w:t>
      </w:r>
      <w:r w:rsidR="00213453">
        <w:t>phäre aktiv sind und wahrgenom</w:t>
      </w:r>
      <w:r w:rsidR="009A4EE8">
        <w:t>men werden wollen. Deshalb sind meist</w:t>
      </w:r>
      <w:r w:rsidR="00213453" w:rsidRPr="00667B96">
        <w:t xml:space="preserve"> </w:t>
      </w:r>
      <w:r w:rsidR="00213453">
        <w:t>Informationen über Marken nicht zu anonymisieren.</w:t>
      </w:r>
      <w:r w:rsidR="00213453">
        <w:rPr>
          <w:rStyle w:val="Funotenzeichen"/>
        </w:rPr>
        <w:footnoteReference w:id="32"/>
      </w:r>
    </w:p>
    <w:p w14:paraId="5826C141" w14:textId="01A5A0BB" w:rsidR="004D79FB" w:rsidRDefault="00A43342" w:rsidP="004D79FB">
      <w:pPr>
        <w:pStyle w:val="berschrift3"/>
      </w:pPr>
      <w:r>
        <w:t>Steuer</w:t>
      </w:r>
      <w:r w:rsidR="008623CF">
        <w:t xml:space="preserve">-, Betriebs- und </w:t>
      </w:r>
      <w:r w:rsidR="00FC2E79">
        <w:t>Gesc</w:t>
      </w:r>
      <w:r w:rsidR="008623CF">
        <w:t>häftsgeheimnis</w:t>
      </w:r>
    </w:p>
    <w:p w14:paraId="270ACAF1" w14:textId="2575ECD2" w:rsidR="00942EA6" w:rsidRDefault="00A43342" w:rsidP="00942EA6">
      <w:r>
        <w:t xml:space="preserve">Neben den einfachgesetzlichen Vorschriften des Datenschutzes bestehen weitere Normen, die einer vollständigen Veröffentlichung einer Entscheidung entgegenstehen. Exemplarisch wird auf das Steuergeheimnis nach § 30 AO eingegangen, </w:t>
      </w:r>
      <w:r w:rsidR="008623CF">
        <w:t xml:space="preserve">welches die persönlichen und wirtschaftlichen Umstände eines anderen </w:t>
      </w:r>
      <w:r w:rsidR="00AD42A6">
        <w:t xml:space="preserve">(juristische </w:t>
      </w:r>
      <w:r w:rsidR="00AF7324">
        <w:t xml:space="preserve">oder </w:t>
      </w:r>
      <w:r w:rsidR="00AD42A6">
        <w:t xml:space="preserve">natürliche Person) </w:t>
      </w:r>
      <w:r w:rsidR="008623CF">
        <w:t xml:space="preserve">sowie Betriebs- und Geschäftsgeheimnisse, die einem Amtsträger bekannt geworden sind, vor einer unbefugten Offenbarung oder Verwertung schützt. </w:t>
      </w:r>
      <w:r w:rsidR="00AD42A6">
        <w:t xml:space="preserve">Deshalb </w:t>
      </w:r>
      <w:r w:rsidR="004904F1">
        <w:t>unterblieb</w:t>
      </w:r>
      <w:r w:rsidR="00AD42A6">
        <w:t xml:space="preserve"> in der Steuerstrafsache gegen Uli Hoeneß </w:t>
      </w:r>
      <w:r w:rsidR="00EE4451">
        <w:t>im Urteil ein</w:t>
      </w:r>
      <w:r w:rsidR="00AD42A6">
        <w:t xml:space="preserve"> T</w:t>
      </w:r>
      <w:r w:rsidR="004904F1">
        <w:t>eil der Feststellungen zum privaten und beruflichen Werdegang.</w:t>
      </w:r>
      <w:r w:rsidR="004904F1">
        <w:rPr>
          <w:rStyle w:val="Funotenzeichen"/>
        </w:rPr>
        <w:footnoteReference w:id="33"/>
      </w:r>
      <w:r w:rsidR="004904F1">
        <w:t xml:space="preserve"> </w:t>
      </w:r>
      <w:r w:rsidR="006F2C5F">
        <w:t xml:space="preserve">Andererseits finden sich in vielen finanzgerichtlichen Entscheidungen </w:t>
      </w:r>
      <w:r w:rsidR="00AF7324">
        <w:t xml:space="preserve">zahlreiche </w:t>
      </w:r>
      <w:r w:rsidR="006F2C5F" w:rsidRPr="00EE4451">
        <w:t>Einzelangaben zu</w:t>
      </w:r>
      <w:r w:rsidR="006F2C5F">
        <w:t xml:space="preserve"> Einkommen, </w:t>
      </w:r>
      <w:r w:rsidR="00B412AF">
        <w:t xml:space="preserve">Familienverhältnissen, </w:t>
      </w:r>
      <w:r w:rsidR="006F2C5F">
        <w:t xml:space="preserve">Nebentätigkeiten, außergewöhnlichen Belastungen oder </w:t>
      </w:r>
      <w:r w:rsidR="006F2C5F" w:rsidRPr="00EE4451">
        <w:t>Grundstücksgrößen und lassen</w:t>
      </w:r>
      <w:r w:rsidR="006F2C5F">
        <w:t xml:space="preserve"> eine Identifizierbarkeit zu.</w:t>
      </w:r>
      <w:r w:rsidR="006F2C5F">
        <w:rPr>
          <w:rStyle w:val="Funotenzeichen"/>
        </w:rPr>
        <w:footnoteReference w:id="34"/>
      </w:r>
      <w:r w:rsidR="00425643">
        <w:t xml:space="preserve"> Auch wenn § 30 AO nur eine einfachgesetzliche </w:t>
      </w:r>
      <w:r w:rsidR="00B64A11" w:rsidRPr="00EE4451">
        <w:t>Ausprägung</w:t>
      </w:r>
      <w:r w:rsidR="00425643" w:rsidRPr="00EE4451">
        <w:t xml:space="preserve"> </w:t>
      </w:r>
      <w:r w:rsidR="00B64A11" w:rsidRPr="00EE4451">
        <w:t>von</w:t>
      </w:r>
      <w:r w:rsidR="00A13670">
        <w:t xml:space="preserve"> </w:t>
      </w:r>
      <w:r w:rsidR="00A13670">
        <w:rPr>
          <w:rStyle w:val="zit"/>
        </w:rPr>
        <w:t>Art. 2 Abs. 1</w:t>
      </w:r>
      <w:r w:rsidR="00A13670">
        <w:t xml:space="preserve"> </w:t>
      </w:r>
      <w:proofErr w:type="spellStart"/>
      <w:r w:rsidR="00A13670">
        <w:t>i.V.m</w:t>
      </w:r>
      <w:proofErr w:type="spellEnd"/>
      <w:r w:rsidR="00A13670">
        <w:t xml:space="preserve">. </w:t>
      </w:r>
      <w:r w:rsidR="00A13670">
        <w:rPr>
          <w:rStyle w:val="zit"/>
        </w:rPr>
        <w:t>Art. 1 Abs. 1 GG, 14 GG und g</w:t>
      </w:r>
      <w:r w:rsidR="003F4D99">
        <w:rPr>
          <w:rStyle w:val="zit"/>
        </w:rPr>
        <w:t>gf.</w:t>
      </w:r>
      <w:r w:rsidR="00A13670">
        <w:rPr>
          <w:rStyle w:val="zit"/>
        </w:rPr>
        <w:t xml:space="preserve"> Art. 19 Abs. 3 GG</w:t>
      </w:r>
      <w:r w:rsidR="00425643">
        <w:t xml:space="preserve"> ist, so verdeutlicht dies die Diversität der Merkmale, die es zu schüt</w:t>
      </w:r>
      <w:r w:rsidR="003F4D99">
        <w:t>zen gilt und die in Kombination</w:t>
      </w:r>
      <w:r w:rsidR="00B64A11">
        <w:t xml:space="preserve"> </w:t>
      </w:r>
      <w:r w:rsidR="00425643" w:rsidRPr="003F4D99">
        <w:t>eine Einmaligkeit</w:t>
      </w:r>
      <w:r w:rsidR="00B64A11" w:rsidRPr="003F4D99">
        <w:t xml:space="preserve"> </w:t>
      </w:r>
      <w:r w:rsidR="00AF7324" w:rsidRPr="003F4D99">
        <w:t>aufweis</w:t>
      </w:r>
      <w:r w:rsidR="00AF7324">
        <w:t>en</w:t>
      </w:r>
      <w:r w:rsidR="00AF7324" w:rsidRPr="003F4D99">
        <w:t xml:space="preserve"> </w:t>
      </w:r>
      <w:r w:rsidR="003F4D99" w:rsidRPr="003F4D99">
        <w:t xml:space="preserve">und </w:t>
      </w:r>
      <w:r w:rsidR="00B64A11" w:rsidRPr="003F4D99">
        <w:t>Rückschlüsse zul</w:t>
      </w:r>
      <w:r w:rsidR="00AF7324">
        <w:t>assen</w:t>
      </w:r>
      <w:r w:rsidR="00425643" w:rsidRPr="003F4D99">
        <w:t>.</w:t>
      </w:r>
      <w:r w:rsidR="00B412AF" w:rsidRPr="003F4D99">
        <w:rPr>
          <w:rStyle w:val="Funotenzeichen"/>
        </w:rPr>
        <w:footnoteReference w:id="35"/>
      </w:r>
    </w:p>
    <w:p w14:paraId="36F7F58C" w14:textId="5D5A416C" w:rsidR="007519B8" w:rsidRDefault="000D590B" w:rsidP="000D590B">
      <w:pPr>
        <w:pStyle w:val="berschrift2"/>
        <w:rPr>
          <w:lang w:val="de-DE" w:eastAsia="cs-CZ"/>
        </w:rPr>
      </w:pPr>
      <w:r>
        <w:rPr>
          <w:lang w:val="de-DE" w:eastAsia="cs-CZ"/>
        </w:rPr>
        <w:t xml:space="preserve">Rechtszweigspezifische Veröffentlichungsregelungen </w:t>
      </w:r>
      <w:r w:rsidR="000F5C78">
        <w:rPr>
          <w:lang w:val="de-DE" w:eastAsia="cs-CZ"/>
        </w:rPr>
        <w:t>und Anonymisierungskriterien</w:t>
      </w:r>
    </w:p>
    <w:p w14:paraId="046C1EE7" w14:textId="104DE125" w:rsidR="004B1052" w:rsidRDefault="000F5C78" w:rsidP="007758F1">
      <w:r w:rsidRPr="00666363">
        <w:t>Festgehalten werden kann</w:t>
      </w:r>
      <w:r w:rsidR="000D590B" w:rsidRPr="00666363">
        <w:t xml:space="preserve">, dass </w:t>
      </w:r>
      <w:r w:rsidR="00B64A11" w:rsidRPr="00EE4451">
        <w:t>mehr</w:t>
      </w:r>
      <w:r w:rsidR="00B64A11">
        <w:t xml:space="preserve"> </w:t>
      </w:r>
      <w:r w:rsidRPr="00666363">
        <w:t xml:space="preserve">Unklarheiten bei der Anonymisierungswürdigkeit von Merkmalen aus rechtlicher wie empirischer Sicht </w:t>
      </w:r>
      <w:r w:rsidR="000D590B" w:rsidRPr="00666363">
        <w:t>bestehen</w:t>
      </w:r>
      <w:r w:rsidR="00B64A11" w:rsidRPr="00EE4451">
        <w:t>, als dies gemeinhin angenommen wird</w:t>
      </w:r>
      <w:r w:rsidR="000D590B" w:rsidRPr="00666363">
        <w:t xml:space="preserve">. Daher erscheint es geboten, </w:t>
      </w:r>
      <w:r w:rsidR="00B64A11" w:rsidRPr="00EE4451">
        <w:t xml:space="preserve">den Erlass von </w:t>
      </w:r>
      <w:r w:rsidR="000D590B" w:rsidRPr="00EE4451">
        <w:t>rechtszweigspezifische</w:t>
      </w:r>
      <w:r w:rsidR="00B64A11" w:rsidRPr="00EE4451">
        <w:t>n</w:t>
      </w:r>
      <w:r w:rsidR="000D590B" w:rsidRPr="00EE4451">
        <w:t xml:space="preserve"> Regelungen für die Veröffentlichung von Entscheidungen </w:t>
      </w:r>
      <w:r w:rsidRPr="00EE4451">
        <w:t xml:space="preserve">zu </w:t>
      </w:r>
      <w:r w:rsidR="00B64A11" w:rsidRPr="00EE4451">
        <w:t>diskutieren,</w:t>
      </w:r>
      <w:r w:rsidRPr="00666363">
        <w:t xml:space="preserve"> sowie Kriterienkataloge mit Risikogruppen für bestimmte Merkmale zu entwickeln</w:t>
      </w:r>
      <w:r w:rsidR="000D590B" w:rsidRPr="00666363">
        <w:t>.</w:t>
      </w:r>
      <w:r w:rsidR="000D590B" w:rsidRPr="00666363">
        <w:rPr>
          <w:rStyle w:val="Funotenzeichen"/>
        </w:rPr>
        <w:footnoteReference w:id="36"/>
      </w:r>
      <w:r w:rsidR="000D590B" w:rsidRPr="00666363">
        <w:t xml:space="preserve"> </w:t>
      </w:r>
      <w:r w:rsidRPr="00666363">
        <w:t>Danach</w:t>
      </w:r>
      <w:r w:rsidR="00903C18" w:rsidRPr="00666363">
        <w:t xml:space="preserve"> ließe sich ein abgestuftes System von Anonymisierun</w:t>
      </w:r>
      <w:r w:rsidR="00903C18" w:rsidRPr="00EE4451">
        <w:t>gs</w:t>
      </w:r>
      <w:r w:rsidR="00B64A11" w:rsidRPr="00EE4451">
        <w:t xml:space="preserve">prozessen und </w:t>
      </w:r>
      <w:r w:rsidR="00EE4451" w:rsidRPr="00EE4451">
        <w:t>-</w:t>
      </w:r>
      <w:r w:rsidR="00B64A11" w:rsidRPr="00EE4451">
        <w:t>anforderungen</w:t>
      </w:r>
      <w:r w:rsidR="00903C18" w:rsidRPr="00EE4451">
        <w:t xml:space="preserve"> nach dem jeweiligen Gefahrenpotenzial festlegen, sodass im Regelfall </w:t>
      </w:r>
      <w:r w:rsidR="00B64A11" w:rsidRPr="00EE4451">
        <w:t xml:space="preserve">in einer ersten Stufe nur </w:t>
      </w:r>
      <w:r w:rsidR="00903C18" w:rsidRPr="00EE4451">
        <w:t xml:space="preserve">eine </w:t>
      </w:r>
      <w:r w:rsidR="00B64A11" w:rsidRPr="00EE4451">
        <w:t>Anonymisierung</w:t>
      </w:r>
      <w:r w:rsidR="00903C18" w:rsidRPr="00EE4451">
        <w:t xml:space="preserve"> von </w:t>
      </w:r>
      <w:r w:rsidR="007E71A6">
        <w:t>typischen</w:t>
      </w:r>
      <w:r w:rsidR="00B64A11" w:rsidRPr="00EE4451">
        <w:t xml:space="preserve"> </w:t>
      </w:r>
      <w:r w:rsidR="00903C18" w:rsidRPr="00EE4451">
        <w:t>Einzel</w:t>
      </w:r>
      <w:r w:rsidR="00B64A11" w:rsidRPr="00EE4451">
        <w:t>informationen</w:t>
      </w:r>
      <w:r w:rsidR="00903C18" w:rsidRPr="00EE4451">
        <w:t xml:space="preserve"> erfolgt, in de</w:t>
      </w:r>
      <w:r w:rsidR="007E71A6">
        <w:t>r</w:t>
      </w:r>
      <w:r w:rsidR="00903C18" w:rsidRPr="00EE4451">
        <w:t xml:space="preserve"> </w:t>
      </w:r>
      <w:r w:rsidR="007E71A6">
        <w:t>zweiten</w:t>
      </w:r>
      <w:r w:rsidR="00903C18" w:rsidRPr="00EE4451">
        <w:t xml:space="preserve"> Stufe</w:t>
      </w:r>
      <w:r w:rsidR="00B64A11" w:rsidRPr="00EE4451">
        <w:t xml:space="preserve"> spezifische Informationen bis hin zu</w:t>
      </w:r>
      <w:r w:rsidR="00903C18" w:rsidRPr="00EE4451">
        <w:t xml:space="preserve"> ganze</w:t>
      </w:r>
      <w:r w:rsidR="00B64A11" w:rsidRPr="00EE4451">
        <w:t>n</w:t>
      </w:r>
      <w:r w:rsidR="00903C18" w:rsidRPr="00EE4451">
        <w:t xml:space="preserve"> Textpass</w:t>
      </w:r>
      <w:r w:rsidRPr="00EE4451">
        <w:t xml:space="preserve">agen </w:t>
      </w:r>
      <w:r w:rsidR="00B64A11" w:rsidRPr="00EE4451">
        <w:t>anonymisier</w:t>
      </w:r>
      <w:r w:rsidR="007E71A6">
        <w:t>t</w:t>
      </w:r>
      <w:r w:rsidRPr="00EE4451">
        <w:t xml:space="preserve"> </w:t>
      </w:r>
      <w:r w:rsidR="007E71A6">
        <w:t>werden</w:t>
      </w:r>
      <w:r w:rsidR="00B64A11" w:rsidRPr="00EE4451">
        <w:t xml:space="preserve">, wobei auf der letzten Stufe </w:t>
      </w:r>
      <w:r w:rsidRPr="00EE4451">
        <w:t>als Ultima R</w:t>
      </w:r>
      <w:r w:rsidR="00903C18" w:rsidRPr="00EE4451">
        <w:t>atio eine Veröffentlichung gänzlich unterbleib</w:t>
      </w:r>
      <w:r w:rsidR="007E71A6">
        <w:t>t</w:t>
      </w:r>
      <w:r w:rsidR="00903C18" w:rsidRPr="00EE4451">
        <w:t>.</w:t>
      </w:r>
      <w:r w:rsidR="008609A5" w:rsidRPr="00EE4451">
        <w:rPr>
          <w:rStyle w:val="Funotenzeichen"/>
        </w:rPr>
        <w:footnoteReference w:id="37"/>
      </w:r>
    </w:p>
    <w:p w14:paraId="180154F2" w14:textId="6662C51B" w:rsidR="007758F1" w:rsidRDefault="004B1052" w:rsidP="007758F1">
      <w:r>
        <w:t>Wenn z</w:t>
      </w:r>
      <w:r w:rsidR="00B64A11" w:rsidRPr="004B1052">
        <w:t xml:space="preserve">ukünftig </w:t>
      </w:r>
      <w:r w:rsidR="000F5C78" w:rsidRPr="004B1052">
        <w:t>komplexe</w:t>
      </w:r>
      <w:r w:rsidR="00B64A11" w:rsidRPr="004B1052">
        <w:t>re</w:t>
      </w:r>
      <w:r w:rsidR="000F5C78" w:rsidRPr="004B1052">
        <w:t xml:space="preserve"> Legal</w:t>
      </w:r>
      <w:r w:rsidR="00F25B0C" w:rsidRPr="004B1052">
        <w:t>-</w:t>
      </w:r>
      <w:r w:rsidR="000F5C78" w:rsidRPr="004B1052">
        <w:t>Tech</w:t>
      </w:r>
      <w:r w:rsidR="00F25B0C" w:rsidRPr="004B1052">
        <w:t>-</w:t>
      </w:r>
      <w:r w:rsidR="000F5C78" w:rsidRPr="004B1052">
        <w:t xml:space="preserve">Anwendungen entstehen sollen, dann </w:t>
      </w:r>
      <w:r w:rsidR="00D9000D" w:rsidRPr="004B1052">
        <w:t xml:space="preserve">muss eine immense Datenbasis geschaffen werden, die </w:t>
      </w:r>
      <w:r w:rsidR="00B64A11" w:rsidRPr="004B1052">
        <w:t xml:space="preserve">solch </w:t>
      </w:r>
      <w:r w:rsidR="00D9000D" w:rsidRPr="004B1052">
        <w:t>diff</w:t>
      </w:r>
      <w:r w:rsidR="000F368D" w:rsidRPr="004B1052">
        <w:t>erenzierten</w:t>
      </w:r>
      <w:r w:rsidR="00D9000D" w:rsidRPr="004B1052">
        <w:t xml:space="preserve"> Regelungen </w:t>
      </w:r>
      <w:r w:rsidR="00B64A11" w:rsidRPr="004B1052">
        <w:t xml:space="preserve">zur Anonymisierung </w:t>
      </w:r>
      <w:r w:rsidR="00D9000D" w:rsidRPr="004B1052">
        <w:t xml:space="preserve">unterworfen </w:t>
      </w:r>
      <w:r w:rsidR="006711CC" w:rsidRPr="004B1052">
        <w:t>ist</w:t>
      </w:r>
      <w:r>
        <w:t>.</w:t>
      </w:r>
    </w:p>
    <w:p w14:paraId="3D118A96" w14:textId="28092194" w:rsidR="00072211" w:rsidRDefault="00072211" w:rsidP="00C704A9">
      <w:pPr>
        <w:pStyle w:val="berschrift1"/>
      </w:pPr>
      <w:r>
        <w:t>Forschungsprojekt zur automatischen Anonymisierung von Gerichtsurteilen</w:t>
      </w:r>
    </w:p>
    <w:p w14:paraId="0159E4B1" w14:textId="1DBA369E" w:rsidR="00072211" w:rsidRPr="00072211" w:rsidRDefault="00072211" w:rsidP="00072211">
      <w:r>
        <w:t>Um die aufgeworfenen rechtlichen</w:t>
      </w:r>
      <w:r w:rsidR="00397E3A">
        <w:t xml:space="preserve"> und empirischen </w:t>
      </w:r>
      <w:r>
        <w:t xml:space="preserve">Fragestellungen anzugehen, forschen wir für das Bayerische Staatsministerium der Justiz an der automatischen Anonymisierung von </w:t>
      </w:r>
      <w:r w:rsidR="00397E3A">
        <w:t>U</w:t>
      </w:r>
      <w:r>
        <w:t>rteilen.</w:t>
      </w:r>
      <w:r w:rsidR="002F5E75" w:rsidRPr="002F5E75">
        <w:t xml:space="preserve"> </w:t>
      </w:r>
      <w:r w:rsidR="002F5E75">
        <w:t xml:space="preserve">Ein erstes Ziel des Projekts ist die Entwicklung </w:t>
      </w:r>
      <w:r w:rsidR="006D3AA8">
        <w:t xml:space="preserve">und detaillierte Evaluation </w:t>
      </w:r>
      <w:r w:rsidR="002F5E75">
        <w:t>ein</w:t>
      </w:r>
      <w:r w:rsidR="00A67867">
        <w:t>e</w:t>
      </w:r>
      <w:r w:rsidR="002F5E75">
        <w:t xml:space="preserve">s </w:t>
      </w:r>
      <w:r w:rsidR="006D3AA8">
        <w:t>Software-</w:t>
      </w:r>
      <w:r w:rsidR="002F5E75">
        <w:t>Prototypen für die automatische Erken</w:t>
      </w:r>
      <w:r w:rsidR="002F5E75">
        <w:lastRenderedPageBreak/>
        <w:t>nung sensitive</w:t>
      </w:r>
      <w:r w:rsidR="006D3AA8">
        <w:t>r</w:t>
      </w:r>
      <w:r w:rsidR="002F5E75">
        <w:t xml:space="preserve"> Textstellen. Voraussetzung </w:t>
      </w:r>
      <w:r w:rsidR="006D3AA8">
        <w:t>da</w:t>
      </w:r>
      <w:r w:rsidR="002F5E75">
        <w:t xml:space="preserve">für </w:t>
      </w:r>
      <w:r w:rsidR="006D3AA8">
        <w:t xml:space="preserve">ist eine manuelle Kennzeichnung </w:t>
      </w:r>
      <w:r w:rsidR="00D32897">
        <w:t>dieser</w:t>
      </w:r>
      <w:r w:rsidR="006D3AA8">
        <w:t xml:space="preserve"> Stellen, die in Kategorien eingeteilt und bezüglich ihres Risikoniveaus bewertet werden. Im weiteren Projektverlauf soll auf dieser Basis die Möglichkeit </w:t>
      </w:r>
      <w:r w:rsidR="002F5E75">
        <w:t>eine</w:t>
      </w:r>
      <w:r w:rsidR="006D3AA8">
        <w:t>r</w:t>
      </w:r>
      <w:r w:rsidR="002F5E75">
        <w:t xml:space="preserve"> zielgerichtete</w:t>
      </w:r>
      <w:r w:rsidR="006D3AA8">
        <w:t>n</w:t>
      </w:r>
      <w:r w:rsidR="002F5E75">
        <w:t xml:space="preserve"> informationserhaltende</w:t>
      </w:r>
      <w:r w:rsidR="006D3AA8">
        <w:t>n</w:t>
      </w:r>
      <w:r w:rsidR="002F5E75">
        <w:t xml:space="preserve"> Anonymisierung</w:t>
      </w:r>
      <w:r w:rsidR="006711CC">
        <w:t xml:space="preserve"> </w:t>
      </w:r>
      <w:r w:rsidR="006D3AA8">
        <w:t>untersucht werden</w:t>
      </w:r>
      <w:r w:rsidR="002F5E75">
        <w:t>.</w:t>
      </w:r>
    </w:p>
    <w:p w14:paraId="36D0B0A9" w14:textId="39B0FACB" w:rsidR="007519B8" w:rsidRPr="006E567B" w:rsidRDefault="002F5E75" w:rsidP="00072211">
      <w:pPr>
        <w:pStyle w:val="berschrift2"/>
      </w:pPr>
      <w:r>
        <w:t>Ausgangslage und Datenbasis des Projekts</w:t>
      </w:r>
    </w:p>
    <w:p w14:paraId="440A4088" w14:textId="28C043E7" w:rsidR="00B41631" w:rsidRDefault="00B41631" w:rsidP="00B41631">
      <w:r>
        <w:t xml:space="preserve">Das Datenmaterial, das uns in der ersten Projektphase zur Verfügung steht, umfasst knapp 300 Urteile </w:t>
      </w:r>
      <w:r w:rsidR="002F5E75">
        <w:t>aus dem Rechtsgebiet Mietrecht</w:t>
      </w:r>
      <w:r>
        <w:t xml:space="preserve">. Dies entspricht </w:t>
      </w:r>
      <w:r w:rsidR="004C3B42">
        <w:t xml:space="preserve">einem Gesamtumfang von </w:t>
      </w:r>
      <w:r>
        <w:t>650.000 Token</w:t>
      </w:r>
      <w:r w:rsidR="004C3B42">
        <w:rPr>
          <w:rStyle w:val="Funotenzeichen"/>
        </w:rPr>
        <w:footnoteReference w:id="38"/>
      </w:r>
      <w:r>
        <w:t xml:space="preserve"> </w:t>
      </w:r>
      <w:r w:rsidR="004C3B42">
        <w:t>Fließtext</w:t>
      </w:r>
      <w:r>
        <w:t xml:space="preserve">; im Schnitt also ca. 2.300 Token pro Urteil. Die Länge variiert dabei stark: </w:t>
      </w:r>
      <w:r w:rsidR="006711CC">
        <w:t>d</w:t>
      </w:r>
      <w:r>
        <w:t xml:space="preserve">as kürzeste Urteil umfasst lediglich 427 Token, das längste über 11.000. Dies liegt insbesondere an der unterschiedlichen Länge des Tatbestands und der Entscheidungsgründe. Das strukturell über </w:t>
      </w:r>
      <w:r w:rsidR="00A67867">
        <w:t>alle</w:t>
      </w:r>
      <w:r>
        <w:t xml:space="preserve"> Urteile hinweg sehr ähnliche Rubrum</w:t>
      </w:r>
      <w:r w:rsidR="002F5E75">
        <w:t xml:space="preserve"> umfasst</w:t>
      </w:r>
      <w:r>
        <w:t xml:space="preserve"> typischerweise knapp 100 Token, die R</w:t>
      </w:r>
      <w:r w:rsidR="009F461B">
        <w:t>echtsbehelfsbelehrung</w:t>
      </w:r>
      <w:r>
        <w:t xml:space="preserve"> ca. 330 Token.</w:t>
      </w:r>
    </w:p>
    <w:p w14:paraId="42886F17" w14:textId="79CF5D86" w:rsidR="00000D9E" w:rsidRDefault="00F334F0" w:rsidP="00000D9E">
      <w:r>
        <w:rPr>
          <w:noProof/>
          <w:lang w:val="de-DE"/>
        </w:rPr>
        <w:drawing>
          <wp:anchor distT="0" distB="0" distL="114300" distR="114300" simplePos="0" relativeHeight="251659264" behindDoc="1" locked="0" layoutInCell="1" allowOverlap="1" wp14:anchorId="5E3104A8" wp14:editId="16AEE834">
            <wp:simplePos x="0" y="0"/>
            <wp:positionH relativeFrom="margin">
              <wp:align>left</wp:align>
            </wp:positionH>
            <wp:positionV relativeFrom="paragraph">
              <wp:posOffset>574124</wp:posOffset>
            </wp:positionV>
            <wp:extent cx="6149340" cy="3442335"/>
            <wp:effectExtent l="0" t="0" r="3810"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49340" cy="3442335"/>
                    </a:xfrm>
                    <a:prstGeom prst="rect">
                      <a:avLst/>
                    </a:prstGeom>
                  </pic:spPr>
                </pic:pic>
              </a:graphicData>
            </a:graphic>
            <wp14:sizeRelH relativeFrom="margin">
              <wp14:pctWidth>0</wp14:pctWidth>
            </wp14:sizeRelH>
            <wp14:sizeRelV relativeFrom="margin">
              <wp14:pctHeight>0</wp14:pctHeight>
            </wp14:sizeRelV>
          </wp:anchor>
        </w:drawing>
      </w:r>
      <w:r w:rsidR="00D91EB6">
        <w:t>Der fortlaufende und iterative Arbeits</w:t>
      </w:r>
      <w:r w:rsidR="007E71A6">
        <w:t>ablauf</w:t>
      </w:r>
      <w:r w:rsidR="00D91EB6">
        <w:t xml:space="preserve"> </w:t>
      </w:r>
      <w:r w:rsidR="007E71A6">
        <w:t>des</w:t>
      </w:r>
      <w:r w:rsidR="00D91EB6">
        <w:t xml:space="preserve"> </w:t>
      </w:r>
      <w:r w:rsidR="00D27898">
        <w:t xml:space="preserve">bis 2022 dauernden </w:t>
      </w:r>
      <w:r w:rsidR="00D91EB6">
        <w:t xml:space="preserve">Forschungsprojektes </w:t>
      </w:r>
      <w:r w:rsidR="00882F37">
        <w:t>ist in Abb. 1 d</w:t>
      </w:r>
      <w:r w:rsidR="00D91EB6">
        <w:t>ar</w:t>
      </w:r>
      <w:r w:rsidR="00882F37">
        <w:t>ge</w:t>
      </w:r>
      <w:r w:rsidR="00D91EB6">
        <w:t>stell</w:t>
      </w:r>
      <w:r w:rsidR="00882F37">
        <w:t>t</w:t>
      </w:r>
      <w:r w:rsidR="00D91EB6">
        <w:t xml:space="preserve">. </w:t>
      </w:r>
      <w:r w:rsidR="00EE23CE">
        <w:t>So erhoffen w</w:t>
      </w:r>
      <w:r w:rsidR="00D91EB6">
        <w:t xml:space="preserve">ir uns Erkenntnisse </w:t>
      </w:r>
      <w:r w:rsidR="00D27898">
        <w:t>zur</w:t>
      </w:r>
      <w:r w:rsidR="00D91EB6">
        <w:t xml:space="preserve"> rechtlichen Dogmatik</w:t>
      </w:r>
      <w:r w:rsidR="00EE23CE">
        <w:t>, der</w:t>
      </w:r>
      <w:r w:rsidR="00D91EB6">
        <w:t xml:space="preserve"> technischen Möglic</w:t>
      </w:r>
      <w:r w:rsidR="00EE23CE">
        <w:t>h</w:t>
      </w:r>
      <w:r w:rsidR="00E2618C">
        <w:t>k</w:t>
      </w:r>
      <w:r w:rsidR="00D91EB6">
        <w:t>eiten</w:t>
      </w:r>
      <w:r w:rsidR="00EE23CE">
        <w:t xml:space="preserve"> und</w:t>
      </w:r>
      <w:r w:rsidR="00D91EB6">
        <w:t xml:space="preserve"> zu Frage</w:t>
      </w:r>
      <w:r w:rsidR="00EE23CE">
        <w:t>n</w:t>
      </w:r>
      <w:r w:rsidR="00D91EB6">
        <w:t xml:space="preserve">, wie Recht und Technik </w:t>
      </w:r>
      <w:r w:rsidR="00EE23CE">
        <w:t xml:space="preserve">für </w:t>
      </w:r>
      <w:r w:rsidR="00D27898">
        <w:t xml:space="preserve">eine möglichst </w:t>
      </w:r>
      <w:r w:rsidR="00D91EB6">
        <w:t>automatische Anonymisierung</w:t>
      </w:r>
      <w:r w:rsidR="00183050">
        <w:t xml:space="preserve"> zusammenwirken können</w:t>
      </w:r>
      <w:r w:rsidR="00DD206B">
        <w:t>.</w:t>
      </w:r>
      <w:r w:rsidR="00DD206B">
        <w:rPr>
          <w:rStyle w:val="Funotenzeichen"/>
        </w:rPr>
        <w:footnoteReference w:id="39"/>
      </w:r>
    </w:p>
    <w:p w14:paraId="32801BF0" w14:textId="4F3C4F84" w:rsidR="005F02B2" w:rsidRPr="007861C8" w:rsidRDefault="005F02B2" w:rsidP="00253FD5">
      <w:pPr>
        <w:pStyle w:val="Beschriftung"/>
        <w:rPr>
          <w:lang w:val="de-DE"/>
        </w:rPr>
      </w:pPr>
      <w:r w:rsidRPr="007861C8">
        <w:rPr>
          <w:lang w:val="de-DE"/>
        </w:rPr>
        <w:t>Abb</w:t>
      </w:r>
      <w:r w:rsidR="009F5F70" w:rsidRPr="007861C8">
        <w:rPr>
          <w:lang w:val="de-DE"/>
        </w:rPr>
        <w:t>. 1</w:t>
      </w:r>
      <w:r w:rsidRPr="007861C8">
        <w:rPr>
          <w:lang w:val="de-DE"/>
        </w:rPr>
        <w:t xml:space="preserve">: </w:t>
      </w:r>
      <w:r w:rsidR="00201E7E" w:rsidRPr="007861C8">
        <w:rPr>
          <w:lang w:val="de-DE"/>
        </w:rPr>
        <w:t xml:space="preserve">Schematische </w:t>
      </w:r>
      <w:r w:rsidR="00253FD5" w:rsidRPr="007861C8">
        <w:rPr>
          <w:lang w:val="de-DE"/>
        </w:rPr>
        <w:t>Darstellung des Arbeitsablauf</w:t>
      </w:r>
      <w:r w:rsidRPr="007861C8">
        <w:rPr>
          <w:lang w:val="de-DE"/>
        </w:rPr>
        <w:t>s des Forschungsprojekts</w:t>
      </w:r>
    </w:p>
    <w:p w14:paraId="05EABB33" w14:textId="5AD98309" w:rsidR="00DF43CB" w:rsidRDefault="00DF43CB" w:rsidP="00DF43CB">
      <w:pPr>
        <w:pStyle w:val="berschrift2"/>
      </w:pPr>
      <w:r>
        <w:t>Vorgehensweise bei der Annotation sensitiver Textstellen</w:t>
      </w:r>
    </w:p>
    <w:p w14:paraId="22C98AF7" w14:textId="64753245" w:rsidR="00B41631" w:rsidRDefault="00B41631" w:rsidP="00B41631">
      <w:r>
        <w:t xml:space="preserve">Für das Training eines maschinellen Lernverfahrens zur Erkennung sensitiver Textstellen sowie zu dessen Evaluation wird ein Goldstandard benötigt, d.h. ein </w:t>
      </w:r>
      <w:r w:rsidR="00201E7E">
        <w:t>Korpus von Urteilen</w:t>
      </w:r>
      <w:r>
        <w:t xml:space="preserve">, in dem die </w:t>
      </w:r>
      <w:r w:rsidR="00F334F0">
        <w:t>sensitiven</w:t>
      </w:r>
      <w:r>
        <w:t xml:space="preserve"> Stellen </w:t>
      </w:r>
      <w:r w:rsidR="00201E7E">
        <w:t xml:space="preserve">manuell </w:t>
      </w:r>
      <w:r>
        <w:t xml:space="preserve">korrekt markiert wurden. Hierfür beschäftigen wir </w:t>
      </w:r>
      <w:r w:rsidR="00A67867">
        <w:t>zahlreiche</w:t>
      </w:r>
      <w:r>
        <w:t xml:space="preserve"> studentische Hilfskräfte, deren Aufgabe es ist, unabhängig voneinander </w:t>
      </w:r>
      <w:r w:rsidR="006711CC">
        <w:t>diese Stellen</w:t>
      </w:r>
      <w:r>
        <w:t xml:space="preserve"> zu identifizieren und </w:t>
      </w:r>
      <w:r w:rsidR="006711CC">
        <w:t>zusätzlich den</w:t>
      </w:r>
      <w:r>
        <w:t xml:space="preserve"> Grund für die Sensitivität der Stelle </w:t>
      </w:r>
      <w:r w:rsidR="006711CC">
        <w:t>zu vermerken</w:t>
      </w:r>
      <w:r>
        <w:t>. Dieses Vorgehen wird in der Computerlinguistik als</w:t>
      </w:r>
      <w:r w:rsidR="006711CC">
        <w:t xml:space="preserve"> „</w:t>
      </w:r>
      <w:proofErr w:type="spellStart"/>
      <w:r w:rsidR="006711CC">
        <w:t>Tagging</w:t>
      </w:r>
      <w:proofErr w:type="spellEnd"/>
      <w:r w:rsidR="006711CC">
        <w:t xml:space="preserve">“ </w:t>
      </w:r>
      <w:r>
        <w:t xml:space="preserve">bezeichnet; die </w:t>
      </w:r>
      <w:proofErr w:type="spellStart"/>
      <w:r w:rsidR="006711CC">
        <w:t>zuweisbaren</w:t>
      </w:r>
      <w:proofErr w:type="spellEnd"/>
      <w:r w:rsidR="006711CC">
        <w:t xml:space="preserve"> Begründungskategorien</w:t>
      </w:r>
      <w:r>
        <w:t xml:space="preserve"> werden in dies</w:t>
      </w:r>
      <w:r w:rsidR="00550798">
        <w:t xml:space="preserve">em Zusammenhang </w:t>
      </w:r>
      <w:r w:rsidR="006711CC">
        <w:t xml:space="preserve">„Tags“ </w:t>
      </w:r>
      <w:r w:rsidR="00550798">
        <w:t>genannt.</w:t>
      </w:r>
    </w:p>
    <w:p w14:paraId="11AF4918" w14:textId="0D6F4902" w:rsidR="00B41631" w:rsidRDefault="00DF43CB" w:rsidP="00826311">
      <w:r>
        <w:lastRenderedPageBreak/>
        <w:t xml:space="preserve">Die Hilfskräfte wurden in mehreren Probeläufen auf frei verfügbaren und synthetischen Datensätzen geschult. </w:t>
      </w:r>
      <w:r w:rsidR="00201E7E">
        <w:t xml:space="preserve">Parallel dazu </w:t>
      </w:r>
      <w:r>
        <w:t xml:space="preserve">wurde in mehreren Iterationen ein </w:t>
      </w:r>
      <w:r w:rsidR="00201E7E">
        <w:t xml:space="preserve">geeignetes </w:t>
      </w:r>
      <w:proofErr w:type="spellStart"/>
      <w:r>
        <w:t>Tagset</w:t>
      </w:r>
      <w:proofErr w:type="spellEnd"/>
      <w:r>
        <w:t xml:space="preserve"> </w:t>
      </w:r>
      <w:r w:rsidR="00201E7E">
        <w:t>entwickelt</w:t>
      </w:r>
      <w:r>
        <w:t xml:space="preserve">. </w:t>
      </w:r>
      <w:r w:rsidR="00A67867">
        <w:t xml:space="preserve">Das </w:t>
      </w:r>
      <w:proofErr w:type="spellStart"/>
      <w:r w:rsidR="00A67867">
        <w:t>Tagset</w:t>
      </w:r>
      <w:proofErr w:type="spellEnd"/>
      <w:r w:rsidR="00A67867">
        <w:t xml:space="preserve"> mit derzeit</w:t>
      </w:r>
      <w:r w:rsidR="00B41631">
        <w:t xml:space="preserve"> ca. 20 Tags in sechs </w:t>
      </w:r>
      <w:r w:rsidR="006711CC">
        <w:t xml:space="preserve">Oberkategorien </w:t>
      </w:r>
      <w:r w:rsidR="00201E7E">
        <w:t xml:space="preserve">und entsprechende Annotationsrichtlinien </w:t>
      </w:r>
      <w:r w:rsidR="00826311">
        <w:t xml:space="preserve">werden von uns stetig weiterentwickelt. Insbesondere soll noch geklärt werden, ob und inwieweit die erarbeiteten Grundlagen für </w:t>
      </w:r>
      <w:r w:rsidR="00BC5EC1">
        <w:t xml:space="preserve">die Anwendung auf </w:t>
      </w:r>
      <w:r w:rsidR="00826311">
        <w:t>Urteile aus wenigstens einem anderen Rechtsgebiet angepasst</w:t>
      </w:r>
      <w:r w:rsidR="00183050">
        <w:t xml:space="preserve"> oder abgeändert werden müssen.</w:t>
      </w:r>
    </w:p>
    <w:p w14:paraId="02C6A5A1" w14:textId="10F7C625" w:rsidR="00B41631" w:rsidRDefault="00B41631" w:rsidP="00B41631">
      <w:r>
        <w:t xml:space="preserve">Die Übereinstimmung der </w:t>
      </w:r>
      <w:proofErr w:type="spellStart"/>
      <w:r>
        <w:t>Annotatoren</w:t>
      </w:r>
      <w:proofErr w:type="spellEnd"/>
      <w:r>
        <w:t xml:space="preserve"> untereinander (</w:t>
      </w:r>
      <w:r w:rsidR="00201E7E" w:rsidRPr="00183050">
        <w:rPr>
          <w:i/>
          <w:iCs/>
        </w:rPr>
        <w:t>i</w:t>
      </w:r>
      <w:r w:rsidRPr="00183050">
        <w:rPr>
          <w:i/>
          <w:iCs/>
        </w:rPr>
        <w:t>nter-</w:t>
      </w:r>
      <w:proofErr w:type="spellStart"/>
      <w:r w:rsidR="00201E7E" w:rsidRPr="00183050">
        <w:rPr>
          <w:i/>
          <w:iCs/>
        </w:rPr>
        <w:t>a</w:t>
      </w:r>
      <w:r w:rsidRPr="00183050">
        <w:rPr>
          <w:i/>
          <w:iCs/>
        </w:rPr>
        <w:t>nnotator</w:t>
      </w:r>
      <w:proofErr w:type="spellEnd"/>
      <w:r w:rsidR="00201E7E" w:rsidRPr="00183050">
        <w:rPr>
          <w:i/>
          <w:iCs/>
        </w:rPr>
        <w:t xml:space="preserve"> </w:t>
      </w:r>
      <w:proofErr w:type="spellStart"/>
      <w:r w:rsidR="00201E7E" w:rsidRPr="00183050">
        <w:rPr>
          <w:i/>
          <w:iCs/>
        </w:rPr>
        <w:t>a</w:t>
      </w:r>
      <w:r w:rsidRPr="00183050">
        <w:rPr>
          <w:i/>
          <w:iCs/>
        </w:rPr>
        <w:t>greement</w:t>
      </w:r>
      <w:proofErr w:type="spellEnd"/>
      <w:r>
        <w:t xml:space="preserve">) ist in den meisten Kategorien sehr hoch; insbesondere für einfach zu identifizierende Tags wie Datumsangaben und Namen. Lediglich bei den </w:t>
      </w:r>
      <w:r w:rsidR="00550798">
        <w:t xml:space="preserve">sonstigen </w:t>
      </w:r>
      <w:r>
        <w:t>identifizierenden Merkmalen finde</w:t>
      </w:r>
      <w:r w:rsidR="00183050">
        <w:t>t</w:t>
      </w:r>
      <w:r>
        <w:t xml:space="preserve"> </w:t>
      </w:r>
      <w:r w:rsidR="00183050">
        <w:t>sich</w:t>
      </w:r>
      <w:r>
        <w:t xml:space="preserve"> ein hohes Maß an Subjektivität. Dies ist nich</w:t>
      </w:r>
      <w:r w:rsidR="00550798">
        <w:t xml:space="preserve">t weiter </w:t>
      </w:r>
      <w:r w:rsidR="001C010D">
        <w:t>verwunderlich, da bsp</w:t>
      </w:r>
      <w:r w:rsidR="00E8166A">
        <w:t>w</w:t>
      </w:r>
      <w:r w:rsidR="001C010D">
        <w:t>.</w:t>
      </w:r>
      <w:r w:rsidR="00550798">
        <w:t xml:space="preserve"> die Gefährlichkeit von indirekten </w:t>
      </w:r>
      <w:proofErr w:type="spellStart"/>
      <w:r w:rsidR="00550798">
        <w:t>Identifikatoren</w:t>
      </w:r>
      <w:proofErr w:type="spellEnd"/>
      <w:r w:rsidR="00550798">
        <w:t xml:space="preserve"> und </w:t>
      </w:r>
      <w:r w:rsidR="00BC5EC1">
        <w:t xml:space="preserve">deren </w:t>
      </w:r>
      <w:r w:rsidR="00550798">
        <w:t>Kombination</w:t>
      </w:r>
      <w:r w:rsidR="00B12BF6">
        <w:t>,</w:t>
      </w:r>
      <w:r w:rsidR="00881724">
        <w:t xml:space="preserve"> </w:t>
      </w:r>
      <w:r w:rsidR="00550798">
        <w:t xml:space="preserve">von den </w:t>
      </w:r>
      <w:proofErr w:type="spellStart"/>
      <w:r w:rsidR="00550798">
        <w:t>Annotatoren</w:t>
      </w:r>
      <w:proofErr w:type="spellEnd"/>
      <w:r w:rsidR="00550798">
        <w:t xml:space="preserve"> </w:t>
      </w:r>
      <w:r w:rsidR="00656758">
        <w:t xml:space="preserve">eigenständig </w:t>
      </w:r>
      <w:r w:rsidR="004C5B5E">
        <w:t xml:space="preserve">nach Risikograden </w:t>
      </w:r>
      <w:r w:rsidR="00656758">
        <w:t>bewertet</w:t>
      </w:r>
      <w:r w:rsidR="00550798">
        <w:t xml:space="preserve"> wird.</w:t>
      </w:r>
      <w:r w:rsidR="00DF43CB">
        <w:t xml:space="preserve"> Hierbei zeigt sich die bereits angesprochene Notwendigkeit </w:t>
      </w:r>
      <w:r w:rsidR="004C5B5E">
        <w:t>einer</w:t>
      </w:r>
      <w:r w:rsidR="00DF43CB">
        <w:t xml:space="preserve"> empirische</w:t>
      </w:r>
      <w:r w:rsidR="004C5B5E">
        <w:t>n Betrachtung</w:t>
      </w:r>
      <w:r w:rsidR="00DF43CB">
        <w:t xml:space="preserve"> dieser Merkmale. Da die Merkmale aber von mehreren </w:t>
      </w:r>
      <w:proofErr w:type="spellStart"/>
      <w:r w:rsidR="00DF43CB">
        <w:t>Annotatoren</w:t>
      </w:r>
      <w:proofErr w:type="spellEnd"/>
      <w:r w:rsidR="00DF43CB">
        <w:t xml:space="preserve"> eingeschätzt werden, lässt sich ein Durchschnittswert ermitteln. </w:t>
      </w:r>
      <w:r w:rsidR="00183050">
        <w:t>Schließlich</w:t>
      </w:r>
      <w:r w:rsidR="00DF43CB">
        <w:t xml:space="preserve"> wird das Erfordernis einer Informationserhaltung dokumentiert.</w:t>
      </w:r>
      <w:r w:rsidR="00656758">
        <w:t xml:space="preserve"> </w:t>
      </w:r>
      <w:r>
        <w:t xml:space="preserve">Die </w:t>
      </w:r>
      <w:proofErr w:type="spellStart"/>
      <w:r>
        <w:t>Anno</w:t>
      </w:r>
      <w:bookmarkStart w:id="9" w:name="_GoBack"/>
      <w:bookmarkEnd w:id="9"/>
      <w:r>
        <w:t>tatoren</w:t>
      </w:r>
      <w:proofErr w:type="spellEnd"/>
      <w:r>
        <w:t xml:space="preserve"> </w:t>
      </w:r>
      <w:r w:rsidR="00BC5EC1">
        <w:t xml:space="preserve">bearbeiten </w:t>
      </w:r>
      <w:r>
        <w:t>im Schnitt 10.000 Token pro Stunde. In einem weiteren Durchgang werden alle Unstimmigkeiten aufgelöst, die nicht automatisc</w:t>
      </w:r>
      <w:r w:rsidR="004C5B5E">
        <w:t>h beseitigt werden können. De</w:t>
      </w:r>
      <w:r>
        <w:t xml:space="preserve">r Vorgang wird als Adjudikation bezeichnet, an </w:t>
      </w:r>
      <w:r w:rsidR="00201E7E">
        <w:t xml:space="preserve">deren </w:t>
      </w:r>
      <w:r>
        <w:t>Ende eine erste Vers</w:t>
      </w:r>
      <w:r w:rsidR="006A2AA7">
        <w:t>ion des Goldstandards entsteht.</w:t>
      </w:r>
    </w:p>
    <w:p w14:paraId="1C1514DC" w14:textId="0ED945FB" w:rsidR="00970324" w:rsidRDefault="00970324" w:rsidP="00970324">
      <w:pPr>
        <w:pStyle w:val="berschrift2"/>
      </w:pPr>
      <w:r>
        <w:t>Zwischenergebnis: Häufigkeit von sensitiven Textstellen</w:t>
      </w:r>
    </w:p>
    <w:p w14:paraId="774A1A2F" w14:textId="75C2CB42" w:rsidR="00B41631" w:rsidRDefault="00201E7E" w:rsidP="007519B8">
      <w:r>
        <w:t xml:space="preserve">Aus dem bereits annotierten und adjudizierten Teilkorpus lässt sich abschätzen, dass in den Urteilen </w:t>
      </w:r>
      <w:r w:rsidR="00B41631">
        <w:t xml:space="preserve">ca. 35.000 </w:t>
      </w:r>
      <w:r w:rsidR="002D0B33">
        <w:t>sensitive</w:t>
      </w:r>
      <w:r w:rsidR="00B41631">
        <w:t xml:space="preserve"> Stellen</w:t>
      </w:r>
      <w:r w:rsidRPr="00201E7E">
        <w:t xml:space="preserve"> </w:t>
      </w:r>
      <w:r>
        <w:t>pro 1 Million Token Fließtext zu finden sind</w:t>
      </w:r>
      <w:r w:rsidR="00B41631">
        <w:t>.</w:t>
      </w:r>
      <w:r w:rsidR="00DD0940">
        <w:t xml:space="preserve"> Das entspricht 70–80 Stellen </w:t>
      </w:r>
      <w:r w:rsidR="00C96596">
        <w:t>pro</w:t>
      </w:r>
      <w:r w:rsidR="00DD0940">
        <w:t xml:space="preserve"> Urteil durchschnittlicher Länge.</w:t>
      </w:r>
      <w:r w:rsidR="00B41631">
        <w:t xml:space="preserve"> Das häufigste Tag </w:t>
      </w:r>
      <w:r w:rsidR="00C96596">
        <w:t>im</w:t>
      </w:r>
      <w:r w:rsidR="00B41631">
        <w:t xml:space="preserve"> Datensatz sind Datumsangaben: </w:t>
      </w:r>
      <w:r w:rsidR="00826311">
        <w:t>I</w:t>
      </w:r>
      <w:r w:rsidR="00B41631">
        <w:t xml:space="preserve">m Schnitt finden sich ca. 20 Datumsangaben zu Sachverhalten und ca. 15 zur Prozessgeschichte pro Urteil (zusammen über 15.000 </w:t>
      </w:r>
      <w:r w:rsidR="00DD0940">
        <w:t xml:space="preserve">Vorkommen </w:t>
      </w:r>
      <w:r w:rsidR="00B41631">
        <w:t>pro 1 Million Token</w:t>
      </w:r>
      <w:r w:rsidR="00BC5EC1">
        <w:t xml:space="preserve">); </w:t>
      </w:r>
      <w:r w:rsidR="00B41631">
        <w:t xml:space="preserve">auf Weltwissen wird weit weniger als </w:t>
      </w:r>
      <w:r w:rsidR="00FF7D18">
        <w:t>ein Mal</w:t>
      </w:r>
      <w:r w:rsidR="00B41631">
        <w:t xml:space="preserve"> pro Urteil verwiesen. In einem typischen Urteil findet man ca. </w:t>
      </w:r>
      <w:r w:rsidR="00DD0940">
        <w:t xml:space="preserve">8 </w:t>
      </w:r>
      <w:r w:rsidR="00B41631">
        <w:t xml:space="preserve">Adressangaben, zusätzlich ca. </w:t>
      </w:r>
      <w:r w:rsidR="00DD0940">
        <w:t xml:space="preserve">10 </w:t>
      </w:r>
      <w:r w:rsidR="00B41631">
        <w:t xml:space="preserve">identifizierende Merkmale von Adressen. Namen von natürlichen Personen werden im Schnitt ca. </w:t>
      </w:r>
      <w:r w:rsidR="00DD0940">
        <w:t xml:space="preserve">10 </w:t>
      </w:r>
      <w:r w:rsidR="00FF7D18">
        <w:t>Mal</w:t>
      </w:r>
      <w:r w:rsidR="00B41631">
        <w:t xml:space="preserve"> pro Urteil genannt (5.000 Vorkomm</w:t>
      </w:r>
      <w:r w:rsidR="00DD0940">
        <w:t>en</w:t>
      </w:r>
      <w:r w:rsidR="00B41631">
        <w:t xml:space="preserve"> pro 1 Million Token), davon beziehen sich im Schnitt </w:t>
      </w:r>
      <w:r w:rsidR="00DD0940">
        <w:t xml:space="preserve">4 </w:t>
      </w:r>
      <w:r w:rsidR="00B41631">
        <w:t xml:space="preserve">Nennungen auf juristische Funktionsträger. Weitere identifizierende Merkmale für natürliche Personen kommen weniger als einmal pro Urteil vor. Juristische Personen werden seltener benannt (nur ca. </w:t>
      </w:r>
      <w:r w:rsidR="00DD0940">
        <w:t>2–3</w:t>
      </w:r>
      <w:r w:rsidR="00FF7D18">
        <w:t xml:space="preserve"> Mal</w:t>
      </w:r>
      <w:r w:rsidR="00B41631">
        <w:t xml:space="preserve"> pro Urteil) und hier kommen kaum weitere ide</w:t>
      </w:r>
      <w:r w:rsidR="00C96596">
        <w:t xml:space="preserve">ntifizierende Merkmale vor. </w:t>
      </w:r>
      <w:r w:rsidR="00B41631">
        <w:t>Gericht</w:t>
      </w:r>
      <w:r w:rsidR="00C96596">
        <w:t>e lassen sich</w:t>
      </w:r>
      <w:r w:rsidR="00B41631">
        <w:t xml:space="preserve"> im </w:t>
      </w:r>
      <w:r w:rsidR="00826311">
        <w:t>Durchs</w:t>
      </w:r>
      <w:r w:rsidR="00B41631">
        <w:t xml:space="preserve">chnitt </w:t>
      </w:r>
      <w:r w:rsidR="00DD0940">
        <w:t xml:space="preserve">4 </w:t>
      </w:r>
      <w:r w:rsidR="00FF7D18">
        <w:t>Mal</w:t>
      </w:r>
      <w:r w:rsidR="00B41631">
        <w:t xml:space="preserve"> pro Urteil </w:t>
      </w:r>
      <w:r w:rsidR="00C96596">
        <w:t xml:space="preserve">und Aktenzeichen </w:t>
      </w:r>
      <w:r w:rsidR="00B41631">
        <w:t xml:space="preserve">ca. </w:t>
      </w:r>
      <w:r w:rsidR="00DD0940">
        <w:t xml:space="preserve">3 </w:t>
      </w:r>
      <w:r w:rsidR="00C96596">
        <w:t xml:space="preserve">Mal </w:t>
      </w:r>
      <w:r w:rsidR="00B41631">
        <w:t>pro Urteil</w:t>
      </w:r>
      <w:r w:rsidR="00826311">
        <w:t xml:space="preserve"> finden</w:t>
      </w:r>
      <w:r w:rsidR="00B41631">
        <w:t>.</w:t>
      </w:r>
    </w:p>
    <w:p w14:paraId="5FEB8BBE" w14:textId="77777777" w:rsidR="007519B8" w:rsidRDefault="007519B8" w:rsidP="00C704A9">
      <w:pPr>
        <w:pStyle w:val="berschrift1"/>
      </w:pPr>
      <w:r>
        <w:t>Ergebnis</w:t>
      </w:r>
    </w:p>
    <w:p w14:paraId="6A5CE6FD" w14:textId="7EFCF65B" w:rsidR="007519B8" w:rsidRDefault="00826311" w:rsidP="007519B8">
      <w:r>
        <w:t>Ein entscheidender</w:t>
      </w:r>
      <w:r w:rsidR="009B497C">
        <w:t xml:space="preserve"> Weg zu komplexe</w:t>
      </w:r>
      <w:r>
        <w:t>re</w:t>
      </w:r>
      <w:r w:rsidR="009B497C">
        <w:t xml:space="preserve">n Legal-Tech-Anwendungen </w:t>
      </w:r>
      <w:r>
        <w:t xml:space="preserve">führt über die </w:t>
      </w:r>
      <w:r w:rsidR="00AC11B9">
        <w:t xml:space="preserve">möglichst automatische Anonymisierung und damit </w:t>
      </w:r>
      <w:r>
        <w:t>Verfügbarmachung</w:t>
      </w:r>
      <w:r w:rsidR="00AC11B9">
        <w:t xml:space="preserve"> großer Mengen an</w:t>
      </w:r>
      <w:r>
        <w:t xml:space="preserve"> Urteile</w:t>
      </w:r>
      <w:r w:rsidR="00AC11B9">
        <w:t>n</w:t>
      </w:r>
      <w:r>
        <w:t xml:space="preserve"> als notwendige Trainingsdaten für </w:t>
      </w:r>
      <w:r w:rsidR="009A03D8">
        <w:t xml:space="preserve">künftige </w:t>
      </w:r>
      <w:r>
        <w:t>subsymbolische KI-Anwendungen.</w:t>
      </w:r>
      <w:r w:rsidR="009B497C">
        <w:t xml:space="preserve"> Es </w:t>
      </w:r>
      <w:r w:rsidR="00AC11B9">
        <w:t>liegt noch</w:t>
      </w:r>
      <w:r w:rsidR="009B497C">
        <w:t xml:space="preserve"> viel Forschungsarbeit zur juristischen Texterkennung, Auswertung und Anonymisierung </w:t>
      </w:r>
      <w:r w:rsidR="00AC11B9">
        <w:t>vor uns, um feststellen zu können, ob eine automatische Anonymisierung von Urteilen technisch möglich ist und die Ergebnisse den rechtlichen Anforderungen genügen.</w:t>
      </w:r>
      <w:r w:rsidR="009B497C">
        <w:t xml:space="preserve"> Hierbei müssen stärker interdisziplinäre und empirische Ansätze verfolgt werden. </w:t>
      </w:r>
      <w:r>
        <w:t>Auch müssen die entscheidenden Rechtsfrage</w:t>
      </w:r>
      <w:r w:rsidR="00AC11B9">
        <w:t xml:space="preserve">n </w:t>
      </w:r>
      <w:r w:rsidR="009A03D8">
        <w:t>aufgearbeitet</w:t>
      </w:r>
      <w:r w:rsidR="00AC11B9">
        <w:t>, g</w:t>
      </w:r>
      <w:r w:rsidR="009B497C">
        <w:t xml:space="preserve">leichsam der Rechtsrahmen, der bei der Veröffentlichung und Anonymisierung von </w:t>
      </w:r>
      <w:r w:rsidR="00FE33FC">
        <w:t>E</w:t>
      </w:r>
      <w:r w:rsidR="009B497C">
        <w:t>ntscheidungen eine Rolle spielt</w:t>
      </w:r>
      <w:r>
        <w:t>,</w:t>
      </w:r>
      <w:r w:rsidR="009B497C">
        <w:t xml:space="preserve"> noch stärker hinterfragt und durchdacht werden. </w:t>
      </w:r>
      <w:r w:rsidR="00AC11B9">
        <w:t>Gerade</w:t>
      </w:r>
      <w:r w:rsidR="009B497C">
        <w:t xml:space="preserve"> wenn mit </w:t>
      </w:r>
      <w:r w:rsidR="00AC11B9">
        <w:t>der Verfügbarmachung großer Mengen solcher Trainingsdaten</w:t>
      </w:r>
      <w:r w:rsidR="009B497C">
        <w:t xml:space="preserve"> eine Vielzahl an </w:t>
      </w:r>
      <w:r w:rsidR="00AC11B9">
        <w:t>neuen Legal-Tech-</w:t>
      </w:r>
      <w:r w:rsidR="009B497C">
        <w:t>Anwendungen entsteh</w:t>
      </w:r>
      <w:r w:rsidR="00316761">
        <w:t>en</w:t>
      </w:r>
      <w:r w:rsidR="009B497C">
        <w:t xml:space="preserve"> und immense Potenziale für den Rechtsmarkt </w:t>
      </w:r>
      <w:r w:rsidR="00AF1AFE">
        <w:t>entfaltet werden</w:t>
      </w:r>
      <w:r w:rsidR="009A03D8">
        <w:t xml:space="preserve"> sollten</w:t>
      </w:r>
      <w:r w:rsidR="00AF1AFE">
        <w:t xml:space="preserve">, </w:t>
      </w:r>
      <w:r w:rsidR="00AC11B9">
        <w:t>skalieren die damit einhergehenden</w:t>
      </w:r>
      <w:r w:rsidR="00AF1AFE">
        <w:t xml:space="preserve"> Risiken für Individuen</w:t>
      </w:r>
      <w:r w:rsidR="00AC11B9">
        <w:t>.</w:t>
      </w:r>
      <w:r w:rsidR="00AF1AFE">
        <w:t xml:space="preserve"> </w:t>
      </w:r>
      <w:r w:rsidR="00445DA0">
        <w:t>Daher</w:t>
      </w:r>
      <w:r w:rsidR="00AF1AFE">
        <w:t xml:space="preserve"> ist Behutsamkeit gefragt, da </w:t>
      </w:r>
      <w:r w:rsidR="00AC11B9">
        <w:t xml:space="preserve">eine </w:t>
      </w:r>
      <w:r w:rsidR="00AF1AFE">
        <w:t xml:space="preserve">unzureichende </w:t>
      </w:r>
      <w:r w:rsidR="00AC11B9">
        <w:t xml:space="preserve">rechtliche Durchdringung der Problematik oder eine nicht </w:t>
      </w:r>
      <w:r w:rsidR="00DD0940">
        <w:t xml:space="preserve">zuverlässig </w:t>
      </w:r>
      <w:r w:rsidR="00AC11B9">
        <w:t>evaluiert</w:t>
      </w:r>
      <w:r w:rsidR="009A03D8">
        <w:t xml:space="preserve">e </w:t>
      </w:r>
      <w:r w:rsidR="00DD0940">
        <w:t xml:space="preserve">technische </w:t>
      </w:r>
      <w:r w:rsidR="009A03D8">
        <w:t xml:space="preserve">Umsetzung der </w:t>
      </w:r>
      <w:r w:rsidR="00DD0940">
        <w:t xml:space="preserve">automatischen </w:t>
      </w:r>
      <w:r w:rsidR="009A03D8">
        <w:t xml:space="preserve">Anonymisierung </w:t>
      </w:r>
      <w:r w:rsidR="00AF1AFE">
        <w:t>irreversible Folgen haben</w:t>
      </w:r>
      <w:r w:rsidR="009A03D8">
        <w:t xml:space="preserve"> könnte</w:t>
      </w:r>
      <w:r w:rsidR="00AF1AFE">
        <w:t xml:space="preserve">, </w:t>
      </w:r>
      <w:r w:rsidR="007E3EC9">
        <w:t>sobald</w:t>
      </w:r>
      <w:r w:rsidR="00AF1AFE">
        <w:t xml:space="preserve"> </w:t>
      </w:r>
      <w:r w:rsidR="00253FD5">
        <w:t>diese</w:t>
      </w:r>
      <w:r w:rsidR="009A03D8">
        <w:t xml:space="preserve"> Urteile</w:t>
      </w:r>
      <w:r w:rsidR="007758F1">
        <w:t xml:space="preserve"> </w:t>
      </w:r>
      <w:r w:rsidR="00DD0940">
        <w:t xml:space="preserve">in großer Zahl </w:t>
      </w:r>
      <w:r w:rsidR="007758F1">
        <w:t>einmal veröffentlich</w:t>
      </w:r>
      <w:r w:rsidR="00FE33FC">
        <w:t>t</w:t>
      </w:r>
      <w:r w:rsidR="007758F1">
        <w:t xml:space="preserve"> </w:t>
      </w:r>
      <w:r w:rsidR="00FE33FC">
        <w:t>sind</w:t>
      </w:r>
      <w:r w:rsidR="007758F1">
        <w:t>.</w:t>
      </w:r>
    </w:p>
    <w:p w14:paraId="65295618" w14:textId="77777777" w:rsidR="007519B8" w:rsidRDefault="007519B8" w:rsidP="00C704A9">
      <w:pPr>
        <w:pStyle w:val="berschrift1"/>
      </w:pPr>
      <w:r w:rsidRPr="004B42FC">
        <w:t>Literatur</w:t>
      </w:r>
    </w:p>
    <w:p w14:paraId="7DD8CD2D" w14:textId="77777777" w:rsidR="007519B8" w:rsidRDefault="007519B8" w:rsidP="00856338">
      <w:pPr>
        <w:pStyle w:val="Literatur"/>
      </w:pPr>
      <w:r w:rsidRPr="00CF0B0D">
        <w:rPr>
          <w:i/>
          <w:lang w:val="de-DE"/>
        </w:rPr>
        <w:t>ADRIAN, AXEL</w:t>
      </w:r>
      <w:r w:rsidRPr="00CF0B0D">
        <w:rPr>
          <w:lang w:val="de-DE"/>
        </w:rPr>
        <w:t xml:space="preserve">, Grundprobleme </w:t>
      </w:r>
      <w:r w:rsidRPr="00CF0B0D">
        <w:t>einer juristischen (gemeinschaftsrechtlichen) Methodenlehre, Duncker &amp; Humblot, Berlin 2009.</w:t>
      </w:r>
    </w:p>
    <w:p w14:paraId="01443E39" w14:textId="549FF3C0" w:rsidR="007519B8" w:rsidRPr="00255D28" w:rsidRDefault="007519B8" w:rsidP="00856338">
      <w:pPr>
        <w:pStyle w:val="Literatur"/>
        <w:rPr>
          <w:iCs/>
        </w:rPr>
      </w:pPr>
      <w:r w:rsidRPr="00CF0B0D">
        <w:rPr>
          <w:i/>
        </w:rPr>
        <w:lastRenderedPageBreak/>
        <w:t>ADRIAN, AXEL</w:t>
      </w:r>
      <w:r w:rsidRPr="00CF0B0D">
        <w:t xml:space="preserve">, </w:t>
      </w:r>
      <w:r w:rsidRPr="00255D28">
        <w:rPr>
          <w:iCs/>
        </w:rPr>
        <w:t xml:space="preserve">Wie wissenschaftlich ist die </w:t>
      </w:r>
      <w:proofErr w:type="gramStart"/>
      <w:r w:rsidRPr="00255D28">
        <w:rPr>
          <w:iCs/>
        </w:rPr>
        <w:t>Rechtswissenschaft?</w:t>
      </w:r>
      <w:r w:rsidR="0068437A">
        <w:rPr>
          <w:iCs/>
        </w:rPr>
        <w:t>,</w:t>
      </w:r>
      <w:proofErr w:type="gramEnd"/>
      <w:r w:rsidR="00C5388E">
        <w:rPr>
          <w:iCs/>
        </w:rPr>
        <w:t xml:space="preserve"> RECHTSTHEORIE 2010, S. 521-548.</w:t>
      </w:r>
    </w:p>
    <w:p w14:paraId="3213C263" w14:textId="77777777" w:rsidR="007519B8" w:rsidRDefault="007519B8" w:rsidP="00856338">
      <w:pPr>
        <w:pStyle w:val="Literatur"/>
      </w:pPr>
      <w:r w:rsidRPr="00CF0B0D">
        <w:rPr>
          <w:i/>
        </w:rPr>
        <w:t>ADRIAN, AXEL</w:t>
      </w:r>
      <w:r w:rsidRPr="00CF0B0D">
        <w:t>, Grundzüge einer allgemeinen Wissenschaftstheorie auch für Juristen, Duncker &amp; Humblot, Berlin 2014.</w:t>
      </w:r>
    </w:p>
    <w:p w14:paraId="3B1513DA" w14:textId="6BB2EA23" w:rsidR="007519B8" w:rsidRDefault="007519B8" w:rsidP="00856338">
      <w:pPr>
        <w:pStyle w:val="Literatur"/>
      </w:pPr>
      <w:r w:rsidRPr="00CF0B0D">
        <w:rPr>
          <w:i/>
        </w:rPr>
        <w:t>ADRIAN, AXEL</w:t>
      </w:r>
      <w:r w:rsidRPr="00CF0B0D">
        <w:t xml:space="preserve">, </w:t>
      </w:r>
      <w:r w:rsidRPr="00255D28">
        <w:t xml:space="preserve">Der Richterautomat ist möglich – Semantik ist nur eine </w:t>
      </w:r>
      <w:proofErr w:type="gramStart"/>
      <w:r w:rsidRPr="00255D28">
        <w:t>Illusion?</w:t>
      </w:r>
      <w:r w:rsidR="0068437A">
        <w:t>,</w:t>
      </w:r>
      <w:proofErr w:type="gramEnd"/>
      <w:r w:rsidR="00C5388E">
        <w:t xml:space="preserve"> RECHTSTHEORIE 2017, S. 77-121.</w:t>
      </w:r>
    </w:p>
    <w:p w14:paraId="32A766E7" w14:textId="2D33ADFA" w:rsidR="007519B8" w:rsidRPr="002B7C56" w:rsidRDefault="007519B8" w:rsidP="00856338">
      <w:pPr>
        <w:pStyle w:val="Literatur"/>
        <w:rPr>
          <w:lang w:val="en-US"/>
        </w:rPr>
      </w:pPr>
      <w:r w:rsidRPr="00CF0B0D">
        <w:rPr>
          <w:i/>
        </w:rPr>
        <w:t>ADRIAN, AXEL</w:t>
      </w:r>
      <w:r w:rsidRPr="00CF0B0D">
        <w:t>,</w:t>
      </w:r>
      <w:r w:rsidRPr="00255D28">
        <w:t xml:space="preserve"> Juristische Methodenlehre – Ein Vorbild für verantwortungsvolle </w:t>
      </w:r>
      <w:proofErr w:type="gramStart"/>
      <w:r w:rsidRPr="00255D28">
        <w:t>Digitalisierung?</w:t>
      </w:r>
      <w:r>
        <w:t>.</w:t>
      </w:r>
      <w:proofErr w:type="gramEnd"/>
      <w:r w:rsidRPr="00255D28">
        <w:t xml:space="preserve"> In</w:t>
      </w:r>
      <w:r w:rsidR="009836D0">
        <w:t>:</w:t>
      </w:r>
      <w:r w:rsidRPr="00255D28">
        <w:t xml:space="preserve"> </w:t>
      </w:r>
      <w:r w:rsidR="009836D0" w:rsidRPr="00255D28">
        <w:t>Schweighofer</w:t>
      </w:r>
      <w:r w:rsidR="009836D0">
        <w:t>, Erich/</w:t>
      </w:r>
      <w:proofErr w:type="spellStart"/>
      <w:r w:rsidR="009836D0" w:rsidRPr="00255D28">
        <w:t>Hötzendorfer</w:t>
      </w:r>
      <w:proofErr w:type="spellEnd"/>
      <w:r w:rsidR="009836D0">
        <w:t>, Walter</w:t>
      </w:r>
      <w:r w:rsidR="009836D0" w:rsidRPr="00255D28">
        <w:t>/Kummer</w:t>
      </w:r>
      <w:r w:rsidR="009836D0">
        <w:t>, Franz</w:t>
      </w:r>
      <w:r w:rsidR="009836D0" w:rsidRPr="00255D28">
        <w:t>/</w:t>
      </w:r>
      <w:proofErr w:type="spellStart"/>
      <w:r w:rsidR="009836D0" w:rsidRPr="00255D28">
        <w:t>Saarenpää</w:t>
      </w:r>
      <w:proofErr w:type="spellEnd"/>
      <w:r w:rsidR="009836D0">
        <w:t xml:space="preserve">, </w:t>
      </w:r>
      <w:proofErr w:type="spellStart"/>
      <w:r w:rsidR="009836D0">
        <w:t>Ahti</w:t>
      </w:r>
      <w:proofErr w:type="spellEnd"/>
      <w:r w:rsidR="009836D0">
        <w:t xml:space="preserve"> (Hrsg.),</w:t>
      </w:r>
      <w:r w:rsidR="009836D0" w:rsidRPr="00255D28">
        <w:t xml:space="preserve"> </w:t>
      </w:r>
      <w:r w:rsidRPr="00255D28">
        <w:t xml:space="preserve">Verantwortungsbewusste Digitalisierung, Tagungsband des 23. </w:t>
      </w:r>
      <w:proofErr w:type="spellStart"/>
      <w:r w:rsidRPr="002B7C56">
        <w:rPr>
          <w:lang w:val="en-US"/>
        </w:rPr>
        <w:t>Internationalen</w:t>
      </w:r>
      <w:proofErr w:type="spellEnd"/>
      <w:r w:rsidRPr="002B7C56">
        <w:rPr>
          <w:lang w:val="en-US"/>
        </w:rPr>
        <w:t xml:space="preserve"> </w:t>
      </w:r>
      <w:proofErr w:type="spellStart"/>
      <w:r w:rsidRPr="002B7C56">
        <w:rPr>
          <w:lang w:val="en-US"/>
        </w:rPr>
        <w:t>Rechts</w:t>
      </w:r>
      <w:r w:rsidR="007E3EC9">
        <w:rPr>
          <w:lang w:val="en-US"/>
        </w:rPr>
        <w:t>informatik</w:t>
      </w:r>
      <w:proofErr w:type="spellEnd"/>
      <w:r w:rsidR="007E3EC9">
        <w:rPr>
          <w:lang w:val="en-US"/>
        </w:rPr>
        <w:t xml:space="preserve"> Symposiums IRIS 2020</w:t>
      </w:r>
      <w:r w:rsidRPr="002B7C56">
        <w:rPr>
          <w:lang w:val="en-US"/>
        </w:rPr>
        <w:t>, Bern 2020</w:t>
      </w:r>
      <w:r w:rsidR="009836D0" w:rsidRPr="002B7C56">
        <w:rPr>
          <w:lang w:val="en-US"/>
        </w:rPr>
        <w:t xml:space="preserve">, S. </w:t>
      </w:r>
      <w:r w:rsidR="001C0877" w:rsidRPr="00017237">
        <w:rPr>
          <w:lang w:val="en-US"/>
        </w:rPr>
        <w:t>41-48</w:t>
      </w:r>
      <w:r w:rsidR="00F870C4" w:rsidRPr="00017237">
        <w:rPr>
          <w:lang w:val="en-US"/>
        </w:rPr>
        <w:t>.</w:t>
      </w:r>
    </w:p>
    <w:p w14:paraId="52381686" w14:textId="0AB4F923" w:rsidR="00DE4A0A" w:rsidRDefault="00DE4A0A" w:rsidP="00856338">
      <w:pPr>
        <w:pStyle w:val="Literatur"/>
        <w:rPr>
          <w:i/>
          <w:lang w:val="en-US"/>
        </w:rPr>
      </w:pPr>
      <w:r>
        <w:rPr>
          <w:i/>
          <w:lang w:val="en-US"/>
        </w:rPr>
        <w:t>ASHLEY</w:t>
      </w:r>
      <w:r w:rsidR="00017237">
        <w:rPr>
          <w:i/>
          <w:lang w:val="en-US"/>
        </w:rPr>
        <w:t>, KEVIN</w:t>
      </w:r>
      <w:r w:rsidR="001C0877" w:rsidRPr="001C0877">
        <w:rPr>
          <w:i/>
          <w:lang w:val="en-US"/>
        </w:rPr>
        <w:t xml:space="preserve">, </w:t>
      </w:r>
      <w:r w:rsidR="00017237" w:rsidRPr="00F37567">
        <w:rPr>
          <w:iCs/>
          <w:lang w:val="en-US"/>
        </w:rPr>
        <w:t>Artificial Intelligence and l</w:t>
      </w:r>
      <w:r w:rsidR="001C0877" w:rsidRPr="00F37567">
        <w:rPr>
          <w:iCs/>
          <w:lang w:val="en-US"/>
        </w:rPr>
        <w:t>egal Analytics, Cambridge University Press, 2017</w:t>
      </w:r>
      <w:r w:rsidR="00017237" w:rsidRPr="00F37567">
        <w:rPr>
          <w:iCs/>
          <w:lang w:val="en-US"/>
        </w:rPr>
        <w:t>.</w:t>
      </w:r>
    </w:p>
    <w:p w14:paraId="7BEC1F5D" w14:textId="492DDB80" w:rsidR="007519B8" w:rsidRPr="00AE4A40" w:rsidRDefault="007519B8" w:rsidP="00856338">
      <w:pPr>
        <w:pStyle w:val="Literatur"/>
        <w:rPr>
          <w:sz w:val="18"/>
          <w:lang w:val="en-US"/>
        </w:rPr>
      </w:pPr>
      <w:r w:rsidRPr="00AE4A40">
        <w:rPr>
          <w:i/>
          <w:lang w:val="en-US"/>
        </w:rPr>
        <w:t>BENCH-CAPON, TREVOR/SARTOR, GIOVANNI</w:t>
      </w:r>
      <w:r w:rsidRPr="00AE4A40">
        <w:rPr>
          <w:lang w:val="en-US"/>
        </w:rPr>
        <w:t>, A Model of Legal Reasoning with Cases Incorporating Theories and Values</w:t>
      </w:r>
      <w:r w:rsidR="0068437A">
        <w:rPr>
          <w:lang w:val="en-US"/>
        </w:rPr>
        <w:t>,</w:t>
      </w:r>
      <w:r w:rsidRPr="00AE4A40">
        <w:rPr>
          <w:lang w:val="en-US"/>
        </w:rPr>
        <w:t xml:space="preserve"> Artificial </w:t>
      </w:r>
      <w:r w:rsidR="00017237">
        <w:rPr>
          <w:lang w:val="en-US"/>
        </w:rPr>
        <w:t>Intelligence 150, 2003, S. 97-143</w:t>
      </w:r>
      <w:r w:rsidRPr="00AE4A40">
        <w:rPr>
          <w:lang w:val="en-US"/>
        </w:rPr>
        <w:t>.</w:t>
      </w:r>
    </w:p>
    <w:p w14:paraId="1AF682F7" w14:textId="3DDB337A" w:rsidR="00EE3D87" w:rsidRDefault="00EE3D87" w:rsidP="00856338">
      <w:pPr>
        <w:pStyle w:val="Literatur"/>
        <w:rPr>
          <w:i/>
          <w:iCs/>
        </w:rPr>
      </w:pPr>
      <w:r w:rsidRPr="00EE3D87">
        <w:rPr>
          <w:i/>
          <w:caps/>
        </w:rPr>
        <w:t>Boehme-</w:t>
      </w:r>
      <w:proofErr w:type="spellStart"/>
      <w:r w:rsidRPr="00EE3D87">
        <w:rPr>
          <w:i/>
          <w:caps/>
        </w:rPr>
        <w:t>Neßler</w:t>
      </w:r>
      <w:proofErr w:type="spellEnd"/>
      <w:r>
        <w:rPr>
          <w:i/>
          <w:caps/>
        </w:rPr>
        <w:t>, Volker</w:t>
      </w:r>
      <w:r>
        <w:t xml:space="preserve">, Das Ende von der Anonymität, </w:t>
      </w:r>
      <w:proofErr w:type="spellStart"/>
      <w:r>
        <w:t>DuD</w:t>
      </w:r>
      <w:proofErr w:type="spellEnd"/>
      <w:r>
        <w:t xml:space="preserve"> 2016, S. 419-423.</w:t>
      </w:r>
    </w:p>
    <w:p w14:paraId="10B213E3" w14:textId="04EF6596" w:rsidR="00DE4A0A" w:rsidRDefault="00DE4A0A" w:rsidP="00856338">
      <w:pPr>
        <w:pStyle w:val="Literatur"/>
      </w:pPr>
      <w:r w:rsidRPr="00833C49">
        <w:rPr>
          <w:i/>
          <w:iCs/>
        </w:rPr>
        <w:t>BÜTTNER</w:t>
      </w:r>
      <w:r>
        <w:rPr>
          <w:i/>
          <w:iCs/>
        </w:rPr>
        <w:t>, WALTER</w:t>
      </w:r>
      <w:r w:rsidRPr="00833C49">
        <w:rPr>
          <w:i/>
          <w:iCs/>
        </w:rPr>
        <w:t>/FROHN</w:t>
      </w:r>
      <w:r>
        <w:rPr>
          <w:i/>
          <w:iCs/>
        </w:rPr>
        <w:t>, MATTHIAS</w:t>
      </w:r>
      <w:r w:rsidRPr="00833C49">
        <w:rPr>
          <w:i/>
          <w:iCs/>
        </w:rPr>
        <w:t>/SEEBACH</w:t>
      </w:r>
      <w:r w:rsidR="00903F75">
        <w:rPr>
          <w:i/>
          <w:iCs/>
        </w:rPr>
        <w:t>, DANIEL</w:t>
      </w:r>
      <w:r w:rsidRPr="00831F5E">
        <w:t>, Elektronischer Rechtsverkehr und Informationstechnologie im Notariat, Beck,</w:t>
      </w:r>
      <w:r w:rsidR="00C5388E">
        <w:t xml:space="preserve"> München </w:t>
      </w:r>
      <w:r w:rsidRPr="00831F5E">
        <w:t>2019</w:t>
      </w:r>
      <w:r w:rsidR="00F870C4">
        <w:t>.</w:t>
      </w:r>
    </w:p>
    <w:p w14:paraId="7AB10092" w14:textId="1FCC3A70" w:rsidR="000E5B2F" w:rsidRDefault="000E5B2F" w:rsidP="00856338">
      <w:pPr>
        <w:pStyle w:val="Literatur"/>
      </w:pPr>
      <w:r>
        <w:rPr>
          <w:i/>
        </w:rPr>
        <w:t>COUPETTE, CORINNA/FLECKNER, ANDREAS</w:t>
      </w:r>
      <w:r>
        <w:t>, Quantitative Rechtswissenschaft, JZ 2018, S. 379-389.</w:t>
      </w:r>
    </w:p>
    <w:p w14:paraId="78EAAAB5" w14:textId="24E441F9" w:rsidR="00C95FA6" w:rsidRDefault="00C95FA6" w:rsidP="00856338">
      <w:pPr>
        <w:pStyle w:val="Literatur"/>
        <w:rPr>
          <w:i/>
        </w:rPr>
      </w:pPr>
      <w:r w:rsidRPr="0050107E">
        <w:rPr>
          <w:i/>
          <w:caps/>
        </w:rPr>
        <w:t>Dévaud</w:t>
      </w:r>
      <w:r w:rsidR="0050107E">
        <w:rPr>
          <w:i/>
          <w:caps/>
        </w:rPr>
        <w:t>, Blaise</w:t>
      </w:r>
      <w:r w:rsidRPr="0050107E">
        <w:rPr>
          <w:i/>
          <w:caps/>
        </w:rPr>
        <w:t>/Kummer</w:t>
      </w:r>
      <w:r w:rsidR="0050107E">
        <w:rPr>
          <w:i/>
          <w:caps/>
        </w:rPr>
        <w:t>, franz</w:t>
      </w:r>
      <w:r>
        <w:t>, (Semi-)Automatische Ano</w:t>
      </w:r>
      <w:r w:rsidR="0050107E">
        <w:t>nymisierung von Entscheiden,</w:t>
      </w:r>
      <w:r>
        <w:t xml:space="preserve"> </w:t>
      </w:r>
      <w:proofErr w:type="spellStart"/>
      <w:r>
        <w:t>Juslet</w:t>
      </w:r>
      <w:r w:rsidR="0050107E">
        <w:t>ter</w:t>
      </w:r>
      <w:proofErr w:type="spellEnd"/>
      <w:r w:rsidR="0050107E">
        <w:t xml:space="preserve"> IT 23. Februar 2017.</w:t>
      </w:r>
    </w:p>
    <w:p w14:paraId="30B7A886" w14:textId="358998A0" w:rsidR="007519B8" w:rsidRDefault="007519B8" w:rsidP="00856338">
      <w:pPr>
        <w:pStyle w:val="Literatur"/>
      </w:pPr>
      <w:r w:rsidRPr="004A3581">
        <w:rPr>
          <w:i/>
        </w:rPr>
        <w:t>FREUDENTHALER, BERNHARD</w:t>
      </w:r>
      <w:r w:rsidRPr="004A3581">
        <w:t>, Case-</w:t>
      </w:r>
      <w:proofErr w:type="spellStart"/>
      <w:r w:rsidRPr="004A3581">
        <w:t>based</w:t>
      </w:r>
      <w:proofErr w:type="spellEnd"/>
      <w:r w:rsidRPr="004A3581">
        <w:t>-</w:t>
      </w:r>
      <w:proofErr w:type="spellStart"/>
      <w:r w:rsidRPr="004A3581">
        <w:t>Reasoning</w:t>
      </w:r>
      <w:proofErr w:type="spellEnd"/>
      <w:r w:rsidRPr="004A3581">
        <w:t xml:space="preserve"> (CBR): Grundlagen und ausgewählte Anwendungsbeispiele des fallbasierten Schließens, </w:t>
      </w:r>
      <w:proofErr w:type="spellStart"/>
      <w:r>
        <w:t>AkademikerVerlag</w:t>
      </w:r>
      <w:proofErr w:type="spellEnd"/>
      <w:r>
        <w:t xml:space="preserve">, </w:t>
      </w:r>
      <w:r w:rsidRPr="004A3581">
        <w:t>Saarbrücken 2008.</w:t>
      </w:r>
    </w:p>
    <w:p w14:paraId="65579D27" w14:textId="1B11CAC4" w:rsidR="00DA5B89" w:rsidRDefault="00DA5B89" w:rsidP="00856338">
      <w:pPr>
        <w:pStyle w:val="Literatur"/>
      </w:pPr>
      <w:r>
        <w:rPr>
          <w:i/>
        </w:rPr>
        <w:t>FRIES</w:t>
      </w:r>
      <w:r>
        <w:t xml:space="preserve">, </w:t>
      </w:r>
      <w:r>
        <w:rPr>
          <w:i/>
        </w:rPr>
        <w:t>MARTIN</w:t>
      </w:r>
      <w:r w:rsidR="00017237">
        <w:rPr>
          <w:i/>
        </w:rPr>
        <w:t>,</w:t>
      </w:r>
      <w:r>
        <w:t xml:space="preserve"> Rechtsdienstleistung durch KI. In</w:t>
      </w:r>
      <w:r w:rsidR="00F870C4">
        <w:t>:</w:t>
      </w:r>
      <w:r>
        <w:t xml:space="preserve"> </w:t>
      </w:r>
      <w:proofErr w:type="spellStart"/>
      <w:r w:rsidR="00F870C4" w:rsidRPr="00017237">
        <w:t>Kaulartz</w:t>
      </w:r>
      <w:proofErr w:type="spellEnd"/>
      <w:r w:rsidRPr="00017237">
        <w:t>,</w:t>
      </w:r>
      <w:r w:rsidR="003844CB">
        <w:t xml:space="preserve"> </w:t>
      </w:r>
      <w:r w:rsidR="00F870C4" w:rsidRPr="00017237">
        <w:t>Markus/</w:t>
      </w:r>
      <w:proofErr w:type="spellStart"/>
      <w:r w:rsidR="00F870C4" w:rsidRPr="00017237">
        <w:t>Braegelmann</w:t>
      </w:r>
      <w:proofErr w:type="spellEnd"/>
      <w:r w:rsidR="00F870C4" w:rsidRPr="00017237">
        <w:t>, Tom</w:t>
      </w:r>
      <w:r>
        <w:t xml:space="preserve"> (Hrsg.), Rechtshandbuch </w:t>
      </w:r>
      <w:proofErr w:type="spellStart"/>
      <w:r>
        <w:t>Artificial</w:t>
      </w:r>
      <w:proofErr w:type="spellEnd"/>
      <w:r>
        <w:t xml:space="preserve"> </w:t>
      </w:r>
      <w:proofErr w:type="spellStart"/>
      <w:r>
        <w:t>Intelligence</w:t>
      </w:r>
      <w:proofErr w:type="spellEnd"/>
      <w:r>
        <w:t xml:space="preserve"> und </w:t>
      </w:r>
      <w:proofErr w:type="spellStart"/>
      <w:r>
        <w:t>Machine</w:t>
      </w:r>
      <w:proofErr w:type="spellEnd"/>
      <w:r>
        <w:t xml:space="preserve"> Learning, </w:t>
      </w:r>
      <w:proofErr w:type="spellStart"/>
      <w:r w:rsidR="00E12B9A">
        <w:t>Vahlen</w:t>
      </w:r>
      <w:proofErr w:type="spellEnd"/>
      <w:r w:rsidR="00E12B9A">
        <w:t xml:space="preserve">, </w:t>
      </w:r>
      <w:r>
        <w:t>München</w:t>
      </w:r>
      <w:r w:rsidR="00F870C4">
        <w:t xml:space="preserve"> 2020, S. 651-661.</w:t>
      </w:r>
    </w:p>
    <w:p w14:paraId="66CC4360" w14:textId="6CE3EEF2" w:rsidR="00856338" w:rsidRPr="002B7C56" w:rsidRDefault="00856338" w:rsidP="00856338">
      <w:pPr>
        <w:pStyle w:val="Literatur"/>
        <w:rPr>
          <w:i/>
          <w:iCs/>
          <w:lang w:val="de-DE"/>
        </w:rPr>
      </w:pPr>
      <w:r w:rsidRPr="00856338">
        <w:rPr>
          <w:i/>
          <w:caps/>
        </w:rPr>
        <w:t>Hammerbacher</w:t>
      </w:r>
      <w:r w:rsidR="00767758">
        <w:rPr>
          <w:i/>
          <w:caps/>
        </w:rPr>
        <w:t>,</w:t>
      </w:r>
      <w:r>
        <w:rPr>
          <w:i/>
          <w:caps/>
        </w:rPr>
        <w:t xml:space="preserve"> Hans</w:t>
      </w:r>
      <w:r w:rsidRPr="00856338">
        <w:rPr>
          <w:caps/>
        </w:rPr>
        <w:t>,</w:t>
      </w:r>
      <w:r>
        <w:rPr>
          <w:caps/>
        </w:rPr>
        <w:t xml:space="preserve"> D</w:t>
      </w:r>
      <w:r>
        <w:t xml:space="preserve">ie zu fordernde „ausreichende“ Anonymisierung von Datensätzen, </w:t>
      </w:r>
      <w:proofErr w:type="spellStart"/>
      <w:r>
        <w:t>DuD</w:t>
      </w:r>
      <w:proofErr w:type="spellEnd"/>
      <w:r>
        <w:t xml:space="preserve"> 1984, S. 181-190.</w:t>
      </w:r>
    </w:p>
    <w:p w14:paraId="6E29A57A" w14:textId="4F61EC93" w:rsidR="00903F75" w:rsidRPr="00E34B67" w:rsidRDefault="003844CB" w:rsidP="00856338">
      <w:pPr>
        <w:pStyle w:val="Literatur"/>
        <w:rPr>
          <w:lang w:val="de-DE"/>
        </w:rPr>
      </w:pPr>
      <w:r w:rsidRPr="003844CB">
        <w:rPr>
          <w:i/>
        </w:rPr>
        <w:t>HARTUNG</w:t>
      </w:r>
      <w:r w:rsidR="005C6E9E">
        <w:rPr>
          <w:i/>
        </w:rPr>
        <w:t>, MARKUS</w:t>
      </w:r>
      <w:r>
        <w:t>, Gedanken zu Legal Tech und Digitalisierung.</w:t>
      </w:r>
      <w:r w:rsidRPr="003844CB">
        <w:t xml:space="preserve"> </w:t>
      </w:r>
      <w:r>
        <w:t>I</w:t>
      </w:r>
      <w:r w:rsidRPr="003844CB">
        <w:t>n</w:t>
      </w:r>
      <w:r>
        <w:t xml:space="preserve">: </w:t>
      </w:r>
      <w:r w:rsidRPr="003844CB">
        <w:rPr>
          <w:iCs/>
        </w:rPr>
        <w:t>H</w:t>
      </w:r>
      <w:r>
        <w:rPr>
          <w:iCs/>
        </w:rPr>
        <w:t>artung, Markus</w:t>
      </w:r>
      <w:r w:rsidRPr="003844CB">
        <w:rPr>
          <w:iCs/>
        </w:rPr>
        <w:t>/</w:t>
      </w:r>
      <w:proofErr w:type="spellStart"/>
      <w:r w:rsidRPr="003844CB">
        <w:rPr>
          <w:iCs/>
        </w:rPr>
        <w:t>B</w:t>
      </w:r>
      <w:r>
        <w:rPr>
          <w:iCs/>
        </w:rPr>
        <w:t>ues</w:t>
      </w:r>
      <w:proofErr w:type="spellEnd"/>
      <w:r>
        <w:rPr>
          <w:iCs/>
        </w:rPr>
        <w:t>, Micha-Manuel</w:t>
      </w:r>
      <w:r w:rsidRPr="003844CB">
        <w:rPr>
          <w:iCs/>
        </w:rPr>
        <w:t>/</w:t>
      </w:r>
      <w:proofErr w:type="spellStart"/>
      <w:r w:rsidRPr="003844CB">
        <w:rPr>
          <w:iCs/>
        </w:rPr>
        <w:t>H</w:t>
      </w:r>
      <w:r>
        <w:rPr>
          <w:iCs/>
        </w:rPr>
        <w:t>albleib</w:t>
      </w:r>
      <w:proofErr w:type="spellEnd"/>
      <w:r>
        <w:rPr>
          <w:iCs/>
        </w:rPr>
        <w:t>, Gernot</w:t>
      </w:r>
      <w:r>
        <w:t xml:space="preserve"> (Hrsg.)</w:t>
      </w:r>
      <w:r w:rsidRPr="00716AD3">
        <w:t>, Legal Tech, Beck</w:t>
      </w:r>
      <w:r>
        <w:t>, München</w:t>
      </w:r>
      <w:r w:rsidRPr="00716AD3">
        <w:t xml:space="preserve"> 2</w:t>
      </w:r>
      <w:r>
        <w:t>018</w:t>
      </w:r>
      <w:r w:rsidR="005C6E9E">
        <w:t>, S. 5-17</w:t>
      </w:r>
      <w:r w:rsidR="00F870C4" w:rsidRPr="00E34B67">
        <w:rPr>
          <w:lang w:val="de-DE"/>
        </w:rPr>
        <w:t>.</w:t>
      </w:r>
    </w:p>
    <w:p w14:paraId="5C05CA0C" w14:textId="2AA0E6D8" w:rsidR="003F6DFF" w:rsidRPr="002B7C56" w:rsidRDefault="003F6DFF" w:rsidP="00856338">
      <w:pPr>
        <w:pStyle w:val="Literatur"/>
        <w:rPr>
          <w:lang w:val="de-DE"/>
        </w:rPr>
      </w:pPr>
      <w:r w:rsidRPr="003F6DFF">
        <w:rPr>
          <w:i/>
          <w:caps/>
        </w:rPr>
        <w:t>Hornung</w:t>
      </w:r>
      <w:r>
        <w:rPr>
          <w:i/>
          <w:caps/>
        </w:rPr>
        <w:t>, Gerrit</w:t>
      </w:r>
      <w:r w:rsidRPr="003F6DFF">
        <w:rPr>
          <w:i/>
          <w:caps/>
        </w:rPr>
        <w:t>/Wagner</w:t>
      </w:r>
      <w:r>
        <w:rPr>
          <w:i/>
          <w:caps/>
        </w:rPr>
        <w:t>, Bernd</w:t>
      </w:r>
      <w:r>
        <w:t>, Der schleichende Personenbezug, CR 2019, S. 565-574.</w:t>
      </w:r>
    </w:p>
    <w:p w14:paraId="3C8D12AA" w14:textId="526CBD07" w:rsidR="00EE3D87" w:rsidRDefault="00EE3D87" w:rsidP="00856338">
      <w:pPr>
        <w:pStyle w:val="Literatur"/>
      </w:pPr>
      <w:r w:rsidRPr="00EE3D87">
        <w:rPr>
          <w:i/>
          <w:caps/>
        </w:rPr>
        <w:t>Hornung</w:t>
      </w:r>
      <w:r>
        <w:rPr>
          <w:i/>
          <w:caps/>
        </w:rPr>
        <w:t>, Gerrit</w:t>
      </w:r>
      <w:r w:rsidRPr="00EE3D87">
        <w:rPr>
          <w:i/>
          <w:caps/>
        </w:rPr>
        <w:t>/Wagner</w:t>
      </w:r>
      <w:r>
        <w:rPr>
          <w:i/>
          <w:caps/>
        </w:rPr>
        <w:t>, Bernd</w:t>
      </w:r>
      <w:r>
        <w:t xml:space="preserve">, </w:t>
      </w:r>
      <w:r w:rsidR="003F6DFF">
        <w:t xml:space="preserve">Anonymisierung als datenschutzrelevante </w:t>
      </w:r>
      <w:proofErr w:type="gramStart"/>
      <w:r w:rsidR="003F6DFF">
        <w:t>Verarbeitung?</w:t>
      </w:r>
      <w:r>
        <w:t>,</w:t>
      </w:r>
      <w:proofErr w:type="gramEnd"/>
      <w:r>
        <w:t xml:space="preserve"> ZD 2020, S. 223-</w:t>
      </w:r>
      <w:r w:rsidR="003F6DFF">
        <w:t>228</w:t>
      </w:r>
      <w:r>
        <w:t>.</w:t>
      </w:r>
    </w:p>
    <w:p w14:paraId="16F3841F" w14:textId="7F52A761" w:rsidR="006F2C5F" w:rsidRDefault="006F2C5F" w:rsidP="00856338">
      <w:pPr>
        <w:pStyle w:val="Literatur"/>
        <w:rPr>
          <w:i/>
          <w:caps/>
        </w:rPr>
      </w:pPr>
      <w:r>
        <w:rPr>
          <w:i/>
          <w:lang w:val="de-DE"/>
        </w:rPr>
        <w:t>HAUPT</w:t>
      </w:r>
      <w:r w:rsidR="00767758">
        <w:rPr>
          <w:i/>
          <w:lang w:val="de-DE"/>
        </w:rPr>
        <w:t>,</w:t>
      </w:r>
      <w:r>
        <w:rPr>
          <w:i/>
          <w:lang w:val="de-DE"/>
        </w:rPr>
        <w:t xml:space="preserve"> HEIKO</w:t>
      </w:r>
      <w:r>
        <w:rPr>
          <w:lang w:val="de-DE"/>
        </w:rPr>
        <w:t xml:space="preserve">, (Kein) Steuergeheimnis nach dem </w:t>
      </w:r>
      <w:proofErr w:type="gramStart"/>
      <w:r>
        <w:rPr>
          <w:lang w:val="de-DE"/>
        </w:rPr>
        <w:t>Finanzgerichtsprozess?,</w:t>
      </w:r>
      <w:proofErr w:type="gramEnd"/>
      <w:r>
        <w:rPr>
          <w:lang w:val="de-DE"/>
        </w:rPr>
        <w:t xml:space="preserve"> </w:t>
      </w:r>
      <w:proofErr w:type="spellStart"/>
      <w:r>
        <w:rPr>
          <w:lang w:val="de-DE"/>
        </w:rPr>
        <w:t>DStR</w:t>
      </w:r>
      <w:proofErr w:type="spellEnd"/>
      <w:r>
        <w:rPr>
          <w:lang w:val="de-DE"/>
        </w:rPr>
        <w:t xml:space="preserve"> 2014, S. 1025-1031.</w:t>
      </w:r>
    </w:p>
    <w:p w14:paraId="04B7D393" w14:textId="09BF9CEA" w:rsidR="00E12B9A" w:rsidRDefault="00E12B9A" w:rsidP="00856338">
      <w:pPr>
        <w:pStyle w:val="Literatur"/>
        <w:rPr>
          <w:i/>
          <w:caps/>
          <w:lang w:val="de-DE"/>
        </w:rPr>
      </w:pPr>
      <w:r w:rsidRPr="00E12B9A">
        <w:rPr>
          <w:i/>
          <w:caps/>
        </w:rPr>
        <w:t>Karg</w:t>
      </w:r>
      <w:r>
        <w:rPr>
          <w:i/>
          <w:caps/>
        </w:rPr>
        <w:t>, Moritz</w:t>
      </w:r>
      <w:r>
        <w:t xml:space="preserve">, Anonymität, Pseudonyme und Personenbezug </w:t>
      </w:r>
      <w:proofErr w:type="spellStart"/>
      <w:proofErr w:type="gramStart"/>
      <w:r>
        <w:t>revisited</w:t>
      </w:r>
      <w:proofErr w:type="spellEnd"/>
      <w:r>
        <w:t>?,</w:t>
      </w:r>
      <w:proofErr w:type="gramEnd"/>
      <w:r>
        <w:t xml:space="preserve"> </w:t>
      </w:r>
      <w:proofErr w:type="spellStart"/>
      <w:r w:rsidRPr="008206EA">
        <w:rPr>
          <w:iCs/>
        </w:rPr>
        <w:t>DuD</w:t>
      </w:r>
      <w:proofErr w:type="spellEnd"/>
      <w:r w:rsidRPr="008206EA">
        <w:rPr>
          <w:iCs/>
        </w:rPr>
        <w:t xml:space="preserve"> </w:t>
      </w:r>
      <w:r w:rsidRPr="00E12B9A">
        <w:rPr>
          <w:iCs/>
        </w:rPr>
        <w:t>2015</w:t>
      </w:r>
      <w:r w:rsidRPr="00E12B9A">
        <w:rPr>
          <w:bCs/>
        </w:rPr>
        <w:t xml:space="preserve">, S. </w:t>
      </w:r>
      <w:r>
        <w:t>520-526.</w:t>
      </w:r>
    </w:p>
    <w:p w14:paraId="309CA197" w14:textId="20EC42FB" w:rsidR="00856338" w:rsidRPr="002B7C56" w:rsidRDefault="00856338" w:rsidP="00856338">
      <w:pPr>
        <w:pStyle w:val="Literatur"/>
        <w:rPr>
          <w:lang w:val="de-DE"/>
        </w:rPr>
      </w:pPr>
      <w:r w:rsidRPr="00856338">
        <w:rPr>
          <w:i/>
          <w:caps/>
          <w:lang w:val="de-DE"/>
        </w:rPr>
        <w:t>Keuchen</w:t>
      </w:r>
      <w:r w:rsidR="00767758">
        <w:rPr>
          <w:i/>
          <w:caps/>
          <w:lang w:val="de-DE"/>
        </w:rPr>
        <w:t>,</w:t>
      </w:r>
      <w:r>
        <w:rPr>
          <w:i/>
          <w:caps/>
          <w:lang w:val="de-DE"/>
        </w:rPr>
        <w:t xml:space="preserve"> Michael</w:t>
      </w:r>
      <w:r>
        <w:rPr>
          <w:lang w:val="de-DE"/>
        </w:rPr>
        <w:t>,</w:t>
      </w:r>
      <w:r w:rsidRPr="00856338">
        <w:t xml:space="preserve"> </w:t>
      </w:r>
      <w:r w:rsidRPr="00856338">
        <w:rPr>
          <w:lang w:val="de-DE"/>
        </w:rPr>
        <w:t xml:space="preserve">Grundbuch 4.0 – Folgt das </w:t>
      </w:r>
      <w:proofErr w:type="spellStart"/>
      <w:r w:rsidRPr="00856338">
        <w:rPr>
          <w:lang w:val="de-DE"/>
        </w:rPr>
        <w:t>Blockchain</w:t>
      </w:r>
      <w:proofErr w:type="spellEnd"/>
      <w:r w:rsidRPr="00856338">
        <w:rPr>
          <w:lang w:val="de-DE"/>
        </w:rPr>
        <w:t xml:space="preserve">-Grundbuch dem </w:t>
      </w:r>
      <w:proofErr w:type="gramStart"/>
      <w:r w:rsidRPr="00856338">
        <w:rPr>
          <w:lang w:val="de-DE"/>
        </w:rPr>
        <w:t>Datenbankgrundbuch?</w:t>
      </w:r>
      <w:r>
        <w:rPr>
          <w:lang w:val="de-DE"/>
        </w:rPr>
        <w:t>,</w:t>
      </w:r>
      <w:proofErr w:type="gramEnd"/>
      <w:r>
        <w:rPr>
          <w:lang w:val="de-DE"/>
        </w:rPr>
        <w:t xml:space="preserve"> </w:t>
      </w:r>
      <w:proofErr w:type="spellStart"/>
      <w:r>
        <w:rPr>
          <w:lang w:val="de-DE"/>
        </w:rPr>
        <w:t>ZfIR</w:t>
      </w:r>
      <w:proofErr w:type="spellEnd"/>
      <w:r>
        <w:rPr>
          <w:lang w:val="de-DE"/>
        </w:rPr>
        <w:t xml:space="preserve"> 2020, S. 593-600.</w:t>
      </w:r>
    </w:p>
    <w:p w14:paraId="1ECF598D" w14:textId="5A7390E2" w:rsidR="000D590B" w:rsidRDefault="000D590B" w:rsidP="00856338">
      <w:pPr>
        <w:pStyle w:val="Literatur"/>
        <w:rPr>
          <w:i/>
          <w:caps/>
        </w:rPr>
      </w:pPr>
      <w:r>
        <w:rPr>
          <w:i/>
          <w:caps/>
          <w:lang w:val="de-DE"/>
        </w:rPr>
        <w:t>köpferl, georg</w:t>
      </w:r>
      <w:r>
        <w:rPr>
          <w:i/>
          <w:lang w:val="de-DE"/>
        </w:rPr>
        <w:t xml:space="preserve">, </w:t>
      </w:r>
      <w:r w:rsidRPr="000D590B">
        <w:rPr>
          <w:lang w:val="de-DE"/>
        </w:rPr>
        <w:t>„Die Veröffentlichung unterbleibt im Hinblick auf das Steuergeheimnis“</w:t>
      </w:r>
      <w:r>
        <w:rPr>
          <w:lang w:val="de-DE"/>
        </w:rPr>
        <w:t>, ZIS 2015, S. 375-385.</w:t>
      </w:r>
    </w:p>
    <w:p w14:paraId="0A74867E" w14:textId="4F0ED307" w:rsidR="00767758" w:rsidRDefault="00767758" w:rsidP="00856338">
      <w:pPr>
        <w:pStyle w:val="Literatur"/>
        <w:rPr>
          <w:i/>
          <w:lang w:val="de-DE"/>
        </w:rPr>
      </w:pPr>
      <w:r w:rsidRPr="00767758">
        <w:rPr>
          <w:i/>
        </w:rPr>
        <w:t>KUNTZ</w:t>
      </w:r>
      <w:r>
        <w:rPr>
          <w:i/>
        </w:rPr>
        <w:t>, WOLFGANG</w:t>
      </w:r>
      <w:r>
        <w:t xml:space="preserve">, Quantität gerichtlicher Entscheidungen als Qualitätskriterium juristischer Datenbanken, </w:t>
      </w:r>
      <w:proofErr w:type="spellStart"/>
      <w:r w:rsidRPr="0041701B">
        <w:t>Jur</w:t>
      </w:r>
      <w:r>
        <w:t>PC</w:t>
      </w:r>
      <w:proofErr w:type="spellEnd"/>
      <w:r>
        <w:t xml:space="preserve"> Web-</w:t>
      </w:r>
      <w:proofErr w:type="spellStart"/>
      <w:r>
        <w:t>Dok</w:t>
      </w:r>
      <w:proofErr w:type="spellEnd"/>
      <w:r>
        <w:t>. 12/2006</w:t>
      </w:r>
      <w:r w:rsidR="007E71A6">
        <w:t>.</w:t>
      </w:r>
    </w:p>
    <w:p w14:paraId="4C06F8A2" w14:textId="21992030" w:rsidR="001315D0" w:rsidRDefault="001315D0" w:rsidP="00856338">
      <w:pPr>
        <w:pStyle w:val="Literatur"/>
        <w:rPr>
          <w:i/>
          <w:caps/>
        </w:rPr>
      </w:pPr>
      <w:r>
        <w:rPr>
          <w:i/>
          <w:lang w:val="de-DE"/>
        </w:rPr>
        <w:t>NÖHRE, INGO</w:t>
      </w:r>
      <w:r>
        <w:rPr>
          <w:lang w:val="de-DE"/>
        </w:rPr>
        <w:t xml:space="preserve">, </w:t>
      </w:r>
      <w:r w:rsidRPr="008609A5">
        <w:rPr>
          <w:lang w:val="de-DE"/>
        </w:rPr>
        <w:t>Anonymisierun</w:t>
      </w:r>
      <w:r>
        <w:rPr>
          <w:lang w:val="de-DE"/>
        </w:rPr>
        <w:t>g und Neutralisierung von veröf</w:t>
      </w:r>
      <w:r w:rsidRPr="008609A5">
        <w:rPr>
          <w:lang w:val="de-DE"/>
        </w:rPr>
        <w:t>fentlichungswürdigen Gerichtsentscheidungen</w:t>
      </w:r>
      <w:r>
        <w:rPr>
          <w:lang w:val="de-DE"/>
        </w:rPr>
        <w:t>, MDR 2019, S. 136-141.</w:t>
      </w:r>
    </w:p>
    <w:p w14:paraId="69152E68" w14:textId="2A5B19E9" w:rsidR="00E12B9A" w:rsidRDefault="00E12B9A" w:rsidP="00856338">
      <w:pPr>
        <w:pStyle w:val="Literatur"/>
      </w:pPr>
      <w:proofErr w:type="spellStart"/>
      <w:r w:rsidRPr="00856338">
        <w:rPr>
          <w:i/>
          <w:caps/>
        </w:rPr>
        <w:t>Paaß</w:t>
      </w:r>
      <w:proofErr w:type="spellEnd"/>
      <w:r>
        <w:rPr>
          <w:i/>
          <w:caps/>
        </w:rPr>
        <w:t>, Gerhard</w:t>
      </w:r>
      <w:r w:rsidRPr="00856338">
        <w:rPr>
          <w:i/>
          <w:caps/>
        </w:rPr>
        <w:t>/Wauschkuhn</w:t>
      </w:r>
      <w:r>
        <w:rPr>
          <w:i/>
          <w:caps/>
        </w:rPr>
        <w:t>, Udo</w:t>
      </w:r>
      <w:r>
        <w:t xml:space="preserve">, Datenzugang, Datenschutz und Anonymisierung, R. </w:t>
      </w:r>
      <w:proofErr w:type="spellStart"/>
      <w:r>
        <w:t>Olden</w:t>
      </w:r>
      <w:r w:rsidR="007E3398">
        <w:t>bourg</w:t>
      </w:r>
      <w:proofErr w:type="spellEnd"/>
      <w:r w:rsidR="007E3398">
        <w:t xml:space="preserve"> Verlag, München 1984</w:t>
      </w:r>
      <w:r>
        <w:t>.</w:t>
      </w:r>
    </w:p>
    <w:p w14:paraId="6AD175D9" w14:textId="1CED0904" w:rsidR="002E00F6" w:rsidRDefault="002E00F6" w:rsidP="00856338">
      <w:pPr>
        <w:pStyle w:val="Literatur"/>
        <w:rPr>
          <w:i/>
          <w:caps/>
        </w:rPr>
      </w:pPr>
      <w:r w:rsidRPr="002E00F6">
        <w:rPr>
          <w:i/>
          <w:caps/>
        </w:rPr>
        <w:t>Poppenhänger</w:t>
      </w:r>
      <w:r>
        <w:rPr>
          <w:i/>
          <w:caps/>
        </w:rPr>
        <w:t>, Holger,</w:t>
      </w:r>
      <w:r>
        <w:t xml:space="preserve"> Die Übermittlung und Veröffentlichung statistischer Daten im Lichte des Rechts auf informationelle Selbstbestimmung, </w:t>
      </w:r>
      <w:r w:rsidRPr="00CF0B0D">
        <w:t>Duncker &amp; Humblot</w:t>
      </w:r>
      <w:r>
        <w:t>, Berlin 1995.</w:t>
      </w:r>
    </w:p>
    <w:p w14:paraId="33103DC5" w14:textId="4156A9F6" w:rsidR="00A541FD" w:rsidRDefault="00A541FD" w:rsidP="00856338">
      <w:pPr>
        <w:pStyle w:val="Literatur"/>
        <w:rPr>
          <w:i/>
          <w:caps/>
        </w:rPr>
      </w:pPr>
      <w:r w:rsidRPr="004904F1">
        <w:rPr>
          <w:i/>
          <w:caps/>
        </w:rPr>
        <w:t>Putzke</w:t>
      </w:r>
      <w:r>
        <w:rPr>
          <w:i/>
          <w:caps/>
        </w:rPr>
        <w:t>, Holm</w:t>
      </w:r>
      <w:r w:rsidRPr="004904F1">
        <w:rPr>
          <w:i/>
          <w:caps/>
        </w:rPr>
        <w:t>/Zenthöfer</w:t>
      </w:r>
      <w:r>
        <w:rPr>
          <w:i/>
          <w:caps/>
        </w:rPr>
        <w:t>, Jochen</w:t>
      </w:r>
      <w:r>
        <w:rPr>
          <w:caps/>
        </w:rPr>
        <w:t xml:space="preserve">, </w:t>
      </w:r>
      <w:r>
        <w:t>Der Anspruch auf Übermittlung von Abschriften strafgerichtlicher Entscheidungen, NJW 2015, S. 1777-1783.</w:t>
      </w:r>
    </w:p>
    <w:p w14:paraId="13931A8A" w14:textId="084F2D3A" w:rsidR="00862096" w:rsidRPr="00981FDC" w:rsidRDefault="00862096" w:rsidP="00856338">
      <w:pPr>
        <w:pStyle w:val="Literatur"/>
        <w:rPr>
          <w:i/>
          <w:caps/>
          <w:lang w:val="en-US"/>
        </w:rPr>
      </w:pPr>
      <w:r w:rsidRPr="00981FDC">
        <w:rPr>
          <w:i/>
          <w:caps/>
          <w:lang w:val="en-US"/>
        </w:rPr>
        <w:t>Rocher, luc/Hendrickx, Julien M./de Montjoye, yves-alexandre</w:t>
      </w:r>
      <w:r w:rsidRPr="00981FDC">
        <w:rPr>
          <w:i/>
          <w:lang w:val="en-US"/>
        </w:rPr>
        <w:t>,</w:t>
      </w:r>
      <w:r w:rsidRPr="00981FDC">
        <w:rPr>
          <w:lang w:val="en-US"/>
        </w:rPr>
        <w:t xml:space="preserve"> Estimating the success of re-identifications in incomplete datasets using generative models, Nature Communications 10, 2019, </w:t>
      </w:r>
      <w:proofErr w:type="spellStart"/>
      <w:r w:rsidRPr="00981FDC">
        <w:rPr>
          <w:lang w:val="en-US"/>
        </w:rPr>
        <w:t>Nr</w:t>
      </w:r>
      <w:proofErr w:type="spellEnd"/>
      <w:r w:rsidRPr="00981FDC">
        <w:rPr>
          <w:lang w:val="en-US"/>
        </w:rPr>
        <w:t xml:space="preserve"> 3069</w:t>
      </w:r>
      <w:r w:rsidR="003F4D99" w:rsidRPr="00981FDC">
        <w:rPr>
          <w:lang w:val="en-US"/>
        </w:rPr>
        <w:t>.</w:t>
      </w:r>
    </w:p>
    <w:p w14:paraId="2536369E" w14:textId="51B9FC4F" w:rsidR="005E4DC3" w:rsidRDefault="005E4DC3" w:rsidP="00856338">
      <w:pPr>
        <w:pStyle w:val="Literatur"/>
      </w:pPr>
      <w:r>
        <w:rPr>
          <w:i/>
        </w:rPr>
        <w:t>SIMITIS, SPIROS/HORNUNG, GERRIT/SPIECKER, INDRA</w:t>
      </w:r>
      <w:r>
        <w:t xml:space="preserve"> (Hrsg.), Datenschutzrecht, Nomos, Baden-Baden 2019.</w:t>
      </w:r>
    </w:p>
    <w:p w14:paraId="67113964" w14:textId="6606C316" w:rsidR="00D32897" w:rsidRPr="00656758" w:rsidRDefault="00D32897" w:rsidP="00656758">
      <w:pPr>
        <w:pStyle w:val="Literatur"/>
      </w:pPr>
      <w:r w:rsidRPr="00C96596">
        <w:rPr>
          <w:i/>
          <w:caps/>
        </w:rPr>
        <w:t>Sonntag</w:t>
      </w:r>
      <w:r>
        <w:t xml:space="preserve">, </w:t>
      </w:r>
      <w:r w:rsidRPr="00656758">
        <w:rPr>
          <w:i/>
        </w:rPr>
        <w:t>MICHAEL</w:t>
      </w:r>
      <w:r>
        <w:t xml:space="preserve">, Anonymisierung: Methoden und Zulässigkeit, </w:t>
      </w:r>
      <w:proofErr w:type="spellStart"/>
      <w:r>
        <w:t>Jusletter</w:t>
      </w:r>
      <w:proofErr w:type="spellEnd"/>
      <w:r>
        <w:t xml:space="preserve"> IT 25. Februar 2016.</w:t>
      </w:r>
    </w:p>
    <w:p w14:paraId="254A621B" w14:textId="5A8801E3" w:rsidR="005C6E9E" w:rsidRDefault="005C6E9E" w:rsidP="00856338">
      <w:pPr>
        <w:pStyle w:val="Literatur"/>
        <w:rPr>
          <w:i/>
          <w:caps/>
        </w:rPr>
      </w:pPr>
      <w:r>
        <w:rPr>
          <w:i/>
          <w:lang w:val="en-US"/>
        </w:rPr>
        <w:t xml:space="preserve">VOGL, </w:t>
      </w:r>
      <w:r w:rsidRPr="005C6E9E">
        <w:rPr>
          <w:i/>
          <w:caps/>
          <w:lang w:val="en-US"/>
        </w:rPr>
        <w:t>Roland</w:t>
      </w:r>
      <w:r>
        <w:rPr>
          <w:i/>
          <w:lang w:val="en-US"/>
        </w:rPr>
        <w:t xml:space="preserve">, </w:t>
      </w:r>
      <w:r w:rsidRPr="00E34B67">
        <w:rPr>
          <w:lang w:val="en-US"/>
        </w:rPr>
        <w:t>Changes in the US Legal Market Driven by Big Data/Predictive Analytics and Legal Platforms.</w:t>
      </w:r>
      <w:r w:rsidRPr="005C6E9E">
        <w:rPr>
          <w:i/>
          <w:iCs/>
          <w:lang w:val="en-US"/>
        </w:rPr>
        <w:t xml:space="preserve"> </w:t>
      </w:r>
      <w:r>
        <w:t>I</w:t>
      </w:r>
      <w:r w:rsidRPr="003844CB">
        <w:t>n</w:t>
      </w:r>
      <w:r>
        <w:t xml:space="preserve">: </w:t>
      </w:r>
      <w:r w:rsidRPr="003844CB">
        <w:rPr>
          <w:iCs/>
        </w:rPr>
        <w:t>H</w:t>
      </w:r>
      <w:r>
        <w:rPr>
          <w:iCs/>
        </w:rPr>
        <w:t>artung</w:t>
      </w:r>
      <w:r w:rsidRPr="003844CB">
        <w:rPr>
          <w:iCs/>
        </w:rPr>
        <w:t>/</w:t>
      </w:r>
      <w:proofErr w:type="spellStart"/>
      <w:r w:rsidRPr="003844CB">
        <w:rPr>
          <w:iCs/>
        </w:rPr>
        <w:t>B</w:t>
      </w:r>
      <w:r>
        <w:rPr>
          <w:iCs/>
        </w:rPr>
        <w:t>ues</w:t>
      </w:r>
      <w:proofErr w:type="spellEnd"/>
      <w:r w:rsidRPr="003844CB">
        <w:rPr>
          <w:iCs/>
        </w:rPr>
        <w:t>/</w:t>
      </w:r>
      <w:proofErr w:type="spellStart"/>
      <w:r w:rsidRPr="003844CB">
        <w:rPr>
          <w:iCs/>
        </w:rPr>
        <w:t>H</w:t>
      </w:r>
      <w:r>
        <w:rPr>
          <w:iCs/>
        </w:rPr>
        <w:t>albleib</w:t>
      </w:r>
      <w:proofErr w:type="spellEnd"/>
      <w:r>
        <w:t xml:space="preserve"> (Hrsg.)</w:t>
      </w:r>
      <w:r w:rsidRPr="00716AD3">
        <w:t>, Legal Tech, Beck</w:t>
      </w:r>
      <w:r>
        <w:t>, München</w:t>
      </w:r>
      <w:r w:rsidRPr="00716AD3">
        <w:t xml:space="preserve"> 2</w:t>
      </w:r>
      <w:r>
        <w:t>018</w:t>
      </w:r>
      <w:r w:rsidRPr="00E34B67">
        <w:rPr>
          <w:lang w:val="de-DE"/>
        </w:rPr>
        <w:t>, S. 53-64.</w:t>
      </w:r>
    </w:p>
    <w:p w14:paraId="5C077F21" w14:textId="58D95979" w:rsidR="00862096" w:rsidRDefault="00862096" w:rsidP="00856338">
      <w:pPr>
        <w:pStyle w:val="Literatur"/>
        <w:rPr>
          <w:i/>
          <w:caps/>
        </w:rPr>
      </w:pPr>
      <w:r w:rsidRPr="00862096">
        <w:rPr>
          <w:i/>
          <w:caps/>
        </w:rPr>
        <w:t>Vokinger</w:t>
      </w:r>
      <w:r>
        <w:rPr>
          <w:i/>
          <w:caps/>
        </w:rPr>
        <w:t>, Kerstin</w:t>
      </w:r>
      <w:r w:rsidRPr="00862096">
        <w:rPr>
          <w:i/>
          <w:caps/>
        </w:rPr>
        <w:t>/Mühlematter</w:t>
      </w:r>
      <w:r>
        <w:rPr>
          <w:i/>
          <w:caps/>
        </w:rPr>
        <w:t>, Urs jakob</w:t>
      </w:r>
      <w:r>
        <w:t>, Re-Identifikation von Gerichtsurteilen durch «</w:t>
      </w:r>
      <w:proofErr w:type="spellStart"/>
      <w:r>
        <w:t>Linkage</w:t>
      </w:r>
      <w:proofErr w:type="spellEnd"/>
      <w:r>
        <w:t>» von Daten(</w:t>
      </w:r>
      <w:proofErr w:type="spellStart"/>
      <w:r>
        <w:t>banken</w:t>
      </w:r>
      <w:proofErr w:type="spellEnd"/>
      <w:r>
        <w:t xml:space="preserve">), </w:t>
      </w:r>
      <w:proofErr w:type="spellStart"/>
      <w:r>
        <w:t>Ju</w:t>
      </w:r>
      <w:r w:rsidR="00DC5DE7">
        <w:t>sletter</w:t>
      </w:r>
      <w:proofErr w:type="spellEnd"/>
      <w:r w:rsidR="00DC5DE7">
        <w:t xml:space="preserve"> 2. September 2019</w:t>
      </w:r>
      <w:r>
        <w:t>.</w:t>
      </w:r>
    </w:p>
    <w:p w14:paraId="52B38A96" w14:textId="68EF5C28" w:rsidR="006B521A" w:rsidRPr="00F93C49" w:rsidRDefault="00605EF0" w:rsidP="00856338">
      <w:pPr>
        <w:pStyle w:val="Literatur"/>
      </w:pPr>
      <w:r w:rsidRPr="00605EF0">
        <w:rPr>
          <w:i/>
          <w:caps/>
        </w:rPr>
        <w:t>Winter</w:t>
      </w:r>
      <w:r>
        <w:rPr>
          <w:i/>
          <w:caps/>
        </w:rPr>
        <w:t>, Christian</w:t>
      </w:r>
      <w:r w:rsidRPr="00605EF0">
        <w:rPr>
          <w:i/>
          <w:caps/>
        </w:rPr>
        <w:t>/Battis</w:t>
      </w:r>
      <w:r>
        <w:rPr>
          <w:i/>
          <w:caps/>
        </w:rPr>
        <w:t xml:space="preserve">, Verena </w:t>
      </w:r>
      <w:r w:rsidRPr="00605EF0">
        <w:rPr>
          <w:i/>
          <w:caps/>
        </w:rPr>
        <w:t>/Halvani</w:t>
      </w:r>
      <w:r>
        <w:rPr>
          <w:i/>
          <w:caps/>
        </w:rPr>
        <w:t>, Oren</w:t>
      </w:r>
      <w:r>
        <w:t xml:space="preserve">, Herausforderungen für die Anonymisierung von Daten, ZD 2019, </w:t>
      </w:r>
      <w:r w:rsidR="00EE3D87">
        <w:t>S.489-493</w:t>
      </w:r>
      <w:r w:rsidRPr="00F93C49">
        <w:t>.</w:t>
      </w:r>
    </w:p>
    <w:p w14:paraId="00C599BD" w14:textId="24BD0034" w:rsidR="00801D74" w:rsidRPr="00801D74" w:rsidRDefault="00F93C49" w:rsidP="00856338">
      <w:pPr>
        <w:pStyle w:val="Literatur"/>
      </w:pPr>
      <w:r w:rsidRPr="00F93C49">
        <w:rPr>
          <w:i/>
          <w:caps/>
        </w:rPr>
        <w:t>Wolff, Amadeus/Brink, Stefan</w:t>
      </w:r>
      <w:r w:rsidRPr="00F93C49">
        <w:t xml:space="preserve"> (Hrsg.), </w:t>
      </w:r>
      <w:proofErr w:type="spellStart"/>
      <w:r w:rsidRPr="00F93C49">
        <w:t>Beck`scher</w:t>
      </w:r>
      <w:proofErr w:type="spellEnd"/>
      <w:r w:rsidRPr="00F93C49">
        <w:t xml:space="preserve"> Online-Kommentar Datenschutzrecht, München, 3</w:t>
      </w:r>
      <w:r w:rsidR="0050107E">
        <w:t>4. Edition, Stand 01.11</w:t>
      </w:r>
      <w:r w:rsidRPr="00F93C49">
        <w:t>.2020.</w:t>
      </w:r>
    </w:p>
    <w:sectPr w:rsidR="00801D74" w:rsidRPr="00801D74" w:rsidSect="00317B0C">
      <w:pgSz w:w="11906" w:h="16838"/>
      <w:pgMar w:top="1378"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F4E09" w14:textId="77777777" w:rsidR="00F50F33" w:rsidRDefault="00F50F33" w:rsidP="006E567B">
      <w:r>
        <w:separator/>
      </w:r>
    </w:p>
  </w:endnote>
  <w:endnote w:type="continuationSeparator" w:id="0">
    <w:p w14:paraId="1F69C295" w14:textId="77777777" w:rsidR="00F50F33" w:rsidRDefault="00F50F33" w:rsidP="006E5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FFE3D" w14:textId="77777777" w:rsidR="00F50F33" w:rsidRDefault="00F50F33" w:rsidP="006E567B">
      <w:bookmarkStart w:id="0" w:name="OLE_LINK457"/>
      <w:bookmarkStart w:id="1" w:name="OLE_LINK458"/>
      <w:bookmarkStart w:id="2" w:name="_Hlk379210394"/>
      <w:bookmarkStart w:id="3" w:name="OLE_LINK459"/>
      <w:bookmarkStart w:id="4" w:name="OLE_LINK460"/>
      <w:bookmarkStart w:id="5" w:name="_Hlk379210396"/>
      <w:r w:rsidRPr="00BD3C99">
        <w:separator/>
      </w:r>
      <w:bookmarkEnd w:id="0"/>
      <w:bookmarkEnd w:id="1"/>
      <w:bookmarkEnd w:id="2"/>
      <w:bookmarkEnd w:id="3"/>
      <w:bookmarkEnd w:id="4"/>
      <w:bookmarkEnd w:id="5"/>
    </w:p>
  </w:footnote>
  <w:footnote w:type="continuationSeparator" w:id="0">
    <w:p w14:paraId="0424C80F" w14:textId="77777777" w:rsidR="00F50F33" w:rsidRDefault="00F50F33" w:rsidP="006E567B">
      <w:r w:rsidRPr="00BD3C99">
        <w:separator/>
      </w:r>
    </w:p>
  </w:footnote>
  <w:footnote w:id="1">
    <w:p w14:paraId="77A237D7" w14:textId="7BE995E8" w:rsidR="0068437A" w:rsidRPr="00716AD3" w:rsidRDefault="0068437A" w:rsidP="00F37567">
      <w:pPr>
        <w:pStyle w:val="Funotentext"/>
        <w:jc w:val="both"/>
      </w:pPr>
      <w:r>
        <w:rPr>
          <w:rStyle w:val="Funotenzeichen"/>
        </w:rPr>
        <w:footnoteRef/>
      </w:r>
      <w:r>
        <w:t xml:space="preserve"> </w:t>
      </w:r>
      <w:r>
        <w:tab/>
        <w:t xml:space="preserve">Der Begriff </w:t>
      </w:r>
      <w:r w:rsidRPr="00716AD3">
        <w:t>„Legal-Tech“ ist in Deutschland ungefähr seit 2015 in aller Munde</w:t>
      </w:r>
      <w:r>
        <w:t>, siehe</w:t>
      </w:r>
      <w:r w:rsidR="00935E12">
        <w:t xml:space="preserve"> </w:t>
      </w:r>
      <w:r w:rsidR="00935E12" w:rsidRPr="003844CB">
        <w:rPr>
          <w:i/>
        </w:rPr>
        <w:t>H</w:t>
      </w:r>
      <w:r w:rsidR="003844CB" w:rsidRPr="003844CB">
        <w:rPr>
          <w:i/>
        </w:rPr>
        <w:t>ARTUNG</w:t>
      </w:r>
      <w:r w:rsidR="003844CB">
        <w:t>, Gedanken zu Legal Tech und Digitalisierung.</w:t>
      </w:r>
      <w:r w:rsidR="00935E12" w:rsidRPr="003844CB">
        <w:t xml:space="preserve"> </w:t>
      </w:r>
      <w:r w:rsidR="003844CB">
        <w:t>I</w:t>
      </w:r>
      <w:r w:rsidR="00935E12" w:rsidRPr="003844CB">
        <w:t>n</w:t>
      </w:r>
      <w:r w:rsidR="003844CB">
        <w:t>:</w:t>
      </w:r>
      <w:r>
        <w:t xml:space="preserve"> </w:t>
      </w:r>
      <w:r w:rsidRPr="00FE47EC">
        <w:rPr>
          <w:iCs/>
        </w:rPr>
        <w:t>H</w:t>
      </w:r>
      <w:r w:rsidR="003844CB" w:rsidRPr="00FE47EC">
        <w:rPr>
          <w:iCs/>
        </w:rPr>
        <w:t>artung</w:t>
      </w:r>
      <w:r w:rsidRPr="00FE47EC">
        <w:rPr>
          <w:iCs/>
        </w:rPr>
        <w:t>/</w:t>
      </w:r>
      <w:proofErr w:type="spellStart"/>
      <w:r w:rsidRPr="00FE47EC">
        <w:rPr>
          <w:iCs/>
        </w:rPr>
        <w:t>B</w:t>
      </w:r>
      <w:r w:rsidR="003844CB" w:rsidRPr="00FE47EC">
        <w:rPr>
          <w:iCs/>
        </w:rPr>
        <w:t>ues</w:t>
      </w:r>
      <w:proofErr w:type="spellEnd"/>
      <w:r w:rsidRPr="00FE47EC">
        <w:rPr>
          <w:iCs/>
        </w:rPr>
        <w:t>/</w:t>
      </w:r>
      <w:proofErr w:type="spellStart"/>
      <w:r w:rsidRPr="00FE47EC">
        <w:rPr>
          <w:iCs/>
        </w:rPr>
        <w:t>H</w:t>
      </w:r>
      <w:r w:rsidR="003844CB" w:rsidRPr="00FE47EC">
        <w:rPr>
          <w:iCs/>
        </w:rPr>
        <w:t>albleib</w:t>
      </w:r>
      <w:proofErr w:type="spellEnd"/>
      <w:r w:rsidR="003844CB">
        <w:t xml:space="preserve"> (Hrsg.)</w:t>
      </w:r>
      <w:r w:rsidRPr="00716AD3">
        <w:t>, Legal Tech, Beck</w:t>
      </w:r>
      <w:r w:rsidR="00EC1F6A">
        <w:t>, München</w:t>
      </w:r>
      <w:r w:rsidRPr="00716AD3">
        <w:t xml:space="preserve"> 2</w:t>
      </w:r>
      <w:r w:rsidR="003844CB">
        <w:t>018, S. 5 ff.</w:t>
      </w:r>
      <w:r w:rsidRPr="00716AD3">
        <w:t xml:space="preserve"> Man spricht insoweit auch gerne von einem „Hype“.</w:t>
      </w:r>
    </w:p>
  </w:footnote>
  <w:footnote w:id="2">
    <w:p w14:paraId="163BC526" w14:textId="7C54ED2C" w:rsidR="00244A05" w:rsidRPr="00244A05" w:rsidRDefault="00244A05" w:rsidP="00682411">
      <w:pPr>
        <w:pStyle w:val="Funotentext"/>
        <w:jc w:val="both"/>
        <w:rPr>
          <w:lang w:val="de-DE"/>
        </w:rPr>
      </w:pPr>
      <w:r>
        <w:rPr>
          <w:rStyle w:val="Funotenzeichen"/>
        </w:rPr>
        <w:footnoteRef/>
      </w:r>
      <w:r>
        <w:t xml:space="preserve"> </w:t>
      </w:r>
      <w:r w:rsidR="00682411">
        <w:tab/>
        <w:t xml:space="preserve">Dazu </w:t>
      </w:r>
      <w:r w:rsidR="00682411" w:rsidRPr="00833C49">
        <w:rPr>
          <w:i/>
          <w:iCs/>
        </w:rPr>
        <w:t>BÜTTNER/FROHN/SEEBACH</w:t>
      </w:r>
      <w:r w:rsidR="00682411" w:rsidRPr="00831F5E">
        <w:t>, Elektronischer Rechtsverkehr und Informationstechnologie im Notariat, Beck,</w:t>
      </w:r>
      <w:r w:rsidR="00682411">
        <w:t xml:space="preserve"> München </w:t>
      </w:r>
      <w:r w:rsidR="00682411" w:rsidRPr="00831F5E">
        <w:t xml:space="preserve">2019, S. </w:t>
      </w:r>
      <w:r w:rsidR="00682411">
        <w:t xml:space="preserve">371, 355 f., 399, 431: Das Zentrale Vorsorgeregister (ZVR) dient z.B. dem besseren Auffinden von Vorsorgevollmachten und Betreuungsverfügungen. Durch die Justiz wird das ZVR ca. 20.000 Mal im Monat abgefragt. Bei rund 9,5 % der Fälle kann mindestens eine passende Eintragung </w:t>
      </w:r>
      <w:proofErr w:type="spellStart"/>
      <w:r w:rsidR="00682411">
        <w:t>beauskunftet</w:t>
      </w:r>
      <w:proofErr w:type="spellEnd"/>
      <w:r w:rsidR="00682411">
        <w:t xml:space="preserve"> werden. Dabei ist festzustellen, dass fast 90 % der Registrierungen im ZVR aus Notariaten stammen. Über das Zentrale Testamentsregister (ZTR) soll sichergestellt werden, dass Verfügungen von Todes wegen aufgefunden und vollzogen werden. Bis zum 01. Januar 2012 „erfolgte die Benachrichtigung in Nachlasssachen mit papiergebundenen Verwahrungsnachrichten, die in rund 5.000 Testamentsverzeichnissen bei den (…) Standesämtern (…) dezentral geführt wurden.“ Die Bundesnotarkammer hat „innerhalb von rund drei Jahren“ in einem der „größten Projekte zur Verwaltungsmodernisierung“ ca. 18,4 Mio. solcher Verwahrungsnachrichten digitalisiert und in das ZTR digital überführt. Mit diesem System werden heute pro Werktag ca. 4.000 Sterbefälle bearbeitet und daraufhin untersucht, ob sich unter den mittlerweile 20 Mio. hinterlegten Registrierungen ein korrespondierender Datensatz befindet.</w:t>
      </w:r>
    </w:p>
  </w:footnote>
  <w:footnote w:id="3">
    <w:p w14:paraId="1831060F" w14:textId="1A88D1AB" w:rsidR="0068437A" w:rsidRPr="0096312C" w:rsidRDefault="0068437A" w:rsidP="00F37567">
      <w:pPr>
        <w:pStyle w:val="Funotentext"/>
        <w:jc w:val="both"/>
      </w:pPr>
      <w:r>
        <w:rPr>
          <w:rStyle w:val="Funotenzeichen"/>
        </w:rPr>
        <w:footnoteRef/>
      </w:r>
      <w:r w:rsidRPr="0096312C">
        <w:t xml:space="preserve"> </w:t>
      </w:r>
      <w:r w:rsidRPr="0096312C">
        <w:tab/>
      </w:r>
      <w:r w:rsidR="0096312C" w:rsidRPr="0096312C">
        <w:rPr>
          <w:i/>
          <w:iCs/>
        </w:rPr>
        <w:t>ibid.</w:t>
      </w:r>
      <w:r w:rsidRPr="0096312C">
        <w:t>, S. 542 f.</w:t>
      </w:r>
    </w:p>
  </w:footnote>
  <w:footnote w:id="4">
    <w:p w14:paraId="35B9D7C4" w14:textId="71A01036" w:rsidR="0068437A" w:rsidRPr="005D5A0F" w:rsidRDefault="0068437A" w:rsidP="00F37567">
      <w:pPr>
        <w:pStyle w:val="Funotentext"/>
        <w:jc w:val="both"/>
        <w:rPr>
          <w:szCs w:val="20"/>
        </w:rPr>
      </w:pPr>
      <w:r w:rsidRPr="00315DE7">
        <w:rPr>
          <w:rStyle w:val="Funotenzeichen"/>
          <w:sz w:val="22"/>
        </w:rPr>
        <w:footnoteRef/>
      </w:r>
      <w:r w:rsidRPr="00315DE7">
        <w:rPr>
          <w:sz w:val="22"/>
        </w:rPr>
        <w:t xml:space="preserve"> </w:t>
      </w:r>
      <w:r>
        <w:rPr>
          <w:sz w:val="22"/>
        </w:rPr>
        <w:tab/>
      </w:r>
      <w:r>
        <w:t>Bereits im</w:t>
      </w:r>
      <w:r w:rsidRPr="005D5A0F">
        <w:rPr>
          <w:szCs w:val="20"/>
        </w:rPr>
        <w:t xml:space="preserve"> Beitrag </w:t>
      </w:r>
      <w:r w:rsidRPr="005D5A0F">
        <w:rPr>
          <w:i/>
          <w:szCs w:val="20"/>
        </w:rPr>
        <w:t>ADRIAN</w:t>
      </w:r>
      <w:r>
        <w:rPr>
          <w:i/>
          <w:szCs w:val="20"/>
        </w:rPr>
        <w:t>,</w:t>
      </w:r>
      <w:r w:rsidRPr="005D5A0F">
        <w:rPr>
          <w:iCs/>
          <w:szCs w:val="20"/>
        </w:rPr>
        <w:t xml:space="preserve"> Der Richterautomat ist möglich – Semantik ist nur eine </w:t>
      </w:r>
      <w:proofErr w:type="gramStart"/>
      <w:r w:rsidRPr="005D5A0F">
        <w:rPr>
          <w:iCs/>
          <w:szCs w:val="20"/>
        </w:rPr>
        <w:t>Illusion</w:t>
      </w:r>
      <w:r w:rsidRPr="005D5A0F">
        <w:rPr>
          <w:szCs w:val="20"/>
        </w:rPr>
        <w:t>?</w:t>
      </w:r>
      <w:r>
        <w:rPr>
          <w:szCs w:val="20"/>
        </w:rPr>
        <w:t>,</w:t>
      </w:r>
      <w:proofErr w:type="gramEnd"/>
      <w:r w:rsidRPr="005D5A0F">
        <w:rPr>
          <w:szCs w:val="20"/>
        </w:rPr>
        <w:t xml:space="preserve"> RECHTSTHEORIE 2017, S. 77 ff.</w:t>
      </w:r>
      <w:r>
        <w:rPr>
          <w:szCs w:val="20"/>
        </w:rPr>
        <w:t xml:space="preserve"> wurde gefordert nicht nur Urteile als solche, sondern grundsätzlich auch alle Schriftsätze, die historisch zum Erlass des jeweiligen Urteils führten, in die Datenbasis von Legal</w:t>
      </w:r>
      <w:r w:rsidR="00066AF8">
        <w:rPr>
          <w:szCs w:val="20"/>
        </w:rPr>
        <w:t>-Tech-</w:t>
      </w:r>
      <w:r>
        <w:rPr>
          <w:szCs w:val="20"/>
        </w:rPr>
        <w:t xml:space="preserve">Tools miteinzubeziehen, um stabile Ergebnisse zu erhalten. Dies ist auch mit Überlegungen aus der Methodenlehre, der Wissenschaftstheorie und der Rechtsphilosophie zu begründen, was in </w:t>
      </w:r>
      <w:proofErr w:type="spellStart"/>
      <w:r w:rsidR="00A220CC">
        <w:rPr>
          <w:i/>
          <w:szCs w:val="20"/>
        </w:rPr>
        <w:t>ders</w:t>
      </w:r>
      <w:proofErr w:type="spellEnd"/>
      <w:r w:rsidR="00A220CC">
        <w:rPr>
          <w:i/>
          <w:szCs w:val="20"/>
        </w:rPr>
        <w:t>.</w:t>
      </w:r>
      <w:r w:rsidRPr="005D5A0F">
        <w:rPr>
          <w:i/>
          <w:szCs w:val="20"/>
        </w:rPr>
        <w:t xml:space="preserve">, </w:t>
      </w:r>
      <w:r w:rsidRPr="005D5A0F">
        <w:rPr>
          <w:iCs/>
          <w:szCs w:val="20"/>
        </w:rPr>
        <w:t>Grundprobleme einer juristischen (gemeinschaftsrechtlichen) Methodenlehre, Berlin 2009,</w:t>
      </w:r>
      <w:r w:rsidRPr="005D5A0F">
        <w:rPr>
          <w:szCs w:val="20"/>
        </w:rPr>
        <w:t xml:space="preserve"> </w:t>
      </w:r>
      <w:proofErr w:type="spellStart"/>
      <w:r w:rsidRPr="005D5A0F">
        <w:rPr>
          <w:i/>
          <w:szCs w:val="20"/>
        </w:rPr>
        <w:t>ders</w:t>
      </w:r>
      <w:proofErr w:type="spellEnd"/>
      <w:r w:rsidRPr="005D5A0F">
        <w:rPr>
          <w:szCs w:val="20"/>
        </w:rPr>
        <w:t>.</w:t>
      </w:r>
      <w:r w:rsidRPr="005D5A0F">
        <w:rPr>
          <w:i/>
          <w:szCs w:val="20"/>
        </w:rPr>
        <w:t xml:space="preserve">, </w:t>
      </w:r>
      <w:r w:rsidRPr="005D5A0F">
        <w:rPr>
          <w:szCs w:val="20"/>
        </w:rPr>
        <w:t xml:space="preserve">Grundzüge einer allgemeinen Wissenschaftstheorie auch für Juristen, Berlin 2014, </w:t>
      </w:r>
      <w:proofErr w:type="spellStart"/>
      <w:r w:rsidRPr="005D5A0F">
        <w:rPr>
          <w:i/>
          <w:iCs/>
          <w:szCs w:val="20"/>
        </w:rPr>
        <w:t>ders</w:t>
      </w:r>
      <w:proofErr w:type="spellEnd"/>
      <w:r w:rsidRPr="005D5A0F">
        <w:rPr>
          <w:i/>
          <w:iCs/>
          <w:szCs w:val="20"/>
        </w:rPr>
        <w:t xml:space="preserve">., </w:t>
      </w:r>
      <w:r w:rsidRPr="005D5A0F">
        <w:rPr>
          <w:szCs w:val="20"/>
        </w:rPr>
        <w:t xml:space="preserve">Wie wissenschaftlich ist die </w:t>
      </w:r>
      <w:proofErr w:type="gramStart"/>
      <w:r w:rsidRPr="005D5A0F">
        <w:rPr>
          <w:szCs w:val="20"/>
        </w:rPr>
        <w:t>Rechtswissenschaft?</w:t>
      </w:r>
      <w:r>
        <w:rPr>
          <w:szCs w:val="20"/>
        </w:rPr>
        <w:t>,</w:t>
      </w:r>
      <w:proofErr w:type="gramEnd"/>
      <w:r w:rsidRPr="005D5A0F">
        <w:rPr>
          <w:szCs w:val="20"/>
        </w:rPr>
        <w:t xml:space="preserve"> RECHTSTHEORIE 2010, S. 521 ff.</w:t>
      </w:r>
      <w:r>
        <w:rPr>
          <w:szCs w:val="20"/>
        </w:rPr>
        <w:t>,</w:t>
      </w:r>
      <w:r w:rsidRPr="005D5A0F">
        <w:rPr>
          <w:szCs w:val="20"/>
        </w:rPr>
        <w:t xml:space="preserve"> </w:t>
      </w:r>
      <w:r w:rsidRPr="00365A77">
        <w:rPr>
          <w:szCs w:val="20"/>
        </w:rPr>
        <w:t xml:space="preserve">ausführlich </w:t>
      </w:r>
      <w:r>
        <w:rPr>
          <w:szCs w:val="20"/>
        </w:rPr>
        <w:t>d</w:t>
      </w:r>
      <w:r w:rsidRPr="00365A77">
        <w:rPr>
          <w:szCs w:val="20"/>
        </w:rPr>
        <w:t>argelegt wurde.</w:t>
      </w:r>
    </w:p>
  </w:footnote>
  <w:footnote w:id="5">
    <w:p w14:paraId="64328DDD" w14:textId="17882E20" w:rsidR="0068437A" w:rsidRPr="00935E12" w:rsidRDefault="0068437A" w:rsidP="00F37567">
      <w:pPr>
        <w:pStyle w:val="Funotentext"/>
        <w:jc w:val="both"/>
        <w:rPr>
          <w:i/>
          <w:lang w:val="en-US"/>
        </w:rPr>
      </w:pPr>
      <w:r>
        <w:rPr>
          <w:rStyle w:val="Funotenzeichen"/>
        </w:rPr>
        <w:footnoteRef/>
      </w:r>
      <w:r w:rsidRPr="00935E12">
        <w:rPr>
          <w:lang w:val="en-US"/>
        </w:rPr>
        <w:t xml:space="preserve"> </w:t>
      </w:r>
      <w:r w:rsidR="00935E12" w:rsidRPr="00935E12">
        <w:rPr>
          <w:lang w:val="en-US"/>
        </w:rPr>
        <w:tab/>
      </w:r>
      <w:r w:rsidR="005C6E9E">
        <w:rPr>
          <w:i/>
          <w:lang w:val="en-US"/>
        </w:rPr>
        <w:t xml:space="preserve">VOGL, </w:t>
      </w:r>
      <w:r w:rsidR="005C6E9E" w:rsidRPr="00E34B67">
        <w:rPr>
          <w:lang w:val="en-US"/>
        </w:rPr>
        <w:t>Changes in the US Legal Market Driven by Big Data/Predictive Analytics and Legal Platforms.</w:t>
      </w:r>
      <w:r w:rsidR="005C6E9E" w:rsidRPr="005C6E9E">
        <w:rPr>
          <w:i/>
          <w:iCs/>
          <w:lang w:val="en-US"/>
        </w:rPr>
        <w:t xml:space="preserve"> </w:t>
      </w:r>
      <w:proofErr w:type="gramStart"/>
      <w:r w:rsidR="005C6E9E" w:rsidRPr="00E34B67">
        <w:rPr>
          <w:lang w:val="en-US"/>
        </w:rPr>
        <w:t xml:space="preserve">In: </w:t>
      </w:r>
      <w:proofErr w:type="spellStart"/>
      <w:r w:rsidR="005C6E9E" w:rsidRPr="00E34B67">
        <w:rPr>
          <w:iCs/>
          <w:lang w:val="en-US"/>
        </w:rPr>
        <w:t>Hartung</w:t>
      </w:r>
      <w:proofErr w:type="spellEnd"/>
      <w:r w:rsidR="005C6E9E" w:rsidRPr="00E34B67">
        <w:rPr>
          <w:iCs/>
          <w:lang w:val="en-US"/>
        </w:rPr>
        <w:t>/</w:t>
      </w:r>
      <w:proofErr w:type="spellStart"/>
      <w:r w:rsidR="005C6E9E" w:rsidRPr="00E34B67">
        <w:rPr>
          <w:iCs/>
          <w:lang w:val="en-US"/>
        </w:rPr>
        <w:t>Bues</w:t>
      </w:r>
      <w:proofErr w:type="spellEnd"/>
      <w:r w:rsidR="005C6E9E" w:rsidRPr="00E34B67">
        <w:rPr>
          <w:iCs/>
          <w:lang w:val="en-US"/>
        </w:rPr>
        <w:t>/</w:t>
      </w:r>
      <w:proofErr w:type="spellStart"/>
      <w:r w:rsidR="005C6E9E" w:rsidRPr="00E34B67">
        <w:rPr>
          <w:iCs/>
          <w:lang w:val="en-US"/>
        </w:rPr>
        <w:t>Halbleib</w:t>
      </w:r>
      <w:proofErr w:type="spellEnd"/>
      <w:r w:rsidR="005C6E9E" w:rsidRPr="00E34B67">
        <w:rPr>
          <w:lang w:val="en-US"/>
        </w:rPr>
        <w:t xml:space="preserve"> (</w:t>
      </w:r>
      <w:proofErr w:type="spellStart"/>
      <w:r w:rsidR="005C6E9E" w:rsidRPr="00E34B67">
        <w:rPr>
          <w:lang w:val="en-US"/>
        </w:rPr>
        <w:t>Hrsg</w:t>
      </w:r>
      <w:proofErr w:type="spellEnd"/>
      <w:r w:rsidR="005C6E9E" w:rsidRPr="00E34B67">
        <w:rPr>
          <w:lang w:val="en-US"/>
        </w:rPr>
        <w:t xml:space="preserve">.), Legal Tech, Beck, </w:t>
      </w:r>
      <w:proofErr w:type="spellStart"/>
      <w:r w:rsidR="005C6E9E" w:rsidRPr="00E34B67">
        <w:rPr>
          <w:lang w:val="en-US"/>
        </w:rPr>
        <w:t>München</w:t>
      </w:r>
      <w:proofErr w:type="spellEnd"/>
      <w:r w:rsidR="005C6E9E" w:rsidRPr="00E34B67">
        <w:rPr>
          <w:lang w:val="en-US"/>
        </w:rPr>
        <w:t xml:space="preserve"> 2018</w:t>
      </w:r>
      <w:r w:rsidR="00935E12" w:rsidRPr="005C6E9E">
        <w:rPr>
          <w:lang w:val="en-US"/>
        </w:rPr>
        <w:t xml:space="preserve">, S. 53 </w:t>
      </w:r>
      <w:proofErr w:type="spellStart"/>
      <w:r w:rsidR="00935E12" w:rsidRPr="005C6E9E">
        <w:rPr>
          <w:lang w:val="en-US"/>
        </w:rPr>
        <w:t>ff</w:t>
      </w:r>
      <w:proofErr w:type="spellEnd"/>
      <w:r w:rsidR="00935E12" w:rsidRPr="005C6E9E">
        <w:rPr>
          <w:lang w:val="en-US"/>
        </w:rPr>
        <w:t>;</w:t>
      </w:r>
      <w:r w:rsidR="00935E12" w:rsidRPr="00935E12">
        <w:rPr>
          <w:lang w:val="en-US"/>
        </w:rPr>
        <w:t xml:space="preserve"> </w:t>
      </w:r>
      <w:r w:rsidR="00F37567" w:rsidRPr="00F37567">
        <w:rPr>
          <w:i/>
          <w:lang w:val="en-US"/>
        </w:rPr>
        <w:t>ASHLEY</w:t>
      </w:r>
      <w:r w:rsidR="001C0877" w:rsidRPr="00F37567">
        <w:rPr>
          <w:i/>
          <w:lang w:val="en-US"/>
        </w:rPr>
        <w:t xml:space="preserve">, </w:t>
      </w:r>
      <w:r w:rsidR="001C0877" w:rsidRPr="00F37567">
        <w:rPr>
          <w:iCs/>
          <w:lang w:val="en-US"/>
        </w:rPr>
        <w:t>Artificial Intelligence and legal Analytics, Cambridge University Press, 2017, S. 107, 109, 111, 125 f.</w:t>
      </w:r>
      <w:r w:rsidRPr="00F37567">
        <w:rPr>
          <w:lang w:val="en-US"/>
        </w:rPr>
        <w:t>;</w:t>
      </w:r>
      <w:r w:rsidR="00036B8C" w:rsidRPr="00036B8C">
        <w:rPr>
          <w:i/>
          <w:lang w:val="en-US"/>
        </w:rPr>
        <w:t xml:space="preserve"> </w:t>
      </w:r>
      <w:r w:rsidR="00036B8C" w:rsidRPr="00935E12">
        <w:rPr>
          <w:i/>
          <w:lang w:val="en-US"/>
        </w:rPr>
        <w:t>FREUDENTHALER</w:t>
      </w:r>
      <w:r w:rsidR="00036B8C" w:rsidRPr="00935E12">
        <w:rPr>
          <w:lang w:val="en-US"/>
        </w:rPr>
        <w:t xml:space="preserve">, Case-based-Reasoning (CBR): </w:t>
      </w:r>
      <w:proofErr w:type="spellStart"/>
      <w:r w:rsidR="00036B8C" w:rsidRPr="00935E12">
        <w:rPr>
          <w:lang w:val="en-US"/>
        </w:rPr>
        <w:t>Grundlagen</w:t>
      </w:r>
      <w:proofErr w:type="spellEnd"/>
      <w:r w:rsidR="00036B8C" w:rsidRPr="00935E12">
        <w:rPr>
          <w:lang w:val="en-US"/>
        </w:rPr>
        <w:t xml:space="preserve"> und </w:t>
      </w:r>
      <w:proofErr w:type="spellStart"/>
      <w:r w:rsidR="00036B8C" w:rsidRPr="00935E12">
        <w:rPr>
          <w:lang w:val="en-US"/>
        </w:rPr>
        <w:t>ausgewählte</w:t>
      </w:r>
      <w:proofErr w:type="spellEnd"/>
      <w:r w:rsidR="00036B8C" w:rsidRPr="00935E12">
        <w:rPr>
          <w:lang w:val="en-US"/>
        </w:rPr>
        <w:t xml:space="preserve"> </w:t>
      </w:r>
      <w:proofErr w:type="spellStart"/>
      <w:r w:rsidR="00036B8C" w:rsidRPr="00935E12">
        <w:rPr>
          <w:lang w:val="en-US"/>
        </w:rPr>
        <w:t>Anwendungsbeispiele</w:t>
      </w:r>
      <w:proofErr w:type="spellEnd"/>
      <w:r w:rsidR="00036B8C" w:rsidRPr="00935E12">
        <w:rPr>
          <w:lang w:val="en-US"/>
        </w:rPr>
        <w:t xml:space="preserve"> des </w:t>
      </w:r>
      <w:proofErr w:type="spellStart"/>
      <w:r w:rsidR="00036B8C" w:rsidRPr="00935E12">
        <w:rPr>
          <w:lang w:val="en-US"/>
        </w:rPr>
        <w:t>fallbasierten</w:t>
      </w:r>
      <w:proofErr w:type="spellEnd"/>
      <w:r w:rsidR="00036B8C" w:rsidRPr="00935E12">
        <w:rPr>
          <w:lang w:val="en-US"/>
        </w:rPr>
        <w:t xml:space="preserve"> </w:t>
      </w:r>
      <w:proofErr w:type="spellStart"/>
      <w:r w:rsidR="00036B8C" w:rsidRPr="00935E12">
        <w:rPr>
          <w:lang w:val="en-US"/>
        </w:rPr>
        <w:t>Schließens</w:t>
      </w:r>
      <w:proofErr w:type="spellEnd"/>
      <w:r w:rsidR="00036B8C" w:rsidRPr="00935E12">
        <w:rPr>
          <w:lang w:val="en-US"/>
        </w:rPr>
        <w:t xml:space="preserve">, </w:t>
      </w:r>
      <w:proofErr w:type="spellStart"/>
      <w:r w:rsidR="00036B8C" w:rsidRPr="00935E12">
        <w:rPr>
          <w:lang w:val="en-US"/>
        </w:rPr>
        <w:t>AkademikerVerlag</w:t>
      </w:r>
      <w:proofErr w:type="spellEnd"/>
      <w:r w:rsidR="00036B8C" w:rsidRPr="00935E12">
        <w:rPr>
          <w:lang w:val="en-US"/>
        </w:rPr>
        <w:t xml:space="preserve">, </w:t>
      </w:r>
      <w:proofErr w:type="spellStart"/>
      <w:r w:rsidR="00036B8C" w:rsidRPr="00935E12">
        <w:rPr>
          <w:lang w:val="en-US"/>
        </w:rPr>
        <w:t>Saarbrücken</w:t>
      </w:r>
      <w:proofErr w:type="spellEnd"/>
      <w:r w:rsidR="00036B8C" w:rsidRPr="00935E12">
        <w:rPr>
          <w:lang w:val="en-US"/>
        </w:rPr>
        <w:t xml:space="preserve"> 2008; </w:t>
      </w:r>
      <w:r w:rsidR="00036B8C" w:rsidRPr="00935E12">
        <w:rPr>
          <w:i/>
          <w:lang w:val="en-US"/>
        </w:rPr>
        <w:t>BENCH-CAPON/SARTOR</w:t>
      </w:r>
      <w:r w:rsidR="00036B8C" w:rsidRPr="00935E12">
        <w:rPr>
          <w:lang w:val="en-US"/>
        </w:rPr>
        <w:t>, A Model of Legal Reasoning with Cases Incorporating Theories and Values, Artificial In</w:t>
      </w:r>
      <w:r w:rsidR="00C5388E">
        <w:rPr>
          <w:lang w:val="en-US"/>
        </w:rPr>
        <w:t>telligence 150, 2003, S. 97 ff.</w:t>
      </w:r>
      <w:proofErr w:type="gramEnd"/>
    </w:p>
  </w:footnote>
  <w:footnote w:id="6">
    <w:p w14:paraId="0C155FCC" w14:textId="4B64C733" w:rsidR="0068437A" w:rsidRPr="00011168" w:rsidRDefault="0068437A" w:rsidP="00F37567">
      <w:pPr>
        <w:pStyle w:val="Funotentext"/>
        <w:jc w:val="both"/>
      </w:pPr>
      <w:r>
        <w:rPr>
          <w:rStyle w:val="Funotenzeichen"/>
        </w:rPr>
        <w:footnoteRef/>
      </w:r>
      <w:r>
        <w:t xml:space="preserve"> </w:t>
      </w:r>
      <w:r>
        <w:tab/>
        <w:t xml:space="preserve">Siehe zur prinzipiellen Möglichkeit dieser Vision </w:t>
      </w:r>
      <w:r w:rsidRPr="005D5A0F">
        <w:rPr>
          <w:i/>
          <w:szCs w:val="20"/>
        </w:rPr>
        <w:t>ADRIAN</w:t>
      </w:r>
      <w:r>
        <w:rPr>
          <w:i/>
          <w:szCs w:val="20"/>
        </w:rPr>
        <w:t>,</w:t>
      </w:r>
      <w:r w:rsidRPr="005D5A0F">
        <w:rPr>
          <w:iCs/>
          <w:szCs w:val="20"/>
        </w:rPr>
        <w:t xml:space="preserve"> Der Richterautomat ist möglich – Semantik ist nur eine </w:t>
      </w:r>
      <w:proofErr w:type="gramStart"/>
      <w:r w:rsidRPr="005D5A0F">
        <w:rPr>
          <w:iCs/>
          <w:szCs w:val="20"/>
        </w:rPr>
        <w:t>Illusion</w:t>
      </w:r>
      <w:r w:rsidRPr="005D5A0F">
        <w:rPr>
          <w:szCs w:val="20"/>
        </w:rPr>
        <w:t>?</w:t>
      </w:r>
      <w:r>
        <w:rPr>
          <w:szCs w:val="20"/>
        </w:rPr>
        <w:t>,</w:t>
      </w:r>
      <w:proofErr w:type="gramEnd"/>
      <w:r w:rsidRPr="005D5A0F">
        <w:rPr>
          <w:szCs w:val="20"/>
        </w:rPr>
        <w:t xml:space="preserve"> RECHTSTHEORIE 2017, S. 77 ff.</w:t>
      </w:r>
      <w:r w:rsidR="00C5388E">
        <w:rPr>
          <w:szCs w:val="20"/>
        </w:rPr>
        <w:t>, wobei die j</w:t>
      </w:r>
      <w:r>
        <w:rPr>
          <w:szCs w:val="20"/>
        </w:rPr>
        <w:t xml:space="preserve">uristische Methodenlehre nicht unmittelbar als Vorbild dienen kann, was in </w:t>
      </w:r>
      <w:r w:rsidRPr="005D5A0F">
        <w:rPr>
          <w:i/>
          <w:szCs w:val="20"/>
        </w:rPr>
        <w:t>ADRIAN</w:t>
      </w:r>
      <w:r>
        <w:rPr>
          <w:i/>
          <w:szCs w:val="20"/>
        </w:rPr>
        <w:t>,</w:t>
      </w:r>
      <w:r w:rsidRPr="00011168">
        <w:rPr>
          <w:szCs w:val="20"/>
        </w:rPr>
        <w:t xml:space="preserve"> Juristische Methodenlehre – Ein Vorbild für verantwortungsvolle Digitalisierung?</w:t>
      </w:r>
      <w:r>
        <w:rPr>
          <w:szCs w:val="20"/>
        </w:rPr>
        <w:t>.</w:t>
      </w:r>
      <w:r w:rsidRPr="00011168">
        <w:rPr>
          <w:szCs w:val="20"/>
        </w:rPr>
        <w:t xml:space="preserve"> In</w:t>
      </w:r>
      <w:r>
        <w:rPr>
          <w:szCs w:val="20"/>
        </w:rPr>
        <w:t>:</w:t>
      </w:r>
      <w:r w:rsidRPr="00011168">
        <w:rPr>
          <w:szCs w:val="20"/>
        </w:rPr>
        <w:t xml:space="preserve"> Schweighofer/</w:t>
      </w:r>
      <w:proofErr w:type="spellStart"/>
      <w:r w:rsidRPr="00011168">
        <w:rPr>
          <w:szCs w:val="20"/>
        </w:rPr>
        <w:t>Hötzendorfer</w:t>
      </w:r>
      <w:proofErr w:type="spellEnd"/>
      <w:r w:rsidRPr="00011168">
        <w:rPr>
          <w:szCs w:val="20"/>
        </w:rPr>
        <w:t>/Kummer/</w:t>
      </w:r>
      <w:proofErr w:type="spellStart"/>
      <w:r w:rsidRPr="00011168">
        <w:rPr>
          <w:szCs w:val="20"/>
        </w:rPr>
        <w:t>Saarenpää</w:t>
      </w:r>
      <w:proofErr w:type="spellEnd"/>
      <w:r w:rsidRPr="00011168">
        <w:rPr>
          <w:szCs w:val="20"/>
        </w:rPr>
        <w:t xml:space="preserve"> </w:t>
      </w:r>
      <w:r>
        <w:rPr>
          <w:szCs w:val="20"/>
        </w:rPr>
        <w:t xml:space="preserve">(Hrsg.), </w:t>
      </w:r>
      <w:r w:rsidRPr="00011168">
        <w:rPr>
          <w:szCs w:val="20"/>
        </w:rPr>
        <w:t>Verantwortungsbewusste Digitalisierung, Tagungsband des 23. Internationalen Rechtsinformatik Symposiums IRIS 2020, Bern 2020</w:t>
      </w:r>
      <w:r>
        <w:rPr>
          <w:szCs w:val="20"/>
        </w:rPr>
        <w:t xml:space="preserve">, S. </w:t>
      </w:r>
      <w:r w:rsidR="001C0877" w:rsidRPr="00E34B67">
        <w:rPr>
          <w:lang w:val="de-DE"/>
        </w:rPr>
        <w:t xml:space="preserve">41-48 </w:t>
      </w:r>
      <w:r>
        <w:rPr>
          <w:szCs w:val="20"/>
        </w:rPr>
        <w:t>dargelegt wurde.</w:t>
      </w:r>
    </w:p>
  </w:footnote>
  <w:footnote w:id="7">
    <w:p w14:paraId="6BD76602" w14:textId="47314480" w:rsidR="0068437A" w:rsidRPr="00011168" w:rsidRDefault="0068437A" w:rsidP="00F37567">
      <w:pPr>
        <w:pStyle w:val="Funotentext"/>
        <w:jc w:val="both"/>
      </w:pPr>
      <w:r>
        <w:rPr>
          <w:rStyle w:val="Funotenzeichen"/>
        </w:rPr>
        <w:footnoteRef/>
      </w:r>
      <w:r>
        <w:t xml:space="preserve"> </w:t>
      </w:r>
      <w:r>
        <w:tab/>
      </w:r>
      <w:r>
        <w:rPr>
          <w:i/>
        </w:rPr>
        <w:t>FRIES</w:t>
      </w:r>
      <w:r>
        <w:t xml:space="preserve">, Rechtsdienstleistung durch KI. In: </w:t>
      </w:r>
      <w:proofErr w:type="spellStart"/>
      <w:r w:rsidRPr="00F37567">
        <w:t>Kaulartz</w:t>
      </w:r>
      <w:proofErr w:type="spellEnd"/>
      <w:r w:rsidRPr="00F37567">
        <w:t>/</w:t>
      </w:r>
      <w:proofErr w:type="spellStart"/>
      <w:r w:rsidRPr="00F37567">
        <w:t>Braegelmann</w:t>
      </w:r>
      <w:proofErr w:type="spellEnd"/>
      <w:r>
        <w:t xml:space="preserve"> (Hrsg.), Rechtshandbuch </w:t>
      </w:r>
      <w:proofErr w:type="spellStart"/>
      <w:r>
        <w:t>Artificial</w:t>
      </w:r>
      <w:proofErr w:type="spellEnd"/>
      <w:r>
        <w:t xml:space="preserve"> </w:t>
      </w:r>
      <w:proofErr w:type="spellStart"/>
      <w:r>
        <w:t>Intelligence</w:t>
      </w:r>
      <w:proofErr w:type="spellEnd"/>
      <w:r>
        <w:t xml:space="preserve"> und </w:t>
      </w:r>
      <w:proofErr w:type="spellStart"/>
      <w:r>
        <w:t>Machine</w:t>
      </w:r>
      <w:proofErr w:type="spellEnd"/>
      <w:r>
        <w:t xml:space="preserve"> Learning, </w:t>
      </w:r>
      <w:proofErr w:type="spellStart"/>
      <w:r>
        <w:t>Vahlen</w:t>
      </w:r>
      <w:proofErr w:type="spellEnd"/>
      <w:r>
        <w:t xml:space="preserve">, München 2020, S. </w:t>
      </w:r>
      <w:r w:rsidRPr="00C5388E">
        <w:t>6</w:t>
      </w:r>
      <w:r w:rsidR="00801947" w:rsidRPr="00C5388E">
        <w:t>55 f.</w:t>
      </w:r>
    </w:p>
  </w:footnote>
  <w:footnote w:id="8">
    <w:p w14:paraId="5F7F3EDA" w14:textId="31A37250" w:rsidR="0068437A" w:rsidRPr="002C671B" w:rsidRDefault="0068437A" w:rsidP="00F37567">
      <w:pPr>
        <w:pStyle w:val="Funotentext"/>
        <w:jc w:val="both"/>
        <w:rPr>
          <w:lang w:val="de-DE"/>
        </w:rPr>
      </w:pPr>
      <w:r>
        <w:rPr>
          <w:rStyle w:val="Funotenzeichen"/>
        </w:rPr>
        <w:footnoteRef/>
      </w:r>
      <w:r>
        <w:t xml:space="preserve"> </w:t>
      </w:r>
      <w:r>
        <w:rPr>
          <w:lang w:val="de-DE"/>
        </w:rPr>
        <w:tab/>
        <w:t xml:space="preserve">BVerwG 26. Februar </w:t>
      </w:r>
      <w:r w:rsidRPr="00994E5D">
        <w:rPr>
          <w:lang w:val="de-DE"/>
        </w:rPr>
        <w:t>1997 - 6 C 3.96</w:t>
      </w:r>
      <w:r>
        <w:rPr>
          <w:lang w:val="de-DE"/>
        </w:rPr>
        <w:t xml:space="preserve">; </w:t>
      </w:r>
      <w:r w:rsidRPr="00994E5D">
        <w:rPr>
          <w:lang w:val="de-DE"/>
        </w:rPr>
        <w:t>BG</w:t>
      </w:r>
      <w:r>
        <w:rPr>
          <w:lang w:val="de-DE"/>
        </w:rPr>
        <w:t>H 05. April 2017 - IV AR (VZ) 2/16.</w:t>
      </w:r>
    </w:p>
  </w:footnote>
  <w:footnote w:id="9">
    <w:p w14:paraId="4D9F0275" w14:textId="3EE66B9F" w:rsidR="0068437A" w:rsidRPr="00365A77" w:rsidRDefault="0068437A" w:rsidP="00F37567">
      <w:pPr>
        <w:pStyle w:val="Funotentext"/>
        <w:jc w:val="both"/>
      </w:pPr>
      <w:r>
        <w:rPr>
          <w:rStyle w:val="Funotenzeichen"/>
        </w:rPr>
        <w:footnoteRef/>
      </w:r>
      <w:r>
        <w:t xml:space="preserve"> </w:t>
      </w:r>
      <w:r>
        <w:tab/>
      </w:r>
      <w:r w:rsidR="00DE6427">
        <w:t xml:space="preserve">„Weniger als 2 %“ werden typischerweise genannt, wenn </w:t>
      </w:r>
      <w:r w:rsidR="00DE6427">
        <w:rPr>
          <w:i/>
        </w:rPr>
        <w:t>COUPETTE/FLECKNER</w:t>
      </w:r>
      <w:r w:rsidR="00DE6427">
        <w:t>, Quantitative Rechtswissenschaft, JZ 2018, S. 379 (S. 381) auch nur von eine</w:t>
      </w:r>
      <w:r w:rsidR="00994753">
        <w:t>r sehr kleinen Teilmenge sprechen</w:t>
      </w:r>
      <w:r w:rsidR="00DE6427">
        <w:t xml:space="preserve">, oder </w:t>
      </w:r>
      <w:r w:rsidR="00DE6427" w:rsidRPr="00E8166A">
        <w:rPr>
          <w:i/>
        </w:rPr>
        <w:t>H</w:t>
      </w:r>
      <w:r w:rsidR="00E8166A" w:rsidRPr="00E8166A">
        <w:rPr>
          <w:i/>
        </w:rPr>
        <w:t>ARTUNG</w:t>
      </w:r>
      <w:r w:rsidR="00DE6427">
        <w:t xml:space="preserve"> mitteilt, dass 99 % aller Urteile nicht in digitaler Form verfügbar sind: </w:t>
      </w:r>
      <w:r w:rsidR="00767758" w:rsidRPr="00767758">
        <w:t>www.netzpiloten.de/werkzeuge-daten-gerichtsurteile</w:t>
      </w:r>
      <w:r w:rsidR="00767758">
        <w:t xml:space="preserve"> (abgerufen am 26.10.2020).</w:t>
      </w:r>
      <w:r w:rsidR="00DE6427" w:rsidRPr="00767758">
        <w:rPr>
          <w:rStyle w:val="Hyperlink"/>
          <w:color w:val="auto"/>
          <w:u w:val="none"/>
        </w:rPr>
        <w:t xml:space="preserve"> Siehe zu älteren </w:t>
      </w:r>
      <w:r w:rsidR="00A67867" w:rsidRPr="00767758">
        <w:rPr>
          <w:rStyle w:val="Hyperlink"/>
          <w:color w:val="auto"/>
          <w:u w:val="none"/>
        </w:rPr>
        <w:t>Statistiken</w:t>
      </w:r>
      <w:r w:rsidR="00A67867" w:rsidRPr="00767758">
        <w:t xml:space="preserve"> </w:t>
      </w:r>
      <w:r w:rsidR="00A67867" w:rsidRPr="00767758">
        <w:rPr>
          <w:i/>
        </w:rPr>
        <w:t>K</w:t>
      </w:r>
      <w:r w:rsidR="00767758" w:rsidRPr="00767758">
        <w:rPr>
          <w:i/>
        </w:rPr>
        <w:t>UNTZ</w:t>
      </w:r>
      <w:r w:rsidR="00A67867">
        <w:t xml:space="preserve">, Quantität gerichtlicher Entscheidungen als Qualitätskriterium juristischer Datenbanken, </w:t>
      </w:r>
      <w:proofErr w:type="spellStart"/>
      <w:r w:rsidR="00A67867" w:rsidRPr="0041701B">
        <w:t>Jur</w:t>
      </w:r>
      <w:r w:rsidR="00A67867">
        <w:t>PC</w:t>
      </w:r>
      <w:proofErr w:type="spellEnd"/>
      <w:r w:rsidR="00A67867">
        <w:t xml:space="preserve"> Web-</w:t>
      </w:r>
      <w:proofErr w:type="spellStart"/>
      <w:r w:rsidR="00A67867">
        <w:t>Dok</w:t>
      </w:r>
      <w:proofErr w:type="spellEnd"/>
      <w:r w:rsidR="00A67867">
        <w:t>. 12/2006, Abs. 34: dort ist die Rede von 0,27 – 4,95 %.</w:t>
      </w:r>
    </w:p>
  </w:footnote>
  <w:footnote w:id="10">
    <w:p w14:paraId="54A4B5E5" w14:textId="77777777" w:rsidR="00FE33FC" w:rsidRPr="0050107E" w:rsidRDefault="00FE33FC" w:rsidP="00FE33FC">
      <w:pPr>
        <w:pStyle w:val="Funotentext"/>
        <w:jc w:val="both"/>
        <w:rPr>
          <w:lang w:val="de-DE"/>
        </w:rPr>
      </w:pPr>
      <w:r>
        <w:rPr>
          <w:rStyle w:val="Funotenzeichen"/>
        </w:rPr>
        <w:footnoteRef/>
      </w:r>
      <w:r>
        <w:t xml:space="preserve"> </w:t>
      </w:r>
      <w:r>
        <w:tab/>
        <w:t>Bisherige Software Lösungen zur (</w:t>
      </w:r>
      <w:proofErr w:type="spellStart"/>
      <w:r>
        <w:t>semi</w:t>
      </w:r>
      <w:proofErr w:type="spellEnd"/>
      <w:r>
        <w:t xml:space="preserve">)automatisierten Anonymisierung erfordern zumeist eine exakte manuelle Eingabe der kritischen Textinformation sowie des Pseudonyms. Hierzu mit Lösungsbeispiel: </w:t>
      </w:r>
      <w:r w:rsidRPr="005E68CF">
        <w:rPr>
          <w:i/>
          <w:caps/>
        </w:rPr>
        <w:t>Dévaud/Kummer</w:t>
      </w:r>
      <w:r>
        <w:t xml:space="preserve">, (Semi-)Automatische Anonymisierung von Entscheiden, </w:t>
      </w:r>
      <w:proofErr w:type="spellStart"/>
      <w:r>
        <w:t>Jusletter</w:t>
      </w:r>
      <w:proofErr w:type="spellEnd"/>
      <w:r>
        <w:t xml:space="preserve"> IT 23. Februar 2017, S. 2 ff.</w:t>
      </w:r>
    </w:p>
  </w:footnote>
  <w:footnote w:id="11">
    <w:p w14:paraId="3B52216C" w14:textId="662E9E46" w:rsidR="0068437A" w:rsidRDefault="0068437A" w:rsidP="00F37567">
      <w:pPr>
        <w:pStyle w:val="Funotentext"/>
        <w:jc w:val="both"/>
        <w:rPr>
          <w:lang w:val="de-DE"/>
        </w:rPr>
      </w:pPr>
      <w:r>
        <w:rPr>
          <w:rStyle w:val="Funotenzeichen"/>
        </w:rPr>
        <w:footnoteRef/>
      </w:r>
      <w:r>
        <w:t xml:space="preserve"> </w:t>
      </w:r>
      <w:r>
        <w:rPr>
          <w:lang w:val="de-DE"/>
        </w:rPr>
        <w:tab/>
      </w:r>
      <w:r w:rsidRPr="00605EF0">
        <w:rPr>
          <w:i/>
          <w:caps/>
        </w:rPr>
        <w:t>Winter/Battis/Halvani</w:t>
      </w:r>
      <w:r>
        <w:t>, Herausforderungen für die Anonymisierung von Daten, ZD 2019, S.489 (S. 490).</w:t>
      </w:r>
    </w:p>
  </w:footnote>
  <w:footnote w:id="12">
    <w:p w14:paraId="45740ADF" w14:textId="72BAFFE2" w:rsidR="0068437A" w:rsidRPr="006F4072" w:rsidRDefault="0068437A" w:rsidP="00F37567">
      <w:pPr>
        <w:pStyle w:val="Funotentext"/>
        <w:jc w:val="both"/>
        <w:rPr>
          <w:lang w:val="de-DE"/>
        </w:rPr>
      </w:pPr>
      <w:r>
        <w:rPr>
          <w:rStyle w:val="Funotenzeichen"/>
        </w:rPr>
        <w:footnoteRef/>
      </w:r>
      <w:r>
        <w:t xml:space="preserve"> </w:t>
      </w:r>
      <w:r w:rsidR="0047567E">
        <w:tab/>
        <w:t xml:space="preserve">Stellungnahme 4/2007 vom 20. Juni </w:t>
      </w:r>
      <w:r>
        <w:t xml:space="preserve">2007 der nach </w:t>
      </w:r>
      <w:r w:rsidRPr="00662F0C">
        <w:t>Art. 29 der Richtlinie 95/46/EG</w:t>
      </w:r>
      <w:r>
        <w:t xml:space="preserve"> eingesetzten Datenschutzgruppe, 01248/07/DE WP 136, S. 15.</w:t>
      </w:r>
    </w:p>
  </w:footnote>
  <w:footnote w:id="13">
    <w:p w14:paraId="66BAFAA2" w14:textId="77777777" w:rsidR="00C96596" w:rsidRPr="00966806" w:rsidRDefault="00C96596" w:rsidP="00C96596">
      <w:pPr>
        <w:pStyle w:val="Funotentext"/>
        <w:rPr>
          <w:lang w:val="de-DE"/>
        </w:rPr>
      </w:pPr>
      <w:r>
        <w:rPr>
          <w:rStyle w:val="Funotenzeichen"/>
        </w:rPr>
        <w:footnoteRef/>
      </w:r>
      <w:r>
        <w:t xml:space="preserve"> </w:t>
      </w:r>
      <w:r>
        <w:tab/>
      </w:r>
      <w:r w:rsidRPr="00F90213">
        <w:rPr>
          <w:i/>
          <w:caps/>
        </w:rPr>
        <w:t>Schild</w:t>
      </w:r>
      <w:r w:rsidRPr="00F90213">
        <w:t xml:space="preserve">, in: </w:t>
      </w:r>
      <w:proofErr w:type="spellStart"/>
      <w:r w:rsidRPr="00F90213">
        <w:t>Beck`scher</w:t>
      </w:r>
      <w:proofErr w:type="spellEnd"/>
      <w:r w:rsidRPr="00F90213">
        <w:t xml:space="preserve"> Online-Kommentar Datenschutzrecht, </w:t>
      </w:r>
      <w:r w:rsidRPr="00FE47EC">
        <w:t>Wolff/Brink</w:t>
      </w:r>
      <w:r w:rsidRPr="00F90213">
        <w:t xml:space="preserve"> (Hrsg.), 3</w:t>
      </w:r>
      <w:r>
        <w:t>4. Edition 01.11</w:t>
      </w:r>
      <w:r w:rsidRPr="00F90213">
        <w:t xml:space="preserve">.2020, Grundlagen und bereichsspezifischer Datenschutz, Syst. E., </w:t>
      </w:r>
      <w:proofErr w:type="spellStart"/>
      <w:r w:rsidRPr="00F90213">
        <w:t>Rn</w:t>
      </w:r>
      <w:proofErr w:type="spellEnd"/>
      <w:r>
        <w:t>.</w:t>
      </w:r>
      <w:r w:rsidRPr="00F90213">
        <w:t xml:space="preserve"> 5</w:t>
      </w:r>
      <w:r w:rsidRPr="00970324">
        <w:t>8.</w:t>
      </w:r>
    </w:p>
  </w:footnote>
  <w:footnote w:id="14">
    <w:p w14:paraId="58D9065F" w14:textId="77777777" w:rsidR="0068437A" w:rsidRDefault="0068437A" w:rsidP="00F37567">
      <w:pPr>
        <w:pStyle w:val="Funotentext"/>
        <w:jc w:val="both"/>
      </w:pPr>
      <w:r>
        <w:rPr>
          <w:rStyle w:val="Funotenzeichen"/>
        </w:rPr>
        <w:footnoteRef/>
      </w:r>
      <w:r>
        <w:t xml:space="preserve"> </w:t>
      </w:r>
      <w:r>
        <w:tab/>
        <w:t xml:space="preserve">BVerfG 15. Dezember 1983, 1 </w:t>
      </w:r>
      <w:proofErr w:type="spellStart"/>
      <w:r>
        <w:t>BvR</w:t>
      </w:r>
      <w:proofErr w:type="spellEnd"/>
      <w:r>
        <w:t xml:space="preserve"> 209/83, </w:t>
      </w:r>
      <w:proofErr w:type="spellStart"/>
      <w:r>
        <w:t>Rn</w:t>
      </w:r>
      <w:proofErr w:type="spellEnd"/>
      <w:r>
        <w:t>. 147.</w:t>
      </w:r>
    </w:p>
  </w:footnote>
  <w:footnote w:id="15">
    <w:p w14:paraId="18D6580F" w14:textId="77777777" w:rsidR="0068437A" w:rsidRDefault="0068437A" w:rsidP="00F37567">
      <w:pPr>
        <w:pStyle w:val="Funotentext"/>
        <w:jc w:val="both"/>
        <w:rPr>
          <w:lang w:val="de-DE"/>
        </w:rPr>
      </w:pPr>
      <w:r>
        <w:rPr>
          <w:rStyle w:val="Funotenzeichen"/>
        </w:rPr>
        <w:footnoteRef/>
      </w:r>
      <w:r>
        <w:t xml:space="preserve"> </w:t>
      </w:r>
      <w:r>
        <w:rPr>
          <w:lang w:val="de-DE"/>
        </w:rPr>
        <w:tab/>
        <w:t xml:space="preserve">BVerfG, 16. Juli 1969, 1 </w:t>
      </w:r>
      <w:proofErr w:type="spellStart"/>
      <w:r>
        <w:rPr>
          <w:lang w:val="de-DE"/>
        </w:rPr>
        <w:t>BvL</w:t>
      </w:r>
      <w:proofErr w:type="spellEnd"/>
      <w:r>
        <w:rPr>
          <w:lang w:val="de-DE"/>
        </w:rPr>
        <w:t xml:space="preserve"> 19/63.</w:t>
      </w:r>
    </w:p>
  </w:footnote>
  <w:footnote w:id="16">
    <w:p w14:paraId="71FD005A" w14:textId="69EFD4B6" w:rsidR="0068437A" w:rsidRDefault="0068437A" w:rsidP="00F37567">
      <w:pPr>
        <w:pStyle w:val="Funotentext"/>
        <w:jc w:val="both"/>
        <w:rPr>
          <w:lang w:val="de-DE"/>
        </w:rPr>
      </w:pPr>
      <w:r>
        <w:rPr>
          <w:rStyle w:val="Funotenzeichen"/>
        </w:rPr>
        <w:footnoteRef/>
      </w:r>
      <w:r>
        <w:t xml:space="preserve"> </w:t>
      </w:r>
      <w:r>
        <w:rPr>
          <w:lang w:val="de-DE"/>
        </w:rPr>
        <w:tab/>
      </w:r>
      <w:r w:rsidRPr="00EE3D87">
        <w:rPr>
          <w:i/>
          <w:caps/>
        </w:rPr>
        <w:t>Boehme-</w:t>
      </w:r>
      <w:proofErr w:type="spellStart"/>
      <w:r w:rsidRPr="00EE3D87">
        <w:rPr>
          <w:i/>
          <w:caps/>
        </w:rPr>
        <w:t>Neßler</w:t>
      </w:r>
      <w:proofErr w:type="spellEnd"/>
      <w:r>
        <w:t xml:space="preserve">, Das Ende von der Anonymität, </w:t>
      </w:r>
      <w:proofErr w:type="spellStart"/>
      <w:r>
        <w:t>DuD</w:t>
      </w:r>
      <w:proofErr w:type="spellEnd"/>
      <w:r>
        <w:t xml:space="preserve"> 2016, S. 419 (S. 422);</w:t>
      </w:r>
      <w:r>
        <w:rPr>
          <w:i/>
        </w:rPr>
        <w:t xml:space="preserve"> </w:t>
      </w:r>
      <w:r w:rsidRPr="00EE3D87">
        <w:rPr>
          <w:i/>
          <w:caps/>
        </w:rPr>
        <w:t>Hornung/Wagner</w:t>
      </w:r>
      <w:r>
        <w:t xml:space="preserve">, Anonymisierung als datenschutzrelevante </w:t>
      </w:r>
      <w:proofErr w:type="gramStart"/>
      <w:r>
        <w:t>Verarbeitung?,</w:t>
      </w:r>
      <w:proofErr w:type="gramEnd"/>
      <w:r>
        <w:t xml:space="preserve"> ZD 2020, S. 223.</w:t>
      </w:r>
    </w:p>
  </w:footnote>
  <w:footnote w:id="17">
    <w:p w14:paraId="3B141A9D" w14:textId="6CE6D158" w:rsidR="0068437A" w:rsidRPr="00E45667" w:rsidRDefault="0068437A" w:rsidP="00F37567">
      <w:pPr>
        <w:pStyle w:val="Funotentext"/>
        <w:jc w:val="both"/>
        <w:rPr>
          <w:lang w:val="de-DE"/>
        </w:rPr>
      </w:pPr>
      <w:r>
        <w:rPr>
          <w:rStyle w:val="Funotenzeichen"/>
        </w:rPr>
        <w:footnoteRef/>
      </w:r>
      <w:r>
        <w:t xml:space="preserve"> </w:t>
      </w:r>
      <w:r>
        <w:rPr>
          <w:lang w:val="de-DE"/>
        </w:rPr>
        <w:tab/>
        <w:t xml:space="preserve">Dazu und am Beispiel eines </w:t>
      </w:r>
      <w:proofErr w:type="spellStart"/>
      <w:r>
        <w:rPr>
          <w:lang w:val="de-DE"/>
        </w:rPr>
        <w:t>Blockchain</w:t>
      </w:r>
      <w:proofErr w:type="spellEnd"/>
      <w:r>
        <w:rPr>
          <w:lang w:val="de-DE"/>
        </w:rPr>
        <w:t>-Grundbuchs</w:t>
      </w:r>
      <w:r w:rsidR="00767758">
        <w:rPr>
          <w:lang w:val="de-DE"/>
        </w:rPr>
        <w:t>:</w:t>
      </w:r>
      <w:r>
        <w:rPr>
          <w:lang w:val="de-DE"/>
        </w:rPr>
        <w:t xml:space="preserve"> </w:t>
      </w:r>
      <w:r w:rsidRPr="00856338">
        <w:rPr>
          <w:i/>
          <w:caps/>
          <w:lang w:val="de-DE"/>
        </w:rPr>
        <w:t>Keuchen</w:t>
      </w:r>
      <w:r>
        <w:rPr>
          <w:lang w:val="de-DE"/>
        </w:rPr>
        <w:t>,</w:t>
      </w:r>
      <w:r w:rsidRPr="00856338">
        <w:t xml:space="preserve"> </w:t>
      </w:r>
      <w:r w:rsidRPr="00856338">
        <w:rPr>
          <w:lang w:val="de-DE"/>
        </w:rPr>
        <w:t xml:space="preserve">Grundbuch 4.0 – Folgt das </w:t>
      </w:r>
      <w:proofErr w:type="spellStart"/>
      <w:r w:rsidRPr="00856338">
        <w:rPr>
          <w:lang w:val="de-DE"/>
        </w:rPr>
        <w:t>Blockchain</w:t>
      </w:r>
      <w:proofErr w:type="spellEnd"/>
      <w:r w:rsidRPr="00856338">
        <w:rPr>
          <w:lang w:val="de-DE"/>
        </w:rPr>
        <w:t xml:space="preserve">-Grundbuch dem </w:t>
      </w:r>
      <w:proofErr w:type="gramStart"/>
      <w:r w:rsidRPr="00856338">
        <w:rPr>
          <w:lang w:val="de-DE"/>
        </w:rPr>
        <w:t>Datenbankgrundbuch?</w:t>
      </w:r>
      <w:r>
        <w:rPr>
          <w:lang w:val="de-DE"/>
        </w:rPr>
        <w:t>,</w:t>
      </w:r>
      <w:proofErr w:type="gramEnd"/>
      <w:r>
        <w:rPr>
          <w:lang w:val="de-DE"/>
        </w:rPr>
        <w:t xml:space="preserve"> </w:t>
      </w:r>
      <w:proofErr w:type="spellStart"/>
      <w:r>
        <w:rPr>
          <w:lang w:val="de-DE"/>
        </w:rPr>
        <w:t>ZfIR</w:t>
      </w:r>
      <w:proofErr w:type="spellEnd"/>
      <w:r>
        <w:rPr>
          <w:lang w:val="de-DE"/>
        </w:rPr>
        <w:t xml:space="preserve"> 2020, S. 593 ff.</w:t>
      </w:r>
      <w:r w:rsidR="00C17014">
        <w:rPr>
          <w:lang w:val="de-DE"/>
        </w:rPr>
        <w:t xml:space="preserve"> Es</w:t>
      </w:r>
      <w:r>
        <w:rPr>
          <w:lang w:val="de-DE"/>
        </w:rPr>
        <w:t xml:space="preserve"> zeigt sich, viele Anwendungen</w:t>
      </w:r>
      <w:r w:rsidR="00C17014">
        <w:rPr>
          <w:lang w:val="de-DE"/>
        </w:rPr>
        <w:t xml:space="preserve"> scheitern mangels Datenbestand</w:t>
      </w:r>
      <w:r>
        <w:rPr>
          <w:lang w:val="de-DE"/>
        </w:rPr>
        <w:t>.</w:t>
      </w:r>
    </w:p>
  </w:footnote>
  <w:footnote w:id="18">
    <w:p w14:paraId="120372C9" w14:textId="22F18DCF" w:rsidR="0068437A" w:rsidRDefault="0068437A" w:rsidP="00F37567">
      <w:pPr>
        <w:pStyle w:val="Funotentext"/>
        <w:jc w:val="both"/>
        <w:rPr>
          <w:lang w:val="de-DE"/>
        </w:rPr>
      </w:pPr>
      <w:r>
        <w:rPr>
          <w:rStyle w:val="Funotenzeichen"/>
        </w:rPr>
        <w:footnoteRef/>
      </w:r>
      <w:r>
        <w:t xml:space="preserve"> </w:t>
      </w:r>
      <w:r>
        <w:rPr>
          <w:lang w:val="de-DE"/>
        </w:rPr>
        <w:tab/>
      </w:r>
      <w:r>
        <w:t xml:space="preserve">Der Re-Identifikationsversuch aus dem Jahr 2018 auf Basis eines statistischen Models von </w:t>
      </w:r>
      <w:proofErr w:type="spellStart"/>
      <w:r>
        <w:rPr>
          <w:i/>
        </w:rPr>
        <w:t>Rocher</w:t>
      </w:r>
      <w:proofErr w:type="spellEnd"/>
      <w:r>
        <w:rPr>
          <w:i/>
        </w:rPr>
        <w:t>/</w:t>
      </w:r>
      <w:proofErr w:type="spellStart"/>
      <w:r>
        <w:rPr>
          <w:i/>
        </w:rPr>
        <w:t>Hendrickx</w:t>
      </w:r>
      <w:proofErr w:type="spellEnd"/>
      <w:r>
        <w:rPr>
          <w:i/>
        </w:rPr>
        <w:t>/</w:t>
      </w:r>
      <w:proofErr w:type="spellStart"/>
      <w:r>
        <w:rPr>
          <w:i/>
        </w:rPr>
        <w:t>Montjoye</w:t>
      </w:r>
      <w:proofErr w:type="spellEnd"/>
      <w:r>
        <w:rPr>
          <w:i/>
        </w:rPr>
        <w:t xml:space="preserve"> </w:t>
      </w:r>
      <w:r>
        <w:t xml:space="preserve">zeigt, dass in jedem Datensatz, der 15 demographische Merkmale enthält, 99,98 % der Amerikaner/innen zutreffend </w:t>
      </w:r>
      <w:proofErr w:type="spellStart"/>
      <w:r>
        <w:t>re</w:t>
      </w:r>
      <w:proofErr w:type="spellEnd"/>
      <w:r>
        <w:t xml:space="preserve">-identifiziert werden können. </w:t>
      </w:r>
      <w:r w:rsidRPr="002B7C56">
        <w:rPr>
          <w:i/>
          <w:caps/>
          <w:lang w:val="en-US"/>
        </w:rPr>
        <w:t>Rocher/Hendrickx/</w:t>
      </w:r>
      <w:r w:rsidR="00862096" w:rsidRPr="002B7C56">
        <w:rPr>
          <w:i/>
          <w:caps/>
          <w:lang w:val="en-US"/>
        </w:rPr>
        <w:t xml:space="preserve">de </w:t>
      </w:r>
      <w:r w:rsidRPr="002B7C56">
        <w:rPr>
          <w:i/>
          <w:caps/>
          <w:lang w:val="en-US"/>
        </w:rPr>
        <w:t>Montjoye</w:t>
      </w:r>
      <w:r w:rsidRPr="002B7C56">
        <w:rPr>
          <w:i/>
          <w:lang w:val="en-US"/>
        </w:rPr>
        <w:t>,</w:t>
      </w:r>
      <w:r w:rsidRPr="002B7C56">
        <w:rPr>
          <w:lang w:val="en-US"/>
        </w:rPr>
        <w:t xml:space="preserve"> Estimating the success of re-identifications in incomplete datasets using generative models, Nature Communications 1</w:t>
      </w:r>
      <w:r w:rsidR="00862096" w:rsidRPr="002B7C56">
        <w:rPr>
          <w:lang w:val="en-US"/>
        </w:rPr>
        <w:t xml:space="preserve">0, 2019, </w:t>
      </w:r>
      <w:proofErr w:type="spellStart"/>
      <w:r w:rsidR="00862096" w:rsidRPr="002B7C56">
        <w:rPr>
          <w:lang w:val="en-US"/>
        </w:rPr>
        <w:t>Nr</w:t>
      </w:r>
      <w:proofErr w:type="spellEnd"/>
      <w:r w:rsidR="00862096" w:rsidRPr="002B7C56">
        <w:rPr>
          <w:lang w:val="en-US"/>
        </w:rPr>
        <w:t xml:space="preserve"> 3069</w:t>
      </w:r>
      <w:r w:rsidRPr="002B7C56">
        <w:rPr>
          <w:lang w:val="en-US"/>
        </w:rPr>
        <w:t xml:space="preserve">. </w:t>
      </w:r>
      <w:r>
        <w:t>In einem weiteren Re-Identifikationsexperiment von österreichischen Bundesgerichtsbeschwerden gegen (Preisfestsetzungs-)Verfügungen von Arzneimitteln durch „</w:t>
      </w:r>
      <w:proofErr w:type="spellStart"/>
      <w:r>
        <w:t>Linkage</w:t>
      </w:r>
      <w:proofErr w:type="spellEnd"/>
      <w:r>
        <w:t xml:space="preserve">“ von einer Urteilsdatenbank des Bundesverwaltungsgerichts und einer Datenbank des Bundesamtes für Gesundheit führte bei einer Stichprobe von 25 Entscheidungen zu einer Re-Identifikation von 84 % der dort inkludierten Arzneimittel und Zulassungsinhaberinnen mit verhältnismäßigen Aufwand. </w:t>
      </w:r>
      <w:r w:rsidRPr="00862096">
        <w:rPr>
          <w:i/>
          <w:caps/>
        </w:rPr>
        <w:t>Vokinger/Mühlematter</w:t>
      </w:r>
      <w:r>
        <w:t>, Re-Identifikation von Gerichtsurteilen durch «</w:t>
      </w:r>
      <w:proofErr w:type="spellStart"/>
      <w:r>
        <w:t>Linkage</w:t>
      </w:r>
      <w:proofErr w:type="spellEnd"/>
      <w:r>
        <w:t>» von Daten(</w:t>
      </w:r>
      <w:proofErr w:type="spellStart"/>
      <w:r>
        <w:t>banken</w:t>
      </w:r>
      <w:proofErr w:type="spellEnd"/>
      <w:r>
        <w:t xml:space="preserve">), </w:t>
      </w:r>
      <w:proofErr w:type="spellStart"/>
      <w:r>
        <w:t>Jusletter</w:t>
      </w:r>
      <w:proofErr w:type="spellEnd"/>
      <w:r>
        <w:t xml:space="preserve"> 2. September 2019, S. 16.</w:t>
      </w:r>
    </w:p>
  </w:footnote>
  <w:footnote w:id="19">
    <w:p w14:paraId="295746B0" w14:textId="57881FE1" w:rsidR="0068437A" w:rsidRDefault="0068437A" w:rsidP="00F37567">
      <w:pPr>
        <w:pStyle w:val="Funotentext"/>
        <w:jc w:val="both"/>
        <w:rPr>
          <w:lang w:val="de-DE"/>
        </w:rPr>
      </w:pPr>
      <w:r>
        <w:rPr>
          <w:rStyle w:val="Funotenzeichen"/>
        </w:rPr>
        <w:footnoteRef/>
      </w:r>
      <w:r>
        <w:t xml:space="preserve"> </w:t>
      </w:r>
      <w:r>
        <w:rPr>
          <w:lang w:val="de-DE"/>
        </w:rPr>
        <w:tab/>
        <w:t xml:space="preserve">Zu diesem Gedanken bereits </w:t>
      </w:r>
      <w:r w:rsidRPr="00856338">
        <w:rPr>
          <w:i/>
          <w:caps/>
        </w:rPr>
        <w:t>Hammerbacher</w:t>
      </w:r>
      <w:r w:rsidRPr="00856338">
        <w:rPr>
          <w:caps/>
        </w:rPr>
        <w:t>,</w:t>
      </w:r>
      <w:r>
        <w:rPr>
          <w:caps/>
        </w:rPr>
        <w:t xml:space="preserve"> D</w:t>
      </w:r>
      <w:r>
        <w:t xml:space="preserve">ie zu fordernde „ausreichende“ Anonymisierung von Datensätzen, </w:t>
      </w:r>
      <w:proofErr w:type="spellStart"/>
      <w:r>
        <w:t>DuD</w:t>
      </w:r>
      <w:proofErr w:type="spellEnd"/>
      <w:r>
        <w:t xml:space="preserve"> 1984, S. 181 (S. 182). Er verlangt eine Gesamtentscheidung aus mathematisch-theoretischer und normativ-juristischer Sicht bei der Bewertung der Anonymität.</w:t>
      </w:r>
    </w:p>
  </w:footnote>
  <w:footnote w:id="20">
    <w:p w14:paraId="6BDFEA2E" w14:textId="686081E6" w:rsidR="0068437A" w:rsidRPr="002B7C56" w:rsidRDefault="0068437A" w:rsidP="00F37567">
      <w:pPr>
        <w:pStyle w:val="Funotentext"/>
        <w:jc w:val="both"/>
        <w:rPr>
          <w:lang w:val="en-US"/>
        </w:rPr>
      </w:pPr>
      <w:r>
        <w:rPr>
          <w:rStyle w:val="Funotenzeichen"/>
        </w:rPr>
        <w:footnoteRef/>
      </w:r>
      <w:r w:rsidRPr="002B7C56">
        <w:rPr>
          <w:lang w:val="en-US"/>
        </w:rPr>
        <w:t xml:space="preserve"> </w:t>
      </w:r>
      <w:r w:rsidRPr="002B7C56">
        <w:rPr>
          <w:lang w:val="en-US"/>
        </w:rPr>
        <w:tab/>
      </w:r>
      <w:proofErr w:type="spellStart"/>
      <w:r w:rsidRPr="002B7C56">
        <w:rPr>
          <w:lang w:val="en-US"/>
        </w:rPr>
        <w:t>Nach</w:t>
      </w:r>
      <w:proofErr w:type="spellEnd"/>
      <w:r w:rsidRPr="002B7C56">
        <w:rPr>
          <w:lang w:val="en-US"/>
        </w:rPr>
        <w:t xml:space="preserve"> ISO 29100:2011, 2.2 </w:t>
      </w:r>
      <w:proofErr w:type="spellStart"/>
      <w:r w:rsidRPr="002B7C56">
        <w:rPr>
          <w:lang w:val="en-US"/>
        </w:rPr>
        <w:t>wird</w:t>
      </w:r>
      <w:proofErr w:type="spellEnd"/>
      <w:r w:rsidRPr="002B7C56">
        <w:rPr>
          <w:lang w:val="en-US"/>
        </w:rPr>
        <w:t xml:space="preserve"> </w:t>
      </w:r>
      <w:proofErr w:type="spellStart"/>
      <w:r w:rsidRPr="002B7C56">
        <w:rPr>
          <w:lang w:val="en-US"/>
        </w:rPr>
        <w:t>eine</w:t>
      </w:r>
      <w:proofErr w:type="spellEnd"/>
      <w:r w:rsidRPr="002B7C56">
        <w:rPr>
          <w:lang w:val="en-US"/>
        </w:rPr>
        <w:t xml:space="preserve"> </w:t>
      </w:r>
      <w:proofErr w:type="spellStart"/>
      <w:r w:rsidRPr="002B7C56">
        <w:rPr>
          <w:lang w:val="en-US"/>
        </w:rPr>
        <w:t>Anonymisierung</w:t>
      </w:r>
      <w:proofErr w:type="spellEnd"/>
      <w:r w:rsidRPr="002B7C56">
        <w:rPr>
          <w:lang w:val="en-US"/>
        </w:rPr>
        <w:t xml:space="preserve"> </w:t>
      </w:r>
      <w:proofErr w:type="spellStart"/>
      <w:r w:rsidRPr="002B7C56">
        <w:rPr>
          <w:lang w:val="en-US"/>
        </w:rPr>
        <w:t>beschrieben</w:t>
      </w:r>
      <w:proofErr w:type="spellEnd"/>
      <w:r w:rsidRPr="002B7C56">
        <w:rPr>
          <w:lang w:val="en-US"/>
        </w:rPr>
        <w:t xml:space="preserve"> </w:t>
      </w:r>
      <w:proofErr w:type="spellStart"/>
      <w:r w:rsidRPr="002B7C56">
        <w:rPr>
          <w:lang w:val="en-US"/>
        </w:rPr>
        <w:t>als</w:t>
      </w:r>
      <w:proofErr w:type="spellEnd"/>
      <w:r w:rsidRPr="002B7C56">
        <w:rPr>
          <w:lang w:val="en-US"/>
        </w:rPr>
        <w:t>: „process by which personally identifiable information (PII) is irreversibly altered in such a way that a PII principal can no longer be identified directly or indirectly, either by the PII controller alone or in collaboration with any other party“.</w:t>
      </w:r>
    </w:p>
  </w:footnote>
  <w:footnote w:id="21">
    <w:p w14:paraId="1844D170" w14:textId="69F9BB0D" w:rsidR="0068437A" w:rsidRPr="005D6770" w:rsidRDefault="0068437A" w:rsidP="00F37567">
      <w:pPr>
        <w:pStyle w:val="Funotentext"/>
        <w:jc w:val="both"/>
        <w:rPr>
          <w:lang w:val="de-DE"/>
        </w:rPr>
      </w:pPr>
      <w:r>
        <w:rPr>
          <w:rStyle w:val="Funotenzeichen"/>
        </w:rPr>
        <w:footnoteRef/>
      </w:r>
      <w:r>
        <w:t xml:space="preserve"> </w:t>
      </w:r>
      <w:r>
        <w:rPr>
          <w:lang w:val="de-DE"/>
        </w:rPr>
        <w:tab/>
        <w:t xml:space="preserve">Definition nach </w:t>
      </w:r>
      <w:proofErr w:type="spellStart"/>
      <w:r w:rsidRPr="00856338">
        <w:rPr>
          <w:i/>
          <w:caps/>
        </w:rPr>
        <w:t>Paaß</w:t>
      </w:r>
      <w:proofErr w:type="spellEnd"/>
      <w:r w:rsidRPr="00856338">
        <w:rPr>
          <w:i/>
          <w:caps/>
        </w:rPr>
        <w:t>/Wauschkuhn</w:t>
      </w:r>
      <w:r>
        <w:t xml:space="preserve">, Datenzugang, Datenschutz und Anonymisierung, R. </w:t>
      </w:r>
      <w:proofErr w:type="spellStart"/>
      <w:r>
        <w:t>Oldenbourg</w:t>
      </w:r>
      <w:proofErr w:type="spellEnd"/>
      <w:r>
        <w:t xml:space="preserve"> Verlag, München 1984, S. 3.</w:t>
      </w:r>
    </w:p>
  </w:footnote>
  <w:footnote w:id="22">
    <w:p w14:paraId="4F48B17F" w14:textId="7AB500FF" w:rsidR="0068437A" w:rsidRPr="00D23A93" w:rsidRDefault="0068437A" w:rsidP="00F37567">
      <w:pPr>
        <w:pStyle w:val="Funotentext"/>
        <w:jc w:val="both"/>
        <w:rPr>
          <w:lang w:val="de-DE"/>
        </w:rPr>
      </w:pPr>
      <w:r>
        <w:rPr>
          <w:rStyle w:val="Funotenzeichen"/>
        </w:rPr>
        <w:footnoteRef/>
      </w:r>
      <w:r>
        <w:t xml:space="preserve"> </w:t>
      </w:r>
      <w:r>
        <w:tab/>
      </w:r>
      <w:r w:rsidRPr="00E12B9A">
        <w:rPr>
          <w:i/>
          <w:caps/>
        </w:rPr>
        <w:t>Karg</w:t>
      </w:r>
      <w:r>
        <w:t xml:space="preserve">, Anonymität, Pseudonyme und Personenbezug </w:t>
      </w:r>
      <w:proofErr w:type="spellStart"/>
      <w:proofErr w:type="gramStart"/>
      <w:r>
        <w:t>revisited</w:t>
      </w:r>
      <w:proofErr w:type="spellEnd"/>
      <w:r>
        <w:t>?,</w:t>
      </w:r>
      <w:proofErr w:type="gramEnd"/>
      <w:r>
        <w:t xml:space="preserve"> </w:t>
      </w:r>
      <w:proofErr w:type="spellStart"/>
      <w:r w:rsidRPr="008206EA">
        <w:rPr>
          <w:iCs/>
        </w:rPr>
        <w:t>DuD</w:t>
      </w:r>
      <w:proofErr w:type="spellEnd"/>
      <w:r w:rsidRPr="008206EA">
        <w:rPr>
          <w:iCs/>
        </w:rPr>
        <w:t xml:space="preserve"> </w:t>
      </w:r>
      <w:r w:rsidRPr="00E12B9A">
        <w:rPr>
          <w:iCs/>
        </w:rPr>
        <w:t>2015</w:t>
      </w:r>
      <w:r w:rsidRPr="00E12B9A">
        <w:rPr>
          <w:bCs/>
        </w:rPr>
        <w:t xml:space="preserve">, S. </w:t>
      </w:r>
      <w:r>
        <w:t>520.</w:t>
      </w:r>
    </w:p>
  </w:footnote>
  <w:footnote w:id="23">
    <w:p w14:paraId="3654C475" w14:textId="1CBAD8A8" w:rsidR="0068437A" w:rsidRPr="000E5B2F" w:rsidRDefault="0068437A" w:rsidP="00F37567">
      <w:pPr>
        <w:pStyle w:val="Funotentext"/>
        <w:jc w:val="both"/>
        <w:rPr>
          <w:lang w:val="de-DE"/>
        </w:rPr>
      </w:pPr>
      <w:r>
        <w:rPr>
          <w:rStyle w:val="Funotenzeichen"/>
        </w:rPr>
        <w:footnoteRef/>
      </w:r>
      <w:r>
        <w:t xml:space="preserve"> </w:t>
      </w:r>
      <w:r>
        <w:rPr>
          <w:lang w:val="de-DE"/>
        </w:rPr>
        <w:tab/>
        <w:t xml:space="preserve">Ähnlich auch </w:t>
      </w:r>
      <w:r w:rsidRPr="003F6DFF">
        <w:rPr>
          <w:i/>
          <w:caps/>
        </w:rPr>
        <w:t>Hornung/Wagner</w:t>
      </w:r>
      <w:r>
        <w:t>, Der schleichende Personenbezug, CR 2019, S. 565 (S. 574), welche auch weitere Konkretisierungen zu Identifizierbarkeit bei Big Data-Anwendungen und empirische Untersuchungen zur Problematik eines schleichenden Personenbezugs anregen.</w:t>
      </w:r>
      <w:r w:rsidR="000E5B2F">
        <w:t xml:space="preserve"> </w:t>
      </w:r>
      <w:r w:rsidR="000E5B2F">
        <w:rPr>
          <w:i/>
        </w:rPr>
        <w:t>COUPETTE/FLECKNER</w:t>
      </w:r>
      <w:r w:rsidR="000E5B2F">
        <w:t>, Quantitative Rechtswissenschaft, JZ 2018, S. 379 (S. 389), befürworten ebenso quantitative Studien in der Rechtswissenschaft.</w:t>
      </w:r>
    </w:p>
  </w:footnote>
  <w:footnote w:id="24">
    <w:p w14:paraId="2517B762" w14:textId="123A2253" w:rsidR="00E66395" w:rsidRPr="00E66395" w:rsidRDefault="00E66395" w:rsidP="00F37567">
      <w:pPr>
        <w:pStyle w:val="Funotentext"/>
        <w:jc w:val="both"/>
        <w:rPr>
          <w:lang w:val="de-DE"/>
        </w:rPr>
      </w:pPr>
      <w:r>
        <w:rPr>
          <w:rStyle w:val="Funotenzeichen"/>
        </w:rPr>
        <w:footnoteRef/>
      </w:r>
      <w:r>
        <w:t xml:space="preserve"> </w:t>
      </w:r>
      <w:r>
        <w:tab/>
      </w:r>
      <w:r w:rsidR="0047567E" w:rsidRPr="0047567E">
        <w:t>Art. 29-Datenschutzgruppe, Stellungnahme 5/2014</w:t>
      </w:r>
      <w:r w:rsidR="0047567E">
        <w:t xml:space="preserve"> zu Anonymisierungstechniken, 10. April </w:t>
      </w:r>
      <w:r w:rsidR="0047567E" w:rsidRPr="0047567E">
        <w:t>2014,</w:t>
      </w:r>
      <w:r w:rsidR="0047567E">
        <w:t xml:space="preserve"> Aktenzeichen 082914 0829/14/DE</w:t>
      </w:r>
      <w:r w:rsidR="0047567E" w:rsidRPr="0047567E">
        <w:t xml:space="preserve"> WP216</w:t>
      </w:r>
      <w:r w:rsidR="0047567E">
        <w:t>, S. 6.</w:t>
      </w:r>
    </w:p>
  </w:footnote>
  <w:footnote w:id="25">
    <w:p w14:paraId="3B24C847" w14:textId="1A00814E" w:rsidR="00E66395" w:rsidRPr="00E66395" w:rsidRDefault="00E66395" w:rsidP="00F37567">
      <w:pPr>
        <w:pStyle w:val="Funotentext"/>
        <w:jc w:val="both"/>
        <w:rPr>
          <w:lang w:val="de-DE"/>
        </w:rPr>
      </w:pPr>
      <w:r>
        <w:rPr>
          <w:rStyle w:val="Funotenzeichen"/>
        </w:rPr>
        <w:footnoteRef/>
      </w:r>
      <w:r>
        <w:t xml:space="preserve"> </w:t>
      </w:r>
      <w:r>
        <w:rPr>
          <w:lang w:val="de-DE"/>
        </w:rPr>
        <w:tab/>
      </w:r>
      <w:r w:rsidR="00D60724">
        <w:rPr>
          <w:lang w:val="de-DE"/>
        </w:rPr>
        <w:t xml:space="preserve">Für die herrschende relative Theorie: </w:t>
      </w:r>
      <w:r w:rsidR="008D3407">
        <w:rPr>
          <w:lang w:val="de-DE"/>
        </w:rPr>
        <w:t>EuGH 19. Oktober 2016, C-582/14</w:t>
      </w:r>
      <w:r w:rsidR="00D60724">
        <w:rPr>
          <w:lang w:val="de-DE"/>
        </w:rPr>
        <w:t>.</w:t>
      </w:r>
      <w:r w:rsidR="00D32897">
        <w:rPr>
          <w:lang w:val="de-DE"/>
        </w:rPr>
        <w:t xml:space="preserve"> Zu</w:t>
      </w:r>
      <w:r w:rsidR="00C17014">
        <w:t xml:space="preserve">r Berücksichtigung von Zusatz und Spezialwissen </w:t>
      </w:r>
      <w:r w:rsidR="00C17014" w:rsidRPr="005E68CF">
        <w:rPr>
          <w:i/>
          <w:caps/>
        </w:rPr>
        <w:t>Sonntag</w:t>
      </w:r>
      <w:r w:rsidR="00C17014">
        <w:t>, Anonymisierung: Methoden und Zulässigkeit</w:t>
      </w:r>
      <w:r w:rsidR="00D32897">
        <w:t>,</w:t>
      </w:r>
      <w:r w:rsidR="00C17014">
        <w:t xml:space="preserve"> </w:t>
      </w:r>
      <w:proofErr w:type="spellStart"/>
      <w:r w:rsidR="00C17014">
        <w:t>Jusletter</w:t>
      </w:r>
      <w:proofErr w:type="spellEnd"/>
      <w:r w:rsidR="00C17014">
        <w:t xml:space="preserve"> IT 25. Februar 2016, S. 6.</w:t>
      </w:r>
    </w:p>
  </w:footnote>
  <w:footnote w:id="26">
    <w:p w14:paraId="2F515667" w14:textId="60502B8A" w:rsidR="00672ADA" w:rsidRPr="008C76A8" w:rsidRDefault="00672ADA" w:rsidP="00672ADA">
      <w:pPr>
        <w:pStyle w:val="Funotentext"/>
        <w:jc w:val="both"/>
        <w:rPr>
          <w:lang w:val="de-DE"/>
        </w:rPr>
      </w:pPr>
      <w:r>
        <w:rPr>
          <w:rStyle w:val="Funotenzeichen"/>
        </w:rPr>
        <w:footnoteRef/>
      </w:r>
      <w:r>
        <w:t xml:space="preserve"> </w:t>
      </w:r>
      <w:r>
        <w:tab/>
      </w:r>
      <w:r w:rsidR="00392845">
        <w:t>Z</w:t>
      </w:r>
      <w:r w:rsidR="00392845" w:rsidRPr="008C76A8">
        <w:t>um guten Ruf aus dem Recht am eingerichtete</w:t>
      </w:r>
      <w:r w:rsidR="00392845">
        <w:t>n und ausgeübten Gewerbebetrieb</w:t>
      </w:r>
      <w:r w:rsidRPr="008C76A8">
        <w:t xml:space="preserve"> OLG München </w:t>
      </w:r>
      <w:r>
        <w:t>27. Februar 2</w:t>
      </w:r>
      <w:r w:rsidRPr="008C76A8">
        <w:t>020,</w:t>
      </w:r>
      <w:r>
        <w:t xml:space="preserve"> 29 U 2584/19</w:t>
      </w:r>
      <w:r w:rsidRPr="008C76A8">
        <w:t>.</w:t>
      </w:r>
      <w:r w:rsidR="00AF0D6F">
        <w:t xml:space="preserve"> Ebenso dazu und zum Unternehmens</w:t>
      </w:r>
      <w:r w:rsidRPr="008C76A8">
        <w:t xml:space="preserve">persönlichkeitsrecht BGH </w:t>
      </w:r>
      <w:r>
        <w:t>14. Januar 2020, VI ZR 495/18</w:t>
      </w:r>
      <w:r w:rsidRPr="008C76A8">
        <w:t>.</w:t>
      </w:r>
    </w:p>
  </w:footnote>
  <w:footnote w:id="27">
    <w:p w14:paraId="29D86B14" w14:textId="13A1811A" w:rsidR="00E54C62" w:rsidRPr="00E54C62" w:rsidRDefault="00E54C62" w:rsidP="00F37567">
      <w:pPr>
        <w:pStyle w:val="Funotentext"/>
        <w:jc w:val="both"/>
        <w:rPr>
          <w:lang w:val="de-DE"/>
        </w:rPr>
      </w:pPr>
      <w:r>
        <w:rPr>
          <w:rStyle w:val="Funotenzeichen"/>
        </w:rPr>
        <w:footnoteRef/>
      </w:r>
      <w:r>
        <w:t xml:space="preserve"> </w:t>
      </w:r>
      <w:r w:rsidR="00962F48">
        <w:tab/>
      </w:r>
      <w:r w:rsidR="00F3639C">
        <w:t xml:space="preserve">So etwa ausdrücklich in Art. 2 Abs. 5 </w:t>
      </w:r>
      <w:proofErr w:type="spellStart"/>
      <w:r w:rsidR="002E00F6">
        <w:t>BayStatG</w:t>
      </w:r>
      <w:proofErr w:type="spellEnd"/>
      <w:r w:rsidR="002E00F6">
        <w:t xml:space="preserve">. Ebenso </w:t>
      </w:r>
      <w:r w:rsidR="002E00F6" w:rsidRPr="002E00F6">
        <w:rPr>
          <w:i/>
          <w:caps/>
        </w:rPr>
        <w:t>Poppenhänger</w:t>
      </w:r>
      <w:r w:rsidR="002E00F6">
        <w:t>, Die Übermittlung und Veröffentlichung statistischer Daten im Lichte des Rechts auf informationelle Selbstbestimmung, Berlin 1995, S. 41.</w:t>
      </w:r>
    </w:p>
  </w:footnote>
  <w:footnote w:id="28">
    <w:p w14:paraId="1C62BBEF" w14:textId="4304363C" w:rsidR="000152DF" w:rsidRPr="000152DF" w:rsidRDefault="000152DF" w:rsidP="00F37567">
      <w:pPr>
        <w:pStyle w:val="Funotentext"/>
        <w:jc w:val="both"/>
        <w:rPr>
          <w:lang w:val="de-DE"/>
        </w:rPr>
      </w:pPr>
      <w:r>
        <w:rPr>
          <w:rStyle w:val="Funotenzeichen"/>
        </w:rPr>
        <w:footnoteRef/>
      </w:r>
      <w:r>
        <w:t xml:space="preserve"> </w:t>
      </w:r>
      <w:r w:rsidR="00962F48">
        <w:tab/>
      </w:r>
      <w:r w:rsidR="00983F18">
        <w:t xml:space="preserve">Datenschutzbehörde 25. Mai 2020, GZ. 2020-0.191.240, </w:t>
      </w:r>
      <w:proofErr w:type="spellStart"/>
      <w:r w:rsidR="00983F18">
        <w:t>Rn</w:t>
      </w:r>
      <w:proofErr w:type="spellEnd"/>
      <w:r w:rsidR="00983F18">
        <w:t>. 49-65.</w:t>
      </w:r>
    </w:p>
  </w:footnote>
  <w:footnote w:id="29">
    <w:p w14:paraId="746FEBA4" w14:textId="77FE75A1" w:rsidR="00F91C71" w:rsidRPr="00F91C71" w:rsidRDefault="00F91C71" w:rsidP="00F37567">
      <w:pPr>
        <w:pStyle w:val="Funotentext"/>
        <w:jc w:val="both"/>
        <w:rPr>
          <w:lang w:val="de-DE"/>
        </w:rPr>
      </w:pPr>
      <w:r>
        <w:rPr>
          <w:rStyle w:val="Funotenzeichen"/>
        </w:rPr>
        <w:footnoteRef/>
      </w:r>
      <w:r>
        <w:t xml:space="preserve"> </w:t>
      </w:r>
      <w:r w:rsidR="00962F48">
        <w:tab/>
      </w:r>
      <w:r w:rsidR="00770E57">
        <w:t xml:space="preserve">EuGH 09. November 2010, C-92/09 und </w:t>
      </w:r>
      <w:r>
        <w:t>C-93</w:t>
      </w:r>
      <w:r w:rsidR="00770E57">
        <w:t>/09</w:t>
      </w:r>
      <w:r w:rsidR="006723D2">
        <w:t xml:space="preserve"> ausdrücklich in </w:t>
      </w:r>
      <w:proofErr w:type="spellStart"/>
      <w:r w:rsidR="006723D2">
        <w:t>Rn</w:t>
      </w:r>
      <w:proofErr w:type="spellEnd"/>
      <w:r w:rsidR="006723D2">
        <w:t>. 53 für den Fall, soweit der Name der juristischen Person eine oder mehrere natürliche Personen bestimmt.</w:t>
      </w:r>
    </w:p>
  </w:footnote>
  <w:footnote w:id="30">
    <w:p w14:paraId="2ECB7058" w14:textId="1B970438" w:rsidR="00F91C71" w:rsidRPr="005E4DC3" w:rsidRDefault="00F91C71" w:rsidP="00F37567">
      <w:pPr>
        <w:pStyle w:val="Funotentext"/>
        <w:jc w:val="both"/>
        <w:rPr>
          <w:lang w:val="de-DE"/>
        </w:rPr>
      </w:pPr>
      <w:r>
        <w:rPr>
          <w:rStyle w:val="Funotenzeichen"/>
        </w:rPr>
        <w:footnoteRef/>
      </w:r>
      <w:r>
        <w:t xml:space="preserve"> </w:t>
      </w:r>
      <w:r w:rsidR="00962F48">
        <w:tab/>
      </w:r>
      <w:r w:rsidR="005E4DC3">
        <w:rPr>
          <w:i/>
        </w:rPr>
        <w:t>KARG</w:t>
      </w:r>
      <w:r w:rsidR="005E4DC3" w:rsidRPr="005E4DC3">
        <w:t>, in: Datenschutzrecht</w:t>
      </w:r>
      <w:r w:rsidR="005E4DC3">
        <w:t xml:space="preserve">, </w:t>
      </w:r>
      <w:r w:rsidR="005E4DC3" w:rsidRPr="0043093D">
        <w:t>S</w:t>
      </w:r>
      <w:r w:rsidR="00FE47EC">
        <w:t>imitis</w:t>
      </w:r>
      <w:r w:rsidR="005E4DC3" w:rsidRPr="0043093D">
        <w:t>/H</w:t>
      </w:r>
      <w:r w:rsidR="00FE47EC">
        <w:t>ornung</w:t>
      </w:r>
      <w:r w:rsidR="005E4DC3" w:rsidRPr="0043093D">
        <w:t>/S</w:t>
      </w:r>
      <w:r w:rsidR="00FE47EC">
        <w:t>piecker</w:t>
      </w:r>
      <w:r w:rsidR="005E4DC3">
        <w:t xml:space="preserve"> (Hrsg.), Nomos, Baden-Baden 2019, Art. 4 Nr. 1 DSGVO </w:t>
      </w:r>
      <w:proofErr w:type="spellStart"/>
      <w:r w:rsidR="005E4DC3">
        <w:t>Rn</w:t>
      </w:r>
      <w:proofErr w:type="spellEnd"/>
      <w:r w:rsidR="005E4DC3">
        <w:t>. 44.</w:t>
      </w:r>
    </w:p>
  </w:footnote>
  <w:footnote w:id="31">
    <w:p w14:paraId="1B52946F" w14:textId="4D6F1CA4" w:rsidR="00851D35" w:rsidRPr="00851D35" w:rsidRDefault="00851D35" w:rsidP="00F37567">
      <w:pPr>
        <w:pStyle w:val="Funotentext"/>
        <w:jc w:val="both"/>
        <w:rPr>
          <w:lang w:val="de-DE"/>
        </w:rPr>
      </w:pPr>
      <w:r>
        <w:rPr>
          <w:rStyle w:val="Funotenzeichen"/>
        </w:rPr>
        <w:footnoteRef/>
      </w:r>
      <w:r>
        <w:t xml:space="preserve"> </w:t>
      </w:r>
      <w:r w:rsidR="00962F48">
        <w:tab/>
      </w:r>
      <w:r w:rsidR="00E66395">
        <w:t xml:space="preserve">Abrufbar unter: </w:t>
      </w:r>
      <w:r w:rsidR="00E66395" w:rsidRPr="00E66395">
        <w:t>www.gesetze-bayern.de</w:t>
      </w:r>
      <w:r w:rsidR="00E66395">
        <w:t xml:space="preserve">. Die Analyse wurde </w:t>
      </w:r>
      <w:r w:rsidR="0079095A">
        <w:t>im</w:t>
      </w:r>
      <w:r w:rsidR="00F3639C">
        <w:t xml:space="preserve"> Mai 2020 durchgeführt.</w:t>
      </w:r>
    </w:p>
  </w:footnote>
  <w:footnote w:id="32">
    <w:p w14:paraId="2196F9EE" w14:textId="04E444D4" w:rsidR="00213453" w:rsidRPr="00213453" w:rsidRDefault="00213453" w:rsidP="00F37567">
      <w:pPr>
        <w:pStyle w:val="Funotentext"/>
        <w:jc w:val="both"/>
        <w:rPr>
          <w:lang w:val="de-DE"/>
        </w:rPr>
      </w:pPr>
      <w:r>
        <w:rPr>
          <w:rStyle w:val="Funotenzeichen"/>
        </w:rPr>
        <w:footnoteRef/>
      </w:r>
      <w:r>
        <w:t xml:space="preserve"> </w:t>
      </w:r>
      <w:r w:rsidR="00962F48">
        <w:tab/>
      </w:r>
      <w:r>
        <w:t>OLG Frankfurt 19. September 2019, 20 VA 21/17.</w:t>
      </w:r>
    </w:p>
  </w:footnote>
  <w:footnote w:id="33">
    <w:p w14:paraId="4758FBC0" w14:textId="0384A273" w:rsidR="004904F1" w:rsidRPr="004904F1" w:rsidRDefault="004904F1" w:rsidP="00F37567">
      <w:pPr>
        <w:pStyle w:val="Funotentext"/>
        <w:jc w:val="both"/>
        <w:rPr>
          <w:lang w:val="de-DE"/>
        </w:rPr>
      </w:pPr>
      <w:r>
        <w:rPr>
          <w:rStyle w:val="Funotenzeichen"/>
        </w:rPr>
        <w:footnoteRef/>
      </w:r>
      <w:r>
        <w:t xml:space="preserve"> </w:t>
      </w:r>
      <w:r w:rsidR="00962F48">
        <w:tab/>
      </w:r>
      <w:r>
        <w:t xml:space="preserve">LG München II 13. März </w:t>
      </w:r>
      <w:r w:rsidRPr="004904F1">
        <w:t xml:space="preserve">2014 - W5 KLs 68 </w:t>
      </w:r>
      <w:proofErr w:type="spellStart"/>
      <w:r w:rsidRPr="004904F1">
        <w:t>Js</w:t>
      </w:r>
      <w:proofErr w:type="spellEnd"/>
      <w:r w:rsidRPr="004904F1">
        <w:t xml:space="preserve"> 3284/13</w:t>
      </w:r>
      <w:r>
        <w:t>. Das</w:t>
      </w:r>
      <w:r w:rsidR="00157AA0">
        <w:t xml:space="preserve"> t</w:t>
      </w:r>
      <w:r>
        <w:t xml:space="preserve">rotz Anonymisierung eine Zusammenführung von Name und Aktenzeichen möglich ist, zeigt abermals die Schwierigkeit. Jedoch kann bei Verfahren </w:t>
      </w:r>
      <w:r w:rsidR="00157AA0">
        <w:t>mit</w:t>
      </w:r>
      <w:r>
        <w:t xml:space="preserve"> Personen der Zeitgeschichte ein größeres berechtigtes Interesse der Öffentlichkeit bestehen. So auch </w:t>
      </w:r>
      <w:r w:rsidRPr="004904F1">
        <w:rPr>
          <w:i/>
          <w:caps/>
        </w:rPr>
        <w:t>Putzke/Zenthöfer</w:t>
      </w:r>
      <w:r>
        <w:rPr>
          <w:caps/>
        </w:rPr>
        <w:t xml:space="preserve">, </w:t>
      </w:r>
      <w:r>
        <w:t>Der Anspruch auf Übermittlung von Abschriften strafgerichtlicher Entscheidungen, NJW 2015, S. 1777 (S. 1781).</w:t>
      </w:r>
    </w:p>
  </w:footnote>
  <w:footnote w:id="34">
    <w:p w14:paraId="291479A3" w14:textId="16F64DDA" w:rsidR="006F2C5F" w:rsidRPr="006F2C5F" w:rsidRDefault="006F2C5F" w:rsidP="00F37567">
      <w:pPr>
        <w:pStyle w:val="Funotentext"/>
        <w:jc w:val="both"/>
        <w:rPr>
          <w:lang w:val="de-DE"/>
        </w:rPr>
      </w:pPr>
      <w:r>
        <w:rPr>
          <w:rStyle w:val="Funotenzeichen"/>
        </w:rPr>
        <w:footnoteRef/>
      </w:r>
      <w:r>
        <w:t xml:space="preserve"> </w:t>
      </w:r>
      <w:r>
        <w:rPr>
          <w:lang w:val="de-DE"/>
        </w:rPr>
        <w:tab/>
      </w:r>
      <w:r>
        <w:rPr>
          <w:i/>
          <w:lang w:val="de-DE"/>
        </w:rPr>
        <w:t>HAUPT</w:t>
      </w:r>
      <w:r>
        <w:rPr>
          <w:lang w:val="de-DE"/>
        </w:rPr>
        <w:t xml:space="preserve">, (Kein) Steuergeheimnis nach dem </w:t>
      </w:r>
      <w:proofErr w:type="gramStart"/>
      <w:r>
        <w:rPr>
          <w:lang w:val="de-DE"/>
        </w:rPr>
        <w:t>Finanzgerichtsprozess?,</w:t>
      </w:r>
      <w:proofErr w:type="gramEnd"/>
      <w:r>
        <w:rPr>
          <w:lang w:val="de-DE"/>
        </w:rPr>
        <w:t xml:space="preserve"> </w:t>
      </w:r>
      <w:proofErr w:type="spellStart"/>
      <w:r>
        <w:rPr>
          <w:lang w:val="de-DE"/>
        </w:rPr>
        <w:t>DStR</w:t>
      </w:r>
      <w:proofErr w:type="spellEnd"/>
      <w:r>
        <w:rPr>
          <w:lang w:val="de-DE"/>
        </w:rPr>
        <w:t xml:space="preserve"> 2014, S. 1025 (S. 1029).</w:t>
      </w:r>
    </w:p>
  </w:footnote>
  <w:footnote w:id="35">
    <w:p w14:paraId="67517E49" w14:textId="200917CD" w:rsidR="00B412AF" w:rsidRPr="00B412AF" w:rsidRDefault="00B412AF" w:rsidP="00F37567">
      <w:pPr>
        <w:pStyle w:val="Funotentext"/>
        <w:jc w:val="both"/>
        <w:rPr>
          <w:lang w:val="de-DE"/>
        </w:rPr>
      </w:pPr>
      <w:r>
        <w:rPr>
          <w:rStyle w:val="Funotenzeichen"/>
        </w:rPr>
        <w:footnoteRef/>
      </w:r>
      <w:r>
        <w:t xml:space="preserve"> </w:t>
      </w:r>
      <w:r>
        <w:rPr>
          <w:lang w:val="de-DE"/>
        </w:rPr>
        <w:tab/>
        <w:t xml:space="preserve">BVerfG 17. Juli 1984, 2 </w:t>
      </w:r>
      <w:proofErr w:type="spellStart"/>
      <w:r>
        <w:rPr>
          <w:lang w:val="de-DE"/>
        </w:rPr>
        <w:t>BvE</w:t>
      </w:r>
      <w:proofErr w:type="spellEnd"/>
      <w:r>
        <w:rPr>
          <w:lang w:val="de-DE"/>
        </w:rPr>
        <w:t xml:space="preserve"> 11/83 und 15/83.</w:t>
      </w:r>
    </w:p>
  </w:footnote>
  <w:footnote w:id="36">
    <w:p w14:paraId="07890E69" w14:textId="4CC3EF48" w:rsidR="000D590B" w:rsidRPr="000D590B" w:rsidRDefault="000D590B" w:rsidP="00F37567">
      <w:pPr>
        <w:pStyle w:val="Funotentext"/>
        <w:jc w:val="both"/>
        <w:rPr>
          <w:lang w:val="de-DE"/>
        </w:rPr>
      </w:pPr>
      <w:r>
        <w:rPr>
          <w:rStyle w:val="Funotenzeichen"/>
        </w:rPr>
        <w:footnoteRef/>
      </w:r>
      <w:r>
        <w:t xml:space="preserve"> </w:t>
      </w:r>
      <w:r w:rsidR="00962F48">
        <w:tab/>
      </w:r>
      <w:r>
        <w:rPr>
          <w:i/>
          <w:lang w:val="de-DE"/>
        </w:rPr>
        <w:t>HAUPT</w:t>
      </w:r>
      <w:r>
        <w:rPr>
          <w:lang w:val="de-DE"/>
        </w:rPr>
        <w:t xml:space="preserve">, (Kein) Steuergeheimnis nach dem </w:t>
      </w:r>
      <w:proofErr w:type="gramStart"/>
      <w:r>
        <w:rPr>
          <w:lang w:val="de-DE"/>
        </w:rPr>
        <w:t>Finanzgerichtsprozess?,</w:t>
      </w:r>
      <w:proofErr w:type="gramEnd"/>
      <w:r>
        <w:rPr>
          <w:lang w:val="de-DE"/>
        </w:rPr>
        <w:t xml:space="preserve"> </w:t>
      </w:r>
      <w:proofErr w:type="spellStart"/>
      <w:r>
        <w:rPr>
          <w:lang w:val="de-DE"/>
        </w:rPr>
        <w:t>DStR</w:t>
      </w:r>
      <w:proofErr w:type="spellEnd"/>
      <w:r>
        <w:rPr>
          <w:lang w:val="de-DE"/>
        </w:rPr>
        <w:t xml:space="preserve"> 2014, S. 1025 (S. 1030); </w:t>
      </w:r>
      <w:r w:rsidR="00E913A6">
        <w:rPr>
          <w:i/>
          <w:caps/>
          <w:lang w:val="de-DE"/>
        </w:rPr>
        <w:t>köpferL</w:t>
      </w:r>
      <w:r>
        <w:rPr>
          <w:i/>
          <w:lang w:val="de-DE"/>
        </w:rPr>
        <w:t xml:space="preserve">, </w:t>
      </w:r>
      <w:r w:rsidRPr="000D590B">
        <w:rPr>
          <w:lang w:val="de-DE"/>
        </w:rPr>
        <w:t>„Die Veröffentlichung unterbleibt im Hinblick auf das Steuergeheimnis“</w:t>
      </w:r>
      <w:r>
        <w:rPr>
          <w:lang w:val="de-DE"/>
        </w:rPr>
        <w:t>, ZIS 2015, S. 375 (S. 385)</w:t>
      </w:r>
      <w:r w:rsidRPr="000D590B">
        <w:rPr>
          <w:lang w:val="de-DE"/>
        </w:rPr>
        <w:t>.</w:t>
      </w:r>
    </w:p>
  </w:footnote>
  <w:footnote w:id="37">
    <w:p w14:paraId="5C51FE72" w14:textId="2796B6D7" w:rsidR="008609A5" w:rsidRPr="008609A5" w:rsidRDefault="008609A5" w:rsidP="00F37567">
      <w:pPr>
        <w:pStyle w:val="Funotentext"/>
        <w:jc w:val="both"/>
        <w:rPr>
          <w:lang w:val="de-DE"/>
        </w:rPr>
      </w:pPr>
      <w:r>
        <w:rPr>
          <w:rStyle w:val="Funotenzeichen"/>
        </w:rPr>
        <w:footnoteRef/>
      </w:r>
      <w:r>
        <w:t xml:space="preserve"> </w:t>
      </w:r>
      <w:r w:rsidR="00962F48">
        <w:tab/>
      </w:r>
      <w:r>
        <w:rPr>
          <w:lang w:val="de-DE"/>
        </w:rPr>
        <w:t xml:space="preserve">Einen Vorschlag für Anonymisierungsstufen macht </w:t>
      </w:r>
      <w:r>
        <w:rPr>
          <w:i/>
          <w:lang w:val="de-DE"/>
        </w:rPr>
        <w:t>NÖHRE</w:t>
      </w:r>
      <w:r>
        <w:rPr>
          <w:lang w:val="de-DE"/>
        </w:rPr>
        <w:t xml:space="preserve">, </w:t>
      </w:r>
      <w:r w:rsidRPr="008609A5">
        <w:rPr>
          <w:lang w:val="de-DE"/>
        </w:rPr>
        <w:t>Anonymisierun</w:t>
      </w:r>
      <w:r>
        <w:rPr>
          <w:lang w:val="de-DE"/>
        </w:rPr>
        <w:t>g und Neutralisierung von veröf</w:t>
      </w:r>
      <w:r w:rsidRPr="008609A5">
        <w:rPr>
          <w:lang w:val="de-DE"/>
        </w:rPr>
        <w:t>fentlichungswürdigen Gerichtsentscheidungen</w:t>
      </w:r>
      <w:r>
        <w:rPr>
          <w:lang w:val="de-DE"/>
        </w:rPr>
        <w:t>, MDR 2019, S. 136 (S. 138 ff.).</w:t>
      </w:r>
    </w:p>
  </w:footnote>
  <w:footnote w:id="38">
    <w:p w14:paraId="3B953DE6" w14:textId="6F75F613" w:rsidR="004C3B42" w:rsidRPr="006B388D" w:rsidRDefault="004C3B42" w:rsidP="00397E3A">
      <w:pPr>
        <w:pStyle w:val="Funotentext"/>
        <w:jc w:val="both"/>
        <w:rPr>
          <w:lang w:val="de-DE"/>
        </w:rPr>
      </w:pPr>
      <w:r>
        <w:rPr>
          <w:rStyle w:val="Funotenzeichen"/>
        </w:rPr>
        <w:footnoteRef/>
      </w:r>
      <w:r>
        <w:t xml:space="preserve"> </w:t>
      </w:r>
      <w:r>
        <w:tab/>
      </w:r>
      <w:r w:rsidRPr="006B388D">
        <w:rPr>
          <w:lang w:val="de-DE"/>
        </w:rPr>
        <w:t xml:space="preserve">In der computerlinguistischen Verarbeitung werden Texte </w:t>
      </w:r>
      <w:r>
        <w:rPr>
          <w:lang w:val="de-DE"/>
        </w:rPr>
        <w:t xml:space="preserve">zunächst </w:t>
      </w:r>
      <w:r w:rsidRPr="006B388D">
        <w:rPr>
          <w:lang w:val="de-DE"/>
        </w:rPr>
        <w:t xml:space="preserve">in </w:t>
      </w:r>
      <w:r>
        <w:rPr>
          <w:lang w:val="de-DE"/>
        </w:rPr>
        <w:t>Wörter und Satzzeichen als Grundeinheiten zerlegt, für die üblicherweise der Oberbegriff „Token“ verwendet wird.</w:t>
      </w:r>
    </w:p>
  </w:footnote>
  <w:footnote w:id="39">
    <w:p w14:paraId="6FBAC219" w14:textId="70B7D5F1" w:rsidR="00DD206B" w:rsidRPr="001E35E5" w:rsidRDefault="00DD206B">
      <w:pPr>
        <w:pStyle w:val="Funotentext"/>
        <w:rPr>
          <w:lang w:val="de-DE"/>
        </w:rPr>
      </w:pPr>
      <w:r>
        <w:rPr>
          <w:rStyle w:val="Funotenzeichen"/>
        </w:rPr>
        <w:footnoteRef/>
      </w:r>
      <w:r>
        <w:t xml:space="preserve"> </w:t>
      </w:r>
      <w:r w:rsidRPr="004B1052">
        <w:rPr>
          <w:lang w:val="de-DE"/>
        </w:rPr>
        <w:tab/>
      </w:r>
      <w:r w:rsidR="00183050">
        <w:t xml:space="preserve">Siehe </w:t>
      </w:r>
      <w:r w:rsidR="009F461B">
        <w:t>hierzu umfassend</w:t>
      </w:r>
      <w:r w:rsidR="00183050">
        <w:t xml:space="preserve"> die Vorlesung </w:t>
      </w:r>
      <w:r w:rsidR="001E35E5">
        <w:t xml:space="preserve">von </w:t>
      </w:r>
      <w:r w:rsidR="001E35E5" w:rsidRPr="00E8166A">
        <w:rPr>
          <w:i/>
        </w:rPr>
        <w:t>ADRIAN</w:t>
      </w:r>
      <w:r w:rsidR="001E35E5">
        <w:rPr>
          <w:i/>
        </w:rPr>
        <w:t>,</w:t>
      </w:r>
      <w:r w:rsidR="001E35E5">
        <w:t xml:space="preserve"> </w:t>
      </w:r>
      <w:r w:rsidR="00183050">
        <w:t>„</w:t>
      </w:r>
      <w:r w:rsidR="00183050" w:rsidRPr="005B54DA">
        <w:t>Künstliche Intelligenz und juristisches Entscheiden</w:t>
      </w:r>
      <w:r w:rsidR="001E35E5">
        <w:t>“,</w:t>
      </w:r>
      <w:r w:rsidR="00183050" w:rsidRPr="005B54DA">
        <w:t xml:space="preserve"> Einheit 6</w:t>
      </w:r>
      <w:r w:rsidR="001E35E5">
        <w:t xml:space="preserve"> (</w:t>
      </w:r>
      <w:r w:rsidR="001E35E5" w:rsidRPr="001E35E5">
        <w:t>youtu.be/p-6JOIiBRbc</w:t>
      </w:r>
      <w:r w:rsidR="001E35E5">
        <w:t>)</w:t>
      </w:r>
      <w:r w:rsidR="00183050">
        <w:t xml:space="preserve"> und 7</w:t>
      </w:r>
      <w:r w:rsidR="001E35E5">
        <w:t xml:space="preserve"> (</w:t>
      </w:r>
      <w:r w:rsidR="001E35E5" w:rsidRPr="001E35E5">
        <w:t>youtu.be/yYcn2emJMos</w:t>
      </w:r>
      <w:r w:rsidR="001E35E5">
        <w:t>)</w:t>
      </w:r>
      <w:r w:rsidR="00183050">
        <w:t xml:space="preserve"> </w:t>
      </w:r>
      <w:r w:rsidR="00183050" w:rsidRPr="00E8166A">
        <w:t>aus</w:t>
      </w:r>
      <w:r w:rsidR="00183050">
        <w:t xml:space="preserve"> dem Sommersemester 2020</w:t>
      </w:r>
      <w:r w:rsidR="009F461B">
        <w:t xml:space="preserve"> an der FAU</w:t>
      </w:r>
      <w:r w:rsidR="00E8166A">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D8775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3C6F9E"/>
    <w:multiLevelType w:val="multilevel"/>
    <w:tmpl w:val="761A6132"/>
    <w:styleLink w:val="WWOutlineListStyle"/>
    <w:lvl w:ilvl="0">
      <w:start w:val="1"/>
      <w:numFmt w:val="decimal"/>
      <w:pStyle w:val="berschrift1"/>
      <w:lvlText w:val="%1."/>
      <w:lvlJc w:val="left"/>
      <w:pPr>
        <w:ind w:left="360" w:hanging="360"/>
      </w:pPr>
      <w:rPr>
        <w:rFonts w:cs="Times New Roman"/>
      </w:rPr>
    </w:lvl>
    <w:lvl w:ilvl="1">
      <w:start w:val="1"/>
      <w:numFmt w:val="decimal"/>
      <w:pStyle w:val="berschrift2"/>
      <w:lvlText w:val="%1.%2. "/>
      <w:lvlJc w:val="left"/>
      <w:rPr>
        <w:rFonts w:cs="Times New Roman"/>
      </w:rPr>
    </w:lvl>
    <w:lvl w:ilvl="2">
      <w:start w:val="1"/>
      <w:numFmt w:val="decimal"/>
      <w:pStyle w:val="berschrift3"/>
      <w:lvlText w:val="%1.%2.%3. "/>
      <w:lvlJc w:val="left"/>
      <w:rPr>
        <w:rFonts w:cs="Times New Roman"/>
      </w:rPr>
    </w:lvl>
    <w:lvl w:ilvl="3">
      <w:start w:val="1"/>
      <w:numFmt w:val="decimal"/>
      <w:pStyle w:val="berschrift4"/>
      <w:lvlText w:val="%1.%2.%3.%4. "/>
      <w:lvlJc w:val="left"/>
      <w:rPr>
        <w:rFonts w:cs="Times New Roman"/>
      </w:rPr>
    </w:lvl>
    <w:lvl w:ilvl="4">
      <w:start w:val="1"/>
      <w:numFmt w:val="decimal"/>
      <w:pStyle w:val="berschrift5"/>
      <w:lvlText w:val="%1.%2.%3.%4.%5. "/>
      <w:lvlJc w:val="left"/>
      <w:rPr>
        <w:rFonts w:cs="Times New Roman"/>
      </w:rPr>
    </w:lvl>
    <w:lvl w:ilvl="5">
      <w:start w:val="1"/>
      <w:numFmt w:val="decimal"/>
      <w:pStyle w:val="berschrift6"/>
      <w:lvlText w:val="%1.%2.%3.%4.%5.%6. "/>
      <w:lvlJc w:val="left"/>
      <w:rPr>
        <w:rFonts w:cs="Times New Roman"/>
      </w:rPr>
    </w:lvl>
    <w:lvl w:ilvl="6">
      <w:start w:val="1"/>
      <w:numFmt w:val="decimal"/>
      <w:pStyle w:val="berschrift7"/>
      <w:lvlText w:val="%1.%2.%3.%4.%5.%6.%7. "/>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2" w15:restartNumberingAfterBreak="0">
    <w:nsid w:val="1404014E"/>
    <w:multiLevelType w:val="hybridMultilevel"/>
    <w:tmpl w:val="7E8EA6AE"/>
    <w:lvl w:ilvl="0" w:tplc="3636FE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C41B8"/>
    <w:multiLevelType w:val="multilevel"/>
    <w:tmpl w:val="D6EA4B3E"/>
    <w:styleLink w:val="LFO2"/>
    <w:lvl w:ilvl="0">
      <w:numFmt w:val="bullet"/>
      <w:pStyle w:val="Aufzhlungszeichen"/>
      <w:lvlText w:val=""/>
      <w:lvlJc w:val="left"/>
      <w:pPr>
        <w:ind w:left="360" w:hanging="360"/>
      </w:pPr>
      <w:rPr>
        <w:rFonts w:ascii="Symbol" w:hAnsi="Symbol"/>
      </w:rPr>
    </w:lvl>
    <w:lvl w:ilvl="1">
      <w:start w:val="1"/>
      <w:numFmt w:val="none"/>
      <w:lvlText w:val=""/>
      <w:lvlJc w:val="left"/>
      <w:rPr>
        <w:rFonts w:cs="Times New Roman"/>
      </w:rPr>
    </w:lvl>
    <w:lvl w:ilvl="2">
      <w:start w:val="1"/>
      <w:numFmt w:val="none"/>
      <w:lvlText w:val=""/>
      <w:lvlJc w:val="left"/>
      <w:rPr>
        <w:rFonts w:cs="Times New Roman"/>
      </w:rPr>
    </w:lvl>
    <w:lvl w:ilvl="3">
      <w:start w:val="1"/>
      <w:numFmt w:val="none"/>
      <w:lvlText w:val=""/>
      <w:lvlJc w:val="left"/>
      <w:rPr>
        <w:rFonts w:cs="Times New Roman"/>
      </w:rPr>
    </w:lvl>
    <w:lvl w:ilvl="4">
      <w:start w:val="1"/>
      <w:numFmt w:val="none"/>
      <w:lvlText w:val=""/>
      <w:lvlJc w:val="left"/>
      <w:rPr>
        <w:rFonts w:cs="Times New Roman"/>
      </w:rPr>
    </w:lvl>
    <w:lvl w:ilvl="5">
      <w:start w:val="1"/>
      <w:numFmt w:val="none"/>
      <w:lvlText w:val=""/>
      <w:lvlJc w:val="left"/>
      <w:rPr>
        <w:rFonts w:cs="Times New Roman"/>
      </w:rPr>
    </w:lvl>
    <w:lvl w:ilvl="6">
      <w:start w:val="1"/>
      <w:numFmt w:val="none"/>
      <w:lvlText w:val=""/>
      <w:lvlJc w:val="left"/>
      <w:rPr>
        <w:rFonts w:cs="Times New Roman"/>
      </w:rPr>
    </w:lvl>
    <w:lvl w:ilvl="7">
      <w:start w:val="1"/>
      <w:numFmt w:val="none"/>
      <w:lvlText w:val=""/>
      <w:lvlJc w:val="left"/>
      <w:rPr>
        <w:rFonts w:cs="Times New Roman"/>
      </w:rPr>
    </w:lvl>
    <w:lvl w:ilvl="8">
      <w:start w:val="1"/>
      <w:numFmt w:val="none"/>
      <w:lvlText w:val=""/>
      <w:lvlJc w:val="left"/>
      <w:rPr>
        <w:rFonts w:cs="Times New Roman"/>
      </w:rPr>
    </w:lvl>
  </w:abstractNum>
  <w:abstractNum w:abstractNumId="4" w15:restartNumberingAfterBreak="0">
    <w:nsid w:val="1D5043F6"/>
    <w:multiLevelType w:val="multilevel"/>
    <w:tmpl w:val="08A04878"/>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rPr>
    </w:lvl>
    <w:lvl w:ilvl="8">
      <w:numFmt w:val="bullet"/>
      <w:lvlText w:val=""/>
      <w:lvlJc w:val="left"/>
      <w:pPr>
        <w:ind w:left="7047" w:hanging="360"/>
      </w:pPr>
      <w:rPr>
        <w:rFonts w:ascii="Wingdings" w:hAnsi="Wingdings"/>
      </w:rPr>
    </w:lvl>
  </w:abstractNum>
  <w:abstractNum w:abstractNumId="5" w15:restartNumberingAfterBreak="0">
    <w:nsid w:val="240A3E80"/>
    <w:multiLevelType w:val="hybridMultilevel"/>
    <w:tmpl w:val="7DBE88B4"/>
    <w:lvl w:ilvl="0" w:tplc="E192406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026381"/>
    <w:multiLevelType w:val="hybridMultilevel"/>
    <w:tmpl w:val="4710AD7A"/>
    <w:lvl w:ilvl="0" w:tplc="3636FE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851A8"/>
    <w:multiLevelType w:val="multilevel"/>
    <w:tmpl w:val="EA16EFF2"/>
    <w:lvl w:ilvl="0">
      <w:numFmt w:val="bullet"/>
      <w:pStyle w:val="ListeEbene2"/>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3E1C68E6"/>
    <w:multiLevelType w:val="multilevel"/>
    <w:tmpl w:val="4650D2BA"/>
    <w:lvl w:ilvl="0">
      <w:numFmt w:val="bullet"/>
      <w:lvlText w:val=""/>
      <w:lvlJc w:val="left"/>
      <w:pPr>
        <w:ind w:left="1854" w:hanging="360"/>
      </w:pPr>
      <w:rPr>
        <w:rFonts w:ascii="Symbol" w:hAnsi="Symbol"/>
      </w:rPr>
    </w:lvl>
    <w:lvl w:ilvl="1">
      <w:numFmt w:val="bullet"/>
      <w:lvlText w:val="o"/>
      <w:lvlJc w:val="left"/>
      <w:pPr>
        <w:ind w:left="2574" w:hanging="360"/>
      </w:pPr>
      <w:rPr>
        <w:rFonts w:ascii="Courier New" w:hAnsi="Courier New"/>
      </w:rPr>
    </w:lvl>
    <w:lvl w:ilvl="2">
      <w:numFmt w:val="bullet"/>
      <w:lvlText w:val=""/>
      <w:lvlJc w:val="left"/>
      <w:pPr>
        <w:ind w:left="3294" w:hanging="360"/>
      </w:pPr>
      <w:rPr>
        <w:rFonts w:ascii="Wingdings" w:hAnsi="Wingdings"/>
      </w:rPr>
    </w:lvl>
    <w:lvl w:ilvl="3">
      <w:numFmt w:val="bullet"/>
      <w:lvlText w:val=""/>
      <w:lvlJc w:val="left"/>
      <w:pPr>
        <w:ind w:left="4014" w:hanging="360"/>
      </w:pPr>
      <w:rPr>
        <w:rFonts w:ascii="Symbol" w:hAnsi="Symbol"/>
      </w:rPr>
    </w:lvl>
    <w:lvl w:ilvl="4">
      <w:numFmt w:val="bullet"/>
      <w:lvlText w:val="o"/>
      <w:lvlJc w:val="left"/>
      <w:pPr>
        <w:ind w:left="4734" w:hanging="360"/>
      </w:pPr>
      <w:rPr>
        <w:rFonts w:ascii="Courier New" w:hAnsi="Courier New"/>
      </w:rPr>
    </w:lvl>
    <w:lvl w:ilvl="5">
      <w:numFmt w:val="bullet"/>
      <w:lvlText w:val=""/>
      <w:lvlJc w:val="left"/>
      <w:pPr>
        <w:ind w:left="5454" w:hanging="360"/>
      </w:pPr>
      <w:rPr>
        <w:rFonts w:ascii="Wingdings" w:hAnsi="Wingdings"/>
      </w:rPr>
    </w:lvl>
    <w:lvl w:ilvl="6">
      <w:numFmt w:val="bullet"/>
      <w:lvlText w:val=""/>
      <w:lvlJc w:val="left"/>
      <w:pPr>
        <w:ind w:left="6174" w:hanging="360"/>
      </w:pPr>
      <w:rPr>
        <w:rFonts w:ascii="Symbol" w:hAnsi="Symbol"/>
      </w:rPr>
    </w:lvl>
    <w:lvl w:ilvl="7">
      <w:numFmt w:val="bullet"/>
      <w:lvlText w:val="o"/>
      <w:lvlJc w:val="left"/>
      <w:pPr>
        <w:ind w:left="6894" w:hanging="360"/>
      </w:pPr>
      <w:rPr>
        <w:rFonts w:ascii="Courier New" w:hAnsi="Courier New"/>
      </w:rPr>
    </w:lvl>
    <w:lvl w:ilvl="8">
      <w:numFmt w:val="bullet"/>
      <w:lvlText w:val=""/>
      <w:lvlJc w:val="left"/>
      <w:pPr>
        <w:ind w:left="7614" w:hanging="360"/>
      </w:pPr>
      <w:rPr>
        <w:rFonts w:ascii="Wingdings" w:hAnsi="Wingdings"/>
      </w:rPr>
    </w:lvl>
  </w:abstractNum>
  <w:abstractNum w:abstractNumId="9" w15:restartNumberingAfterBreak="0">
    <w:nsid w:val="44FF2628"/>
    <w:multiLevelType w:val="multilevel"/>
    <w:tmpl w:val="C96261C4"/>
    <w:lvl w:ilvl="0">
      <w:numFmt w:val="bullet"/>
      <w:pStyle w:val="ListeEbene3"/>
      <w:lvlText w:val=""/>
      <w:lvlJc w:val="left"/>
      <w:pPr>
        <w:ind w:left="1287" w:hanging="360"/>
      </w:pPr>
      <w:rPr>
        <w:rFonts w:ascii="Symbol" w:hAnsi="Symbol"/>
      </w:rPr>
    </w:lvl>
    <w:lvl w:ilvl="1">
      <w:numFmt w:val="bullet"/>
      <w:lvlText w:val="o"/>
      <w:lvlJc w:val="left"/>
      <w:pPr>
        <w:ind w:left="2007" w:hanging="360"/>
      </w:pPr>
      <w:rPr>
        <w:rFonts w:ascii="Courier New" w:hAnsi="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rPr>
    </w:lvl>
    <w:lvl w:ilvl="8">
      <w:numFmt w:val="bullet"/>
      <w:lvlText w:val=""/>
      <w:lvlJc w:val="left"/>
      <w:pPr>
        <w:ind w:left="7047" w:hanging="360"/>
      </w:pPr>
      <w:rPr>
        <w:rFonts w:ascii="Wingdings" w:hAnsi="Wingdings"/>
      </w:rPr>
    </w:lvl>
  </w:abstractNum>
  <w:abstractNum w:abstractNumId="10" w15:restartNumberingAfterBreak="0">
    <w:nsid w:val="4C3E18C8"/>
    <w:multiLevelType w:val="hybridMultilevel"/>
    <w:tmpl w:val="EF9A70B8"/>
    <w:lvl w:ilvl="0" w:tplc="BE64B65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E083C62"/>
    <w:multiLevelType w:val="hybridMultilevel"/>
    <w:tmpl w:val="8BAEF5A6"/>
    <w:lvl w:ilvl="0" w:tplc="3636FE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7B0C42"/>
    <w:multiLevelType w:val="hybridMultilevel"/>
    <w:tmpl w:val="0284BB98"/>
    <w:lvl w:ilvl="0" w:tplc="53460E02">
      <w:start w:val="1"/>
      <w:numFmt w:val="bullet"/>
      <w:lvlText w:val="-"/>
      <w:lvlJc w:val="left"/>
      <w:pPr>
        <w:tabs>
          <w:tab w:val="num" w:pos="720"/>
        </w:tabs>
        <w:ind w:left="720" w:hanging="360"/>
      </w:pPr>
      <w:rPr>
        <w:rFonts w:ascii="Times New Roman" w:hAnsi="Times New Roman" w:hint="default"/>
      </w:rPr>
    </w:lvl>
    <w:lvl w:ilvl="1" w:tplc="A8CE937A" w:tentative="1">
      <w:start w:val="1"/>
      <w:numFmt w:val="bullet"/>
      <w:lvlText w:val="-"/>
      <w:lvlJc w:val="left"/>
      <w:pPr>
        <w:tabs>
          <w:tab w:val="num" w:pos="1440"/>
        </w:tabs>
        <w:ind w:left="1440" w:hanging="360"/>
      </w:pPr>
      <w:rPr>
        <w:rFonts w:ascii="Times New Roman" w:hAnsi="Times New Roman" w:hint="default"/>
      </w:rPr>
    </w:lvl>
    <w:lvl w:ilvl="2" w:tplc="4810E9A6" w:tentative="1">
      <w:start w:val="1"/>
      <w:numFmt w:val="bullet"/>
      <w:lvlText w:val="-"/>
      <w:lvlJc w:val="left"/>
      <w:pPr>
        <w:tabs>
          <w:tab w:val="num" w:pos="2160"/>
        </w:tabs>
        <w:ind w:left="2160" w:hanging="360"/>
      </w:pPr>
      <w:rPr>
        <w:rFonts w:ascii="Times New Roman" w:hAnsi="Times New Roman" w:hint="default"/>
      </w:rPr>
    </w:lvl>
    <w:lvl w:ilvl="3" w:tplc="0F92B358" w:tentative="1">
      <w:start w:val="1"/>
      <w:numFmt w:val="bullet"/>
      <w:lvlText w:val="-"/>
      <w:lvlJc w:val="left"/>
      <w:pPr>
        <w:tabs>
          <w:tab w:val="num" w:pos="2880"/>
        </w:tabs>
        <w:ind w:left="2880" w:hanging="360"/>
      </w:pPr>
      <w:rPr>
        <w:rFonts w:ascii="Times New Roman" w:hAnsi="Times New Roman" w:hint="default"/>
      </w:rPr>
    </w:lvl>
    <w:lvl w:ilvl="4" w:tplc="BCC08E82" w:tentative="1">
      <w:start w:val="1"/>
      <w:numFmt w:val="bullet"/>
      <w:lvlText w:val="-"/>
      <w:lvlJc w:val="left"/>
      <w:pPr>
        <w:tabs>
          <w:tab w:val="num" w:pos="3600"/>
        </w:tabs>
        <w:ind w:left="3600" w:hanging="360"/>
      </w:pPr>
      <w:rPr>
        <w:rFonts w:ascii="Times New Roman" w:hAnsi="Times New Roman" w:hint="default"/>
      </w:rPr>
    </w:lvl>
    <w:lvl w:ilvl="5" w:tplc="A5148E1A" w:tentative="1">
      <w:start w:val="1"/>
      <w:numFmt w:val="bullet"/>
      <w:lvlText w:val="-"/>
      <w:lvlJc w:val="left"/>
      <w:pPr>
        <w:tabs>
          <w:tab w:val="num" w:pos="4320"/>
        </w:tabs>
        <w:ind w:left="4320" w:hanging="360"/>
      </w:pPr>
      <w:rPr>
        <w:rFonts w:ascii="Times New Roman" w:hAnsi="Times New Roman" w:hint="default"/>
      </w:rPr>
    </w:lvl>
    <w:lvl w:ilvl="6" w:tplc="E80CA074" w:tentative="1">
      <w:start w:val="1"/>
      <w:numFmt w:val="bullet"/>
      <w:lvlText w:val="-"/>
      <w:lvlJc w:val="left"/>
      <w:pPr>
        <w:tabs>
          <w:tab w:val="num" w:pos="5040"/>
        </w:tabs>
        <w:ind w:left="5040" w:hanging="360"/>
      </w:pPr>
      <w:rPr>
        <w:rFonts w:ascii="Times New Roman" w:hAnsi="Times New Roman" w:hint="default"/>
      </w:rPr>
    </w:lvl>
    <w:lvl w:ilvl="7" w:tplc="18E8E4DE" w:tentative="1">
      <w:start w:val="1"/>
      <w:numFmt w:val="bullet"/>
      <w:lvlText w:val="-"/>
      <w:lvlJc w:val="left"/>
      <w:pPr>
        <w:tabs>
          <w:tab w:val="num" w:pos="5760"/>
        </w:tabs>
        <w:ind w:left="5760" w:hanging="360"/>
      </w:pPr>
      <w:rPr>
        <w:rFonts w:ascii="Times New Roman" w:hAnsi="Times New Roman" w:hint="default"/>
      </w:rPr>
    </w:lvl>
    <w:lvl w:ilvl="8" w:tplc="C0D40A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DAE7EBD"/>
    <w:multiLevelType w:val="hybridMultilevel"/>
    <w:tmpl w:val="EA66019E"/>
    <w:lvl w:ilvl="0" w:tplc="58BA5C78">
      <w:start w:val="1"/>
      <w:numFmt w:val="bullet"/>
      <w:pStyle w:val="ListeEbene1"/>
      <w:lvlText w:val="–"/>
      <w:lvlJc w:val="left"/>
      <w:pPr>
        <w:ind w:left="1004" w:hanging="360"/>
      </w:pPr>
      <w:rPr>
        <w:rFonts w:ascii="Constantia" w:hAnsi="Constantia"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4" w15:restartNumberingAfterBreak="0">
    <w:nsid w:val="6E933AA0"/>
    <w:multiLevelType w:val="hybridMultilevel"/>
    <w:tmpl w:val="A190AFB4"/>
    <w:lvl w:ilvl="0" w:tplc="3636FE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7"/>
  </w:num>
  <w:num w:numId="6">
    <w:abstractNumId w:val="9"/>
  </w:num>
  <w:num w:numId="7">
    <w:abstractNumId w:val="4"/>
  </w:num>
  <w:num w:numId="8">
    <w:abstractNumId w:val="8"/>
  </w:num>
  <w:num w:numId="9">
    <w:abstractNumId w:val="11"/>
  </w:num>
  <w:num w:numId="10">
    <w:abstractNumId w:val="14"/>
  </w:num>
  <w:num w:numId="11">
    <w:abstractNumId w:val="6"/>
  </w:num>
  <w:num w:numId="12">
    <w:abstractNumId w:val="2"/>
  </w:num>
  <w:num w:numId="13">
    <w:abstractNumId w:val="1"/>
  </w:num>
  <w:num w:numId="14">
    <w:abstractNumId w:val="1"/>
  </w:num>
  <w:num w:numId="15">
    <w:abstractNumId w:val="1"/>
  </w:num>
  <w:num w:numId="16">
    <w:abstractNumId w:val="1"/>
  </w:num>
  <w:num w:numId="17">
    <w:abstractNumId w:val="7"/>
  </w:num>
  <w:num w:numId="18">
    <w:abstractNumId w:val="9"/>
  </w:num>
  <w:num w:numId="19">
    <w:abstractNumId w:val="8"/>
  </w:num>
  <w:num w:numId="20">
    <w:abstractNumId w:val="10"/>
  </w:num>
  <w:num w:numId="21">
    <w:abstractNumId w:val="1"/>
  </w:num>
  <w:num w:numId="22">
    <w:abstractNumId w:val="1"/>
  </w:num>
  <w:num w:numId="23">
    <w:abstractNumId w:val="1"/>
  </w:num>
  <w:num w:numId="24">
    <w:abstractNumId w:val="1"/>
  </w:num>
  <w:num w:numId="25">
    <w:abstractNumId w:val="1"/>
  </w:num>
  <w:num w:numId="26">
    <w:abstractNumId w:val="13"/>
  </w:num>
  <w:num w:numId="27">
    <w:abstractNumId w:val="5"/>
  </w:num>
  <w:num w:numId="28">
    <w:abstractNumId w:val="1"/>
    <w:lvlOverride w:ilvl="0">
      <w:lvl w:ilvl="0">
        <w:start w:val="1"/>
        <w:numFmt w:val="decimal"/>
        <w:pStyle w:val="berschrift1"/>
        <w:lvlText w:val="%1."/>
        <w:lvlJc w:val="left"/>
        <w:pPr>
          <w:ind w:left="360" w:hanging="360"/>
        </w:pPr>
        <w:rPr>
          <w:rFonts w:cs="Times New Roman"/>
        </w:rPr>
      </w:lvl>
    </w:lvlOverride>
    <w:lvlOverride w:ilvl="1">
      <w:lvl w:ilvl="1">
        <w:start w:val="1"/>
        <w:numFmt w:val="decimal"/>
        <w:pStyle w:val="berschrift2"/>
        <w:lvlText w:val="%1.%2. "/>
        <w:lvlJc w:val="left"/>
        <w:rPr>
          <w:rFonts w:cs="Times New Roman"/>
        </w:rPr>
      </w:lvl>
    </w:lvlOverride>
    <w:lvlOverride w:ilvl="2">
      <w:lvl w:ilvl="2">
        <w:start w:val="1"/>
        <w:numFmt w:val="decimal"/>
        <w:pStyle w:val="berschrift3"/>
        <w:lvlText w:val="%1.%2.%3. "/>
        <w:lvlJc w:val="left"/>
        <w:rPr>
          <w:rFonts w:cs="Times New Roman"/>
        </w:rPr>
      </w:lvl>
    </w:lvlOverride>
    <w:lvlOverride w:ilvl="3">
      <w:lvl w:ilvl="3">
        <w:start w:val="1"/>
        <w:numFmt w:val="decimal"/>
        <w:pStyle w:val="berschrift4"/>
        <w:lvlText w:val="%1.%2.%3.%4. "/>
        <w:lvlJc w:val="left"/>
        <w:rPr>
          <w:rFonts w:cs="Times New Roman"/>
        </w:rPr>
      </w:lvl>
    </w:lvlOverride>
    <w:lvlOverride w:ilvl="4">
      <w:lvl w:ilvl="4">
        <w:start w:val="1"/>
        <w:numFmt w:val="decimal"/>
        <w:pStyle w:val="berschrift5"/>
        <w:lvlText w:val="%1.%2.%3.%4.%5. "/>
        <w:lvlJc w:val="left"/>
        <w:rPr>
          <w:rFonts w:cs="Times New Roman"/>
        </w:rPr>
      </w:lvl>
    </w:lvlOverride>
    <w:lvlOverride w:ilvl="5">
      <w:lvl w:ilvl="5">
        <w:start w:val="1"/>
        <w:numFmt w:val="decimal"/>
        <w:pStyle w:val="berschrift6"/>
        <w:lvlText w:val="%1.%2.%3.%4.%5.%6. "/>
        <w:lvlJc w:val="left"/>
        <w:rPr>
          <w:rFonts w:cs="Times New Roman"/>
        </w:rPr>
      </w:lvl>
    </w:lvlOverride>
    <w:lvlOverride w:ilvl="6">
      <w:lvl w:ilvl="6">
        <w:start w:val="1"/>
        <w:numFmt w:val="decimal"/>
        <w:pStyle w:val="berschrift7"/>
        <w:lvlText w:val="%1.%2.%3.%4.%5.%6.%7. "/>
        <w:lvlJc w:val="left"/>
        <w:rPr>
          <w:rFonts w:cs="Times New Roman"/>
        </w:rPr>
      </w:lvl>
    </w:lvlOverride>
    <w:lvlOverride w:ilvl="7">
      <w:lvl w:ilvl="7">
        <w:start w:val="1"/>
        <w:numFmt w:val="none"/>
        <w:lvlText w:val="%8"/>
        <w:lvlJc w:val="left"/>
        <w:rPr>
          <w:rFonts w:cs="Times New Roman"/>
        </w:rPr>
      </w:lvl>
    </w:lvlOverride>
    <w:lvlOverride w:ilvl="8">
      <w:lvl w:ilvl="8">
        <w:start w:val="1"/>
        <w:numFmt w:val="none"/>
        <w:lvlText w:val="%9"/>
        <w:lvlJc w:val="left"/>
        <w:rPr>
          <w:rFonts w:cs="Times New Roman"/>
        </w:rPr>
      </w:lvl>
    </w:lvlOverride>
  </w:num>
  <w:num w:numId="29">
    <w:abstractNumId w:val="1"/>
    <w:lvlOverride w:ilvl="0">
      <w:startOverride w:val="1"/>
      <w:lvl w:ilvl="0">
        <w:start w:val="1"/>
        <w:numFmt w:val="decimal"/>
        <w:pStyle w:val="berschrift1"/>
        <w:lvlText w:val=""/>
        <w:lvlJc w:val="left"/>
      </w:lvl>
    </w:lvlOverride>
    <w:lvlOverride w:ilvl="1">
      <w:startOverride w:val="1"/>
      <w:lvl w:ilvl="1">
        <w:start w:val="1"/>
        <w:numFmt w:val="decimal"/>
        <w:pStyle w:val="berschrift2"/>
        <w:lvlText w:val="%1.%2. "/>
        <w:lvlJc w:val="left"/>
        <w:pPr>
          <w:ind w:left="0" w:firstLine="0"/>
        </w:pPr>
        <w:rPr>
          <w:rFonts w:cs="Times New Roman"/>
        </w:rPr>
      </w:lvl>
    </w:lvlOverride>
    <w:lvlOverride w:ilvl="2">
      <w:startOverride w:val="1"/>
      <w:lvl w:ilvl="2">
        <w:start w:val="1"/>
        <w:numFmt w:val="decimal"/>
        <w:pStyle w:val="berschrift3"/>
        <w:lvlText w:val=""/>
        <w:lvlJc w:val="left"/>
      </w:lvl>
    </w:lvlOverride>
    <w:lvlOverride w:ilvl="3">
      <w:startOverride w:val="1"/>
      <w:lvl w:ilvl="3">
        <w:start w:val="1"/>
        <w:numFmt w:val="decimal"/>
        <w:pStyle w:val="berschrift4"/>
        <w:lvlText w:val=""/>
        <w:lvlJc w:val="left"/>
      </w:lvl>
    </w:lvlOverride>
    <w:lvlOverride w:ilvl="4">
      <w:startOverride w:val="1"/>
      <w:lvl w:ilvl="4">
        <w:start w:val="1"/>
        <w:numFmt w:val="decimal"/>
        <w:pStyle w:val="berschrift5"/>
        <w:lvlText w:val=""/>
        <w:lvlJc w:val="left"/>
      </w:lvl>
    </w:lvlOverride>
    <w:lvlOverride w:ilvl="5">
      <w:startOverride w:val="1"/>
      <w:lvl w:ilvl="5">
        <w:start w:val="1"/>
        <w:numFmt w:val="decimal"/>
        <w:pStyle w:val="berschrift6"/>
        <w:lvlText w:val=""/>
        <w:lvlJc w:val="left"/>
      </w:lvl>
    </w:lvlOverride>
    <w:lvlOverride w:ilvl="6">
      <w:startOverride w:val="1"/>
      <w:lvl w:ilvl="6">
        <w:start w:val="1"/>
        <w:numFmt w:val="decimal"/>
        <w:pStyle w:val="berschrift7"/>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72B8A43-46C6-4B12-A932-5A7D4F6801E8}"/>
    <w:docVar w:name="dgnword-eventsink" w:val="17283680"/>
  </w:docVars>
  <w:rsids>
    <w:rsidRoot w:val="00BD3C99"/>
    <w:rsid w:val="000000D3"/>
    <w:rsid w:val="00000D9E"/>
    <w:rsid w:val="00002C2E"/>
    <w:rsid w:val="000052D6"/>
    <w:rsid w:val="00011168"/>
    <w:rsid w:val="000152DF"/>
    <w:rsid w:val="00017237"/>
    <w:rsid w:val="00017BBD"/>
    <w:rsid w:val="0002330A"/>
    <w:rsid w:val="0002343D"/>
    <w:rsid w:val="000244CC"/>
    <w:rsid w:val="00025428"/>
    <w:rsid w:val="000321F0"/>
    <w:rsid w:val="00032A1F"/>
    <w:rsid w:val="00036921"/>
    <w:rsid w:val="00036B8C"/>
    <w:rsid w:val="00040D6B"/>
    <w:rsid w:val="00047CD4"/>
    <w:rsid w:val="00053E0F"/>
    <w:rsid w:val="00066180"/>
    <w:rsid w:val="00066AF8"/>
    <w:rsid w:val="00070017"/>
    <w:rsid w:val="00072211"/>
    <w:rsid w:val="00073513"/>
    <w:rsid w:val="00074D9D"/>
    <w:rsid w:val="00084471"/>
    <w:rsid w:val="000850ED"/>
    <w:rsid w:val="00086FF0"/>
    <w:rsid w:val="00091B16"/>
    <w:rsid w:val="000A687A"/>
    <w:rsid w:val="000B2B93"/>
    <w:rsid w:val="000B3199"/>
    <w:rsid w:val="000B4134"/>
    <w:rsid w:val="000B620F"/>
    <w:rsid w:val="000C0CA3"/>
    <w:rsid w:val="000C1E79"/>
    <w:rsid w:val="000C3461"/>
    <w:rsid w:val="000C5936"/>
    <w:rsid w:val="000D362D"/>
    <w:rsid w:val="000D590B"/>
    <w:rsid w:val="000D6012"/>
    <w:rsid w:val="000E318E"/>
    <w:rsid w:val="000E5B2F"/>
    <w:rsid w:val="000E7F47"/>
    <w:rsid w:val="000F22CC"/>
    <w:rsid w:val="000F368D"/>
    <w:rsid w:val="000F5C78"/>
    <w:rsid w:val="000F5F99"/>
    <w:rsid w:val="000F6D47"/>
    <w:rsid w:val="000F72DE"/>
    <w:rsid w:val="000F7701"/>
    <w:rsid w:val="00103105"/>
    <w:rsid w:val="0010635B"/>
    <w:rsid w:val="00107107"/>
    <w:rsid w:val="00107413"/>
    <w:rsid w:val="00110C84"/>
    <w:rsid w:val="001143E4"/>
    <w:rsid w:val="001154E7"/>
    <w:rsid w:val="00115780"/>
    <w:rsid w:val="001315D0"/>
    <w:rsid w:val="001322AE"/>
    <w:rsid w:val="001427B7"/>
    <w:rsid w:val="00147924"/>
    <w:rsid w:val="00153AFE"/>
    <w:rsid w:val="00155CE4"/>
    <w:rsid w:val="00157AA0"/>
    <w:rsid w:val="00160BA4"/>
    <w:rsid w:val="001624E4"/>
    <w:rsid w:val="0016274E"/>
    <w:rsid w:val="00165CF8"/>
    <w:rsid w:val="00180E49"/>
    <w:rsid w:val="00183050"/>
    <w:rsid w:val="001834A4"/>
    <w:rsid w:val="00183586"/>
    <w:rsid w:val="0018429A"/>
    <w:rsid w:val="00186C39"/>
    <w:rsid w:val="001943C6"/>
    <w:rsid w:val="001A0798"/>
    <w:rsid w:val="001A4E4B"/>
    <w:rsid w:val="001A7E2F"/>
    <w:rsid w:val="001B3B5E"/>
    <w:rsid w:val="001C010D"/>
    <w:rsid w:val="001C0691"/>
    <w:rsid w:val="001C0877"/>
    <w:rsid w:val="001D1CE7"/>
    <w:rsid w:val="001D4BAF"/>
    <w:rsid w:val="001D7819"/>
    <w:rsid w:val="001E35E5"/>
    <w:rsid w:val="00201E7E"/>
    <w:rsid w:val="002111F3"/>
    <w:rsid w:val="00213453"/>
    <w:rsid w:val="00216EBF"/>
    <w:rsid w:val="002203F0"/>
    <w:rsid w:val="0022536F"/>
    <w:rsid w:val="00225EDF"/>
    <w:rsid w:val="002300CA"/>
    <w:rsid w:val="002307C8"/>
    <w:rsid w:val="00244A05"/>
    <w:rsid w:val="00250D81"/>
    <w:rsid w:val="00253AAB"/>
    <w:rsid w:val="00253FD5"/>
    <w:rsid w:val="002557F8"/>
    <w:rsid w:val="00255D28"/>
    <w:rsid w:val="00256C59"/>
    <w:rsid w:val="00261AAF"/>
    <w:rsid w:val="00263A87"/>
    <w:rsid w:val="0027013B"/>
    <w:rsid w:val="002745E0"/>
    <w:rsid w:val="00280D1C"/>
    <w:rsid w:val="00285875"/>
    <w:rsid w:val="002872A0"/>
    <w:rsid w:val="0029709D"/>
    <w:rsid w:val="002A0D7C"/>
    <w:rsid w:val="002A1E94"/>
    <w:rsid w:val="002B2723"/>
    <w:rsid w:val="002B7C56"/>
    <w:rsid w:val="002B7F00"/>
    <w:rsid w:val="002C0B2F"/>
    <w:rsid w:val="002C5693"/>
    <w:rsid w:val="002C671B"/>
    <w:rsid w:val="002C70EE"/>
    <w:rsid w:val="002D0B33"/>
    <w:rsid w:val="002D136E"/>
    <w:rsid w:val="002D35B5"/>
    <w:rsid w:val="002D4CF5"/>
    <w:rsid w:val="002D559E"/>
    <w:rsid w:val="002D6AB3"/>
    <w:rsid w:val="002E00F6"/>
    <w:rsid w:val="002E22C3"/>
    <w:rsid w:val="002E5525"/>
    <w:rsid w:val="002E74C7"/>
    <w:rsid w:val="002F318B"/>
    <w:rsid w:val="002F5E75"/>
    <w:rsid w:val="0030629E"/>
    <w:rsid w:val="003120CD"/>
    <w:rsid w:val="003149CF"/>
    <w:rsid w:val="00314BD9"/>
    <w:rsid w:val="00316761"/>
    <w:rsid w:val="003172D4"/>
    <w:rsid w:val="003179CD"/>
    <w:rsid w:val="00317B0C"/>
    <w:rsid w:val="00317B78"/>
    <w:rsid w:val="0032557B"/>
    <w:rsid w:val="0033022B"/>
    <w:rsid w:val="003356B0"/>
    <w:rsid w:val="003371AF"/>
    <w:rsid w:val="00340648"/>
    <w:rsid w:val="00341744"/>
    <w:rsid w:val="00357316"/>
    <w:rsid w:val="00362B20"/>
    <w:rsid w:val="00365438"/>
    <w:rsid w:val="00365A77"/>
    <w:rsid w:val="00371F1A"/>
    <w:rsid w:val="003844CB"/>
    <w:rsid w:val="00384E56"/>
    <w:rsid w:val="00392845"/>
    <w:rsid w:val="00397E3A"/>
    <w:rsid w:val="003A3FA1"/>
    <w:rsid w:val="003B1813"/>
    <w:rsid w:val="003B4181"/>
    <w:rsid w:val="003C3B6A"/>
    <w:rsid w:val="003C3F95"/>
    <w:rsid w:val="003C41D7"/>
    <w:rsid w:val="003C62B3"/>
    <w:rsid w:val="003D184B"/>
    <w:rsid w:val="003D4537"/>
    <w:rsid w:val="003E239F"/>
    <w:rsid w:val="003E3F43"/>
    <w:rsid w:val="003F4D99"/>
    <w:rsid w:val="003F5E83"/>
    <w:rsid w:val="003F6DFF"/>
    <w:rsid w:val="004007CE"/>
    <w:rsid w:val="004055E9"/>
    <w:rsid w:val="00406276"/>
    <w:rsid w:val="004074D2"/>
    <w:rsid w:val="00407622"/>
    <w:rsid w:val="00410209"/>
    <w:rsid w:val="0041579E"/>
    <w:rsid w:val="0041701B"/>
    <w:rsid w:val="0041704B"/>
    <w:rsid w:val="00417165"/>
    <w:rsid w:val="0042443F"/>
    <w:rsid w:val="00425643"/>
    <w:rsid w:val="0043093D"/>
    <w:rsid w:val="00433C96"/>
    <w:rsid w:val="00445A29"/>
    <w:rsid w:val="00445DA0"/>
    <w:rsid w:val="004620BA"/>
    <w:rsid w:val="00464922"/>
    <w:rsid w:val="0047567E"/>
    <w:rsid w:val="00476BA4"/>
    <w:rsid w:val="004904F1"/>
    <w:rsid w:val="00495B38"/>
    <w:rsid w:val="0049678E"/>
    <w:rsid w:val="0049777C"/>
    <w:rsid w:val="004A013B"/>
    <w:rsid w:val="004A3581"/>
    <w:rsid w:val="004B1052"/>
    <w:rsid w:val="004B42FC"/>
    <w:rsid w:val="004C1681"/>
    <w:rsid w:val="004C22D2"/>
    <w:rsid w:val="004C3B42"/>
    <w:rsid w:val="004C5441"/>
    <w:rsid w:val="004C5B5E"/>
    <w:rsid w:val="004C7992"/>
    <w:rsid w:val="004C7A02"/>
    <w:rsid w:val="004D0EE2"/>
    <w:rsid w:val="004D3B5E"/>
    <w:rsid w:val="004D79FB"/>
    <w:rsid w:val="004D7F1D"/>
    <w:rsid w:val="004E05B4"/>
    <w:rsid w:val="004E1326"/>
    <w:rsid w:val="004E4B49"/>
    <w:rsid w:val="004F35DB"/>
    <w:rsid w:val="004F4E38"/>
    <w:rsid w:val="0050107E"/>
    <w:rsid w:val="00501C13"/>
    <w:rsid w:val="00521B4D"/>
    <w:rsid w:val="00522B86"/>
    <w:rsid w:val="00525853"/>
    <w:rsid w:val="0054248D"/>
    <w:rsid w:val="00550798"/>
    <w:rsid w:val="00551C7E"/>
    <w:rsid w:val="00554855"/>
    <w:rsid w:val="00557E87"/>
    <w:rsid w:val="00561F7E"/>
    <w:rsid w:val="00563142"/>
    <w:rsid w:val="005652AC"/>
    <w:rsid w:val="00565A7B"/>
    <w:rsid w:val="0056612A"/>
    <w:rsid w:val="0057228C"/>
    <w:rsid w:val="00572729"/>
    <w:rsid w:val="00572B1B"/>
    <w:rsid w:val="0058359F"/>
    <w:rsid w:val="00596BC8"/>
    <w:rsid w:val="005B0A72"/>
    <w:rsid w:val="005B0A94"/>
    <w:rsid w:val="005B54DA"/>
    <w:rsid w:val="005C5AF9"/>
    <w:rsid w:val="005C6E9E"/>
    <w:rsid w:val="005D5A0F"/>
    <w:rsid w:val="005D6535"/>
    <w:rsid w:val="005D6770"/>
    <w:rsid w:val="005E2D27"/>
    <w:rsid w:val="005E4DC3"/>
    <w:rsid w:val="005E68CF"/>
    <w:rsid w:val="005E7A04"/>
    <w:rsid w:val="005F02B2"/>
    <w:rsid w:val="005F1F0D"/>
    <w:rsid w:val="005F63B9"/>
    <w:rsid w:val="00604229"/>
    <w:rsid w:val="00605EF0"/>
    <w:rsid w:val="00616CB0"/>
    <w:rsid w:val="00621C56"/>
    <w:rsid w:val="00623F24"/>
    <w:rsid w:val="00624A30"/>
    <w:rsid w:val="0063417E"/>
    <w:rsid w:val="006355B2"/>
    <w:rsid w:val="006400DC"/>
    <w:rsid w:val="00645557"/>
    <w:rsid w:val="00647F06"/>
    <w:rsid w:val="00656758"/>
    <w:rsid w:val="00661913"/>
    <w:rsid w:val="00665B2B"/>
    <w:rsid w:val="00666363"/>
    <w:rsid w:val="0066662D"/>
    <w:rsid w:val="00666E04"/>
    <w:rsid w:val="00667795"/>
    <w:rsid w:val="00667B96"/>
    <w:rsid w:val="00671187"/>
    <w:rsid w:val="006711CC"/>
    <w:rsid w:val="0067185C"/>
    <w:rsid w:val="006723D2"/>
    <w:rsid w:val="00672ADA"/>
    <w:rsid w:val="00682411"/>
    <w:rsid w:val="0068437A"/>
    <w:rsid w:val="00696591"/>
    <w:rsid w:val="006A2AA7"/>
    <w:rsid w:val="006A3A9D"/>
    <w:rsid w:val="006B10EF"/>
    <w:rsid w:val="006B388D"/>
    <w:rsid w:val="006B521A"/>
    <w:rsid w:val="006C0566"/>
    <w:rsid w:val="006C0921"/>
    <w:rsid w:val="006C211F"/>
    <w:rsid w:val="006C6342"/>
    <w:rsid w:val="006D3AA8"/>
    <w:rsid w:val="006D3B05"/>
    <w:rsid w:val="006D534A"/>
    <w:rsid w:val="006D56BF"/>
    <w:rsid w:val="006E2242"/>
    <w:rsid w:val="006E567B"/>
    <w:rsid w:val="006E59C1"/>
    <w:rsid w:val="006E7C19"/>
    <w:rsid w:val="006F2C5F"/>
    <w:rsid w:val="006F4072"/>
    <w:rsid w:val="006F68FF"/>
    <w:rsid w:val="007075BD"/>
    <w:rsid w:val="007119CC"/>
    <w:rsid w:val="0071397D"/>
    <w:rsid w:val="00715523"/>
    <w:rsid w:val="007164BB"/>
    <w:rsid w:val="00716AD3"/>
    <w:rsid w:val="00716D30"/>
    <w:rsid w:val="00724401"/>
    <w:rsid w:val="0072559F"/>
    <w:rsid w:val="00731E7C"/>
    <w:rsid w:val="00741780"/>
    <w:rsid w:val="00743F31"/>
    <w:rsid w:val="0074472D"/>
    <w:rsid w:val="00745476"/>
    <w:rsid w:val="007519B8"/>
    <w:rsid w:val="007525CD"/>
    <w:rsid w:val="00752760"/>
    <w:rsid w:val="007557D5"/>
    <w:rsid w:val="0076364D"/>
    <w:rsid w:val="00764D60"/>
    <w:rsid w:val="00767758"/>
    <w:rsid w:val="00770E57"/>
    <w:rsid w:val="00774FD9"/>
    <w:rsid w:val="007758F1"/>
    <w:rsid w:val="007814E5"/>
    <w:rsid w:val="00782083"/>
    <w:rsid w:val="00785DD0"/>
    <w:rsid w:val="007861C8"/>
    <w:rsid w:val="00786926"/>
    <w:rsid w:val="0079095A"/>
    <w:rsid w:val="00791270"/>
    <w:rsid w:val="00797070"/>
    <w:rsid w:val="00797A81"/>
    <w:rsid w:val="00797C04"/>
    <w:rsid w:val="007A6034"/>
    <w:rsid w:val="007B1ECE"/>
    <w:rsid w:val="007C159F"/>
    <w:rsid w:val="007C3461"/>
    <w:rsid w:val="007C363A"/>
    <w:rsid w:val="007C45EE"/>
    <w:rsid w:val="007D318A"/>
    <w:rsid w:val="007D54B4"/>
    <w:rsid w:val="007D59DC"/>
    <w:rsid w:val="007D5D83"/>
    <w:rsid w:val="007E3398"/>
    <w:rsid w:val="007E3EC9"/>
    <w:rsid w:val="007E4050"/>
    <w:rsid w:val="007E71A6"/>
    <w:rsid w:val="007F00C3"/>
    <w:rsid w:val="00800385"/>
    <w:rsid w:val="00801947"/>
    <w:rsid w:val="00801D74"/>
    <w:rsid w:val="0080378E"/>
    <w:rsid w:val="00805065"/>
    <w:rsid w:val="00810128"/>
    <w:rsid w:val="00812E03"/>
    <w:rsid w:val="0082370C"/>
    <w:rsid w:val="00826311"/>
    <w:rsid w:val="00826BA1"/>
    <w:rsid w:val="00831F5E"/>
    <w:rsid w:val="00833C49"/>
    <w:rsid w:val="00834E59"/>
    <w:rsid w:val="0083717E"/>
    <w:rsid w:val="0084549A"/>
    <w:rsid w:val="00851D35"/>
    <w:rsid w:val="00856338"/>
    <w:rsid w:val="008609A5"/>
    <w:rsid w:val="00862096"/>
    <w:rsid w:val="008623CF"/>
    <w:rsid w:val="00876D12"/>
    <w:rsid w:val="00880BC7"/>
    <w:rsid w:val="00881724"/>
    <w:rsid w:val="00882F17"/>
    <w:rsid w:val="00882F37"/>
    <w:rsid w:val="0088456F"/>
    <w:rsid w:val="0089204B"/>
    <w:rsid w:val="008A3056"/>
    <w:rsid w:val="008A3235"/>
    <w:rsid w:val="008A4590"/>
    <w:rsid w:val="008A527A"/>
    <w:rsid w:val="008B07F7"/>
    <w:rsid w:val="008B08A9"/>
    <w:rsid w:val="008B3AF0"/>
    <w:rsid w:val="008B7910"/>
    <w:rsid w:val="008C08C1"/>
    <w:rsid w:val="008C21F2"/>
    <w:rsid w:val="008C76A8"/>
    <w:rsid w:val="008D2787"/>
    <w:rsid w:val="008D3407"/>
    <w:rsid w:val="008D549B"/>
    <w:rsid w:val="008D6591"/>
    <w:rsid w:val="008E1EB5"/>
    <w:rsid w:val="008E3B68"/>
    <w:rsid w:val="008E5915"/>
    <w:rsid w:val="008E6F93"/>
    <w:rsid w:val="008F0993"/>
    <w:rsid w:val="008F4FD3"/>
    <w:rsid w:val="008F5B73"/>
    <w:rsid w:val="00903C18"/>
    <w:rsid w:val="00903F75"/>
    <w:rsid w:val="00907784"/>
    <w:rsid w:val="00916074"/>
    <w:rsid w:val="009227AD"/>
    <w:rsid w:val="00922A49"/>
    <w:rsid w:val="00926ED4"/>
    <w:rsid w:val="009310BF"/>
    <w:rsid w:val="00932CB8"/>
    <w:rsid w:val="00933C69"/>
    <w:rsid w:val="0093429F"/>
    <w:rsid w:val="00935E12"/>
    <w:rsid w:val="00942EA6"/>
    <w:rsid w:val="0094618D"/>
    <w:rsid w:val="00946545"/>
    <w:rsid w:val="0095492A"/>
    <w:rsid w:val="00962F48"/>
    <w:rsid w:val="0096312C"/>
    <w:rsid w:val="00966806"/>
    <w:rsid w:val="0096726C"/>
    <w:rsid w:val="00970324"/>
    <w:rsid w:val="00970E51"/>
    <w:rsid w:val="0097472C"/>
    <w:rsid w:val="00976494"/>
    <w:rsid w:val="00981FDC"/>
    <w:rsid w:val="009836D0"/>
    <w:rsid w:val="00983F18"/>
    <w:rsid w:val="00987ECB"/>
    <w:rsid w:val="00990285"/>
    <w:rsid w:val="00994753"/>
    <w:rsid w:val="00994E5D"/>
    <w:rsid w:val="00996A07"/>
    <w:rsid w:val="009A03D8"/>
    <w:rsid w:val="009A1BFC"/>
    <w:rsid w:val="009A4849"/>
    <w:rsid w:val="009A4EE8"/>
    <w:rsid w:val="009B29F0"/>
    <w:rsid w:val="009B497C"/>
    <w:rsid w:val="009C0F29"/>
    <w:rsid w:val="009D1D06"/>
    <w:rsid w:val="009D3AAB"/>
    <w:rsid w:val="009D4C01"/>
    <w:rsid w:val="009D67EC"/>
    <w:rsid w:val="009E0463"/>
    <w:rsid w:val="009E44ED"/>
    <w:rsid w:val="009E6F4B"/>
    <w:rsid w:val="009F2A97"/>
    <w:rsid w:val="009F461B"/>
    <w:rsid w:val="009F5F70"/>
    <w:rsid w:val="009F7AC8"/>
    <w:rsid w:val="009F7FA3"/>
    <w:rsid w:val="00A13670"/>
    <w:rsid w:val="00A1572A"/>
    <w:rsid w:val="00A15AD6"/>
    <w:rsid w:val="00A220CC"/>
    <w:rsid w:val="00A23051"/>
    <w:rsid w:val="00A24D93"/>
    <w:rsid w:val="00A24FE0"/>
    <w:rsid w:val="00A30184"/>
    <w:rsid w:val="00A30E00"/>
    <w:rsid w:val="00A31730"/>
    <w:rsid w:val="00A31BDA"/>
    <w:rsid w:val="00A35879"/>
    <w:rsid w:val="00A418EA"/>
    <w:rsid w:val="00A42E2E"/>
    <w:rsid w:val="00A43342"/>
    <w:rsid w:val="00A44ECC"/>
    <w:rsid w:val="00A461CF"/>
    <w:rsid w:val="00A51421"/>
    <w:rsid w:val="00A541FD"/>
    <w:rsid w:val="00A55087"/>
    <w:rsid w:val="00A57F2C"/>
    <w:rsid w:val="00A62E76"/>
    <w:rsid w:val="00A67867"/>
    <w:rsid w:val="00A85741"/>
    <w:rsid w:val="00A90851"/>
    <w:rsid w:val="00A94EF8"/>
    <w:rsid w:val="00A96875"/>
    <w:rsid w:val="00A96D49"/>
    <w:rsid w:val="00AB32C7"/>
    <w:rsid w:val="00AB3C14"/>
    <w:rsid w:val="00AC11B9"/>
    <w:rsid w:val="00AC6D8B"/>
    <w:rsid w:val="00AD42A6"/>
    <w:rsid w:val="00AD5B1C"/>
    <w:rsid w:val="00AD6B2D"/>
    <w:rsid w:val="00AD7653"/>
    <w:rsid w:val="00AE1314"/>
    <w:rsid w:val="00AE30FE"/>
    <w:rsid w:val="00AE4A40"/>
    <w:rsid w:val="00AF0D6F"/>
    <w:rsid w:val="00AF1AFE"/>
    <w:rsid w:val="00AF6679"/>
    <w:rsid w:val="00AF7324"/>
    <w:rsid w:val="00B0542A"/>
    <w:rsid w:val="00B05D49"/>
    <w:rsid w:val="00B1192F"/>
    <w:rsid w:val="00B12BF6"/>
    <w:rsid w:val="00B173F5"/>
    <w:rsid w:val="00B207C4"/>
    <w:rsid w:val="00B218DE"/>
    <w:rsid w:val="00B3091D"/>
    <w:rsid w:val="00B4116B"/>
    <w:rsid w:val="00B412AF"/>
    <w:rsid w:val="00B41631"/>
    <w:rsid w:val="00B46A3D"/>
    <w:rsid w:val="00B5795B"/>
    <w:rsid w:val="00B60BB1"/>
    <w:rsid w:val="00B618F0"/>
    <w:rsid w:val="00B64A11"/>
    <w:rsid w:val="00B65ABF"/>
    <w:rsid w:val="00B705F6"/>
    <w:rsid w:val="00B82A69"/>
    <w:rsid w:val="00B86863"/>
    <w:rsid w:val="00B87CEF"/>
    <w:rsid w:val="00B976ED"/>
    <w:rsid w:val="00BA0C52"/>
    <w:rsid w:val="00BA421F"/>
    <w:rsid w:val="00BA4F41"/>
    <w:rsid w:val="00BA5DE1"/>
    <w:rsid w:val="00BB1CE6"/>
    <w:rsid w:val="00BC12AF"/>
    <w:rsid w:val="00BC5EC1"/>
    <w:rsid w:val="00BC7081"/>
    <w:rsid w:val="00BD263B"/>
    <w:rsid w:val="00BD3C99"/>
    <w:rsid w:val="00BE753D"/>
    <w:rsid w:val="00BF099B"/>
    <w:rsid w:val="00BF57EC"/>
    <w:rsid w:val="00C00896"/>
    <w:rsid w:val="00C017BC"/>
    <w:rsid w:val="00C017D5"/>
    <w:rsid w:val="00C030B6"/>
    <w:rsid w:val="00C045C0"/>
    <w:rsid w:val="00C05402"/>
    <w:rsid w:val="00C10909"/>
    <w:rsid w:val="00C138B9"/>
    <w:rsid w:val="00C14010"/>
    <w:rsid w:val="00C1460A"/>
    <w:rsid w:val="00C17014"/>
    <w:rsid w:val="00C21CC7"/>
    <w:rsid w:val="00C3697A"/>
    <w:rsid w:val="00C45D7B"/>
    <w:rsid w:val="00C463E2"/>
    <w:rsid w:val="00C469BC"/>
    <w:rsid w:val="00C504E3"/>
    <w:rsid w:val="00C5388E"/>
    <w:rsid w:val="00C57A88"/>
    <w:rsid w:val="00C60006"/>
    <w:rsid w:val="00C6000F"/>
    <w:rsid w:val="00C6136D"/>
    <w:rsid w:val="00C63CD4"/>
    <w:rsid w:val="00C65A39"/>
    <w:rsid w:val="00C704A9"/>
    <w:rsid w:val="00C76374"/>
    <w:rsid w:val="00C81A6C"/>
    <w:rsid w:val="00C86F2D"/>
    <w:rsid w:val="00C95FA6"/>
    <w:rsid w:val="00C96380"/>
    <w:rsid w:val="00C96596"/>
    <w:rsid w:val="00CA12FA"/>
    <w:rsid w:val="00CA359D"/>
    <w:rsid w:val="00CA411D"/>
    <w:rsid w:val="00CA42FA"/>
    <w:rsid w:val="00CB3732"/>
    <w:rsid w:val="00CB745C"/>
    <w:rsid w:val="00CC38C8"/>
    <w:rsid w:val="00CC49E3"/>
    <w:rsid w:val="00CD4930"/>
    <w:rsid w:val="00CD7D9E"/>
    <w:rsid w:val="00CE0EED"/>
    <w:rsid w:val="00CF0B0D"/>
    <w:rsid w:val="00D01BCA"/>
    <w:rsid w:val="00D07E5D"/>
    <w:rsid w:val="00D15953"/>
    <w:rsid w:val="00D16404"/>
    <w:rsid w:val="00D20A25"/>
    <w:rsid w:val="00D238B5"/>
    <w:rsid w:val="00D23A93"/>
    <w:rsid w:val="00D253EB"/>
    <w:rsid w:val="00D27898"/>
    <w:rsid w:val="00D31BCE"/>
    <w:rsid w:val="00D31D2F"/>
    <w:rsid w:val="00D32897"/>
    <w:rsid w:val="00D32EED"/>
    <w:rsid w:val="00D36D8B"/>
    <w:rsid w:val="00D4128D"/>
    <w:rsid w:val="00D459A7"/>
    <w:rsid w:val="00D467D4"/>
    <w:rsid w:val="00D47338"/>
    <w:rsid w:val="00D50949"/>
    <w:rsid w:val="00D53737"/>
    <w:rsid w:val="00D550D9"/>
    <w:rsid w:val="00D571DE"/>
    <w:rsid w:val="00D57242"/>
    <w:rsid w:val="00D60724"/>
    <w:rsid w:val="00D65799"/>
    <w:rsid w:val="00D66E45"/>
    <w:rsid w:val="00D71C20"/>
    <w:rsid w:val="00D726C5"/>
    <w:rsid w:val="00D7545C"/>
    <w:rsid w:val="00D9000D"/>
    <w:rsid w:val="00D91EB6"/>
    <w:rsid w:val="00DA09A9"/>
    <w:rsid w:val="00DA2D67"/>
    <w:rsid w:val="00DA5B89"/>
    <w:rsid w:val="00DC0A4B"/>
    <w:rsid w:val="00DC12D6"/>
    <w:rsid w:val="00DC1AFE"/>
    <w:rsid w:val="00DC2345"/>
    <w:rsid w:val="00DC5DE7"/>
    <w:rsid w:val="00DC6678"/>
    <w:rsid w:val="00DD0940"/>
    <w:rsid w:val="00DD206B"/>
    <w:rsid w:val="00DD2578"/>
    <w:rsid w:val="00DD78C5"/>
    <w:rsid w:val="00DE0539"/>
    <w:rsid w:val="00DE4A0A"/>
    <w:rsid w:val="00DE6427"/>
    <w:rsid w:val="00DF0F5F"/>
    <w:rsid w:val="00DF147F"/>
    <w:rsid w:val="00DF14AE"/>
    <w:rsid w:val="00DF43CB"/>
    <w:rsid w:val="00E032F7"/>
    <w:rsid w:val="00E12B9A"/>
    <w:rsid w:val="00E13009"/>
    <w:rsid w:val="00E17746"/>
    <w:rsid w:val="00E21183"/>
    <w:rsid w:val="00E219EE"/>
    <w:rsid w:val="00E22535"/>
    <w:rsid w:val="00E24946"/>
    <w:rsid w:val="00E2573B"/>
    <w:rsid w:val="00E2618C"/>
    <w:rsid w:val="00E328B1"/>
    <w:rsid w:val="00E34B67"/>
    <w:rsid w:val="00E4183A"/>
    <w:rsid w:val="00E43186"/>
    <w:rsid w:val="00E4329A"/>
    <w:rsid w:val="00E45667"/>
    <w:rsid w:val="00E5159E"/>
    <w:rsid w:val="00E54820"/>
    <w:rsid w:val="00E54C62"/>
    <w:rsid w:val="00E6247D"/>
    <w:rsid w:val="00E633A2"/>
    <w:rsid w:val="00E638FA"/>
    <w:rsid w:val="00E63A71"/>
    <w:rsid w:val="00E6468B"/>
    <w:rsid w:val="00E66395"/>
    <w:rsid w:val="00E72942"/>
    <w:rsid w:val="00E72BE4"/>
    <w:rsid w:val="00E770DD"/>
    <w:rsid w:val="00E779F9"/>
    <w:rsid w:val="00E8166A"/>
    <w:rsid w:val="00E81F57"/>
    <w:rsid w:val="00E858EC"/>
    <w:rsid w:val="00E8701B"/>
    <w:rsid w:val="00E90AAE"/>
    <w:rsid w:val="00E913A6"/>
    <w:rsid w:val="00E929B1"/>
    <w:rsid w:val="00E92BF9"/>
    <w:rsid w:val="00E93587"/>
    <w:rsid w:val="00E94F6B"/>
    <w:rsid w:val="00E9534E"/>
    <w:rsid w:val="00EA1EF1"/>
    <w:rsid w:val="00EA41DE"/>
    <w:rsid w:val="00EA5BCF"/>
    <w:rsid w:val="00EB44B0"/>
    <w:rsid w:val="00EB703B"/>
    <w:rsid w:val="00EC1654"/>
    <w:rsid w:val="00EC1F6A"/>
    <w:rsid w:val="00EC5704"/>
    <w:rsid w:val="00EC7D14"/>
    <w:rsid w:val="00ED2BDF"/>
    <w:rsid w:val="00ED2C6F"/>
    <w:rsid w:val="00ED2FCD"/>
    <w:rsid w:val="00ED6D87"/>
    <w:rsid w:val="00EE23CE"/>
    <w:rsid w:val="00EE3D87"/>
    <w:rsid w:val="00EE422A"/>
    <w:rsid w:val="00EE4451"/>
    <w:rsid w:val="00EF0D48"/>
    <w:rsid w:val="00EF5B2E"/>
    <w:rsid w:val="00EF7A29"/>
    <w:rsid w:val="00F152F4"/>
    <w:rsid w:val="00F24F05"/>
    <w:rsid w:val="00F25B0C"/>
    <w:rsid w:val="00F31DDB"/>
    <w:rsid w:val="00F32610"/>
    <w:rsid w:val="00F334F0"/>
    <w:rsid w:val="00F34477"/>
    <w:rsid w:val="00F3639C"/>
    <w:rsid w:val="00F37567"/>
    <w:rsid w:val="00F420E9"/>
    <w:rsid w:val="00F424ED"/>
    <w:rsid w:val="00F50112"/>
    <w:rsid w:val="00F50368"/>
    <w:rsid w:val="00F50F33"/>
    <w:rsid w:val="00F52258"/>
    <w:rsid w:val="00F52FD4"/>
    <w:rsid w:val="00F5428E"/>
    <w:rsid w:val="00F54685"/>
    <w:rsid w:val="00F568C3"/>
    <w:rsid w:val="00F612E8"/>
    <w:rsid w:val="00F63EEA"/>
    <w:rsid w:val="00F66802"/>
    <w:rsid w:val="00F71D9B"/>
    <w:rsid w:val="00F73876"/>
    <w:rsid w:val="00F870C4"/>
    <w:rsid w:val="00F90213"/>
    <w:rsid w:val="00F90810"/>
    <w:rsid w:val="00F91C71"/>
    <w:rsid w:val="00F93C49"/>
    <w:rsid w:val="00FA405F"/>
    <w:rsid w:val="00FA5FA3"/>
    <w:rsid w:val="00FB3BCC"/>
    <w:rsid w:val="00FB48AD"/>
    <w:rsid w:val="00FC05D0"/>
    <w:rsid w:val="00FC2E79"/>
    <w:rsid w:val="00FC355C"/>
    <w:rsid w:val="00FC3C10"/>
    <w:rsid w:val="00FC5ED9"/>
    <w:rsid w:val="00FD36E8"/>
    <w:rsid w:val="00FD69F6"/>
    <w:rsid w:val="00FE180C"/>
    <w:rsid w:val="00FE1F8D"/>
    <w:rsid w:val="00FE33FC"/>
    <w:rsid w:val="00FE47EC"/>
    <w:rsid w:val="00FE5F33"/>
    <w:rsid w:val="00FF2D0F"/>
    <w:rsid w:val="00FF7D1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84ACF"/>
  <w14:defaultImageDpi w14:val="0"/>
  <w15:docId w15:val="{9CCD538B-07AF-478A-AD67-05C74AD2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E567B"/>
    <w:pPr>
      <w:autoSpaceDE w:val="0"/>
      <w:autoSpaceDN w:val="0"/>
      <w:spacing w:after="80" w:line="300" w:lineRule="exact"/>
      <w:jc w:val="both"/>
      <w:textAlignment w:val="baseline"/>
    </w:pPr>
    <w:rPr>
      <w:sz w:val="22"/>
      <w:szCs w:val="22"/>
      <w:lang w:val="de-AT" w:eastAsia="de-DE"/>
    </w:rPr>
  </w:style>
  <w:style w:type="paragraph" w:styleId="berschrift1">
    <w:name w:val="heading 1"/>
    <w:basedOn w:val="Standard"/>
    <w:next w:val="Standard"/>
    <w:link w:val="berschrift1Zchn"/>
    <w:autoRedefine/>
    <w:qFormat/>
    <w:rsid w:val="00C704A9"/>
    <w:pPr>
      <w:keepNext/>
      <w:numPr>
        <w:numId w:val="28"/>
      </w:numPr>
      <w:spacing w:before="200" w:after="100"/>
      <w:textAlignment w:val="auto"/>
      <w:outlineLvl w:val="0"/>
    </w:pPr>
    <w:rPr>
      <w:b/>
      <w:bCs/>
      <w:kern w:val="36"/>
      <w:sz w:val="24"/>
      <w:szCs w:val="48"/>
      <w:lang w:eastAsia="cs-CZ"/>
    </w:rPr>
  </w:style>
  <w:style w:type="paragraph" w:styleId="berschrift2">
    <w:name w:val="heading 2"/>
    <w:basedOn w:val="Standard"/>
    <w:next w:val="Standard"/>
    <w:link w:val="berschrift2Zchn"/>
    <w:qFormat/>
    <w:rsid w:val="006E567B"/>
    <w:pPr>
      <w:keepNext/>
      <w:keepLines/>
      <w:numPr>
        <w:ilvl w:val="1"/>
        <w:numId w:val="15"/>
      </w:numPr>
      <w:spacing w:before="200" w:after="100"/>
      <w:ind w:left="567" w:hanging="567"/>
      <w:outlineLvl w:val="1"/>
    </w:pPr>
    <w:rPr>
      <w:b/>
      <w:bCs/>
      <w:sz w:val="24"/>
      <w:szCs w:val="26"/>
    </w:rPr>
  </w:style>
  <w:style w:type="paragraph" w:styleId="berschrift3">
    <w:name w:val="heading 3"/>
    <w:basedOn w:val="Standard"/>
    <w:next w:val="Standard"/>
    <w:link w:val="berschrift3Zchn"/>
    <w:uiPriority w:val="9"/>
    <w:qFormat/>
    <w:rsid w:val="00647F06"/>
    <w:pPr>
      <w:keepNext/>
      <w:numPr>
        <w:ilvl w:val="2"/>
        <w:numId w:val="15"/>
      </w:numPr>
      <w:spacing w:before="200" w:after="100"/>
      <w:ind w:left="567" w:hanging="567"/>
      <w:outlineLvl w:val="2"/>
    </w:pPr>
    <w:rPr>
      <w:rFonts w:cs="Arial"/>
      <w:b/>
      <w:bCs/>
      <w:sz w:val="24"/>
      <w:szCs w:val="26"/>
    </w:rPr>
  </w:style>
  <w:style w:type="paragraph" w:styleId="berschrift4">
    <w:name w:val="heading 4"/>
    <w:basedOn w:val="Standard"/>
    <w:next w:val="Standard"/>
    <w:link w:val="berschrift4Zchn"/>
    <w:uiPriority w:val="9"/>
    <w:qFormat/>
    <w:rsid w:val="002111F3"/>
    <w:pPr>
      <w:keepNext/>
      <w:numPr>
        <w:ilvl w:val="3"/>
        <w:numId w:val="15"/>
      </w:numPr>
      <w:spacing w:before="200" w:after="100"/>
      <w:ind w:left="1418" w:hanging="1418"/>
      <w:outlineLvl w:val="3"/>
    </w:pPr>
    <w:rPr>
      <w:bCs/>
      <w:szCs w:val="28"/>
    </w:rPr>
  </w:style>
  <w:style w:type="paragraph" w:styleId="berschrift5">
    <w:name w:val="heading 5"/>
    <w:basedOn w:val="Standard"/>
    <w:next w:val="Standard"/>
    <w:link w:val="berschrift5Zchn"/>
    <w:uiPriority w:val="9"/>
    <w:qFormat/>
    <w:rsid w:val="002111F3"/>
    <w:pPr>
      <w:keepNext/>
      <w:numPr>
        <w:ilvl w:val="4"/>
        <w:numId w:val="15"/>
      </w:numPr>
      <w:spacing w:before="200" w:after="100"/>
      <w:ind w:left="1418" w:hanging="1418"/>
      <w:outlineLvl w:val="4"/>
    </w:pPr>
    <w:rPr>
      <w:bCs/>
      <w:iCs/>
      <w:szCs w:val="26"/>
    </w:rPr>
  </w:style>
  <w:style w:type="paragraph" w:styleId="berschrift6">
    <w:name w:val="heading 6"/>
    <w:basedOn w:val="Standard"/>
    <w:next w:val="Standard"/>
    <w:link w:val="berschrift6Zchn"/>
    <w:uiPriority w:val="9"/>
    <w:qFormat/>
    <w:rsid w:val="00BD3C99"/>
    <w:pPr>
      <w:numPr>
        <w:ilvl w:val="5"/>
        <w:numId w:val="15"/>
      </w:numPr>
      <w:spacing w:before="240" w:after="60"/>
      <w:outlineLvl w:val="5"/>
    </w:pPr>
    <w:rPr>
      <w:b/>
      <w:bCs/>
    </w:rPr>
  </w:style>
  <w:style w:type="paragraph" w:styleId="berschrift7">
    <w:name w:val="heading 7"/>
    <w:basedOn w:val="Standard"/>
    <w:next w:val="Standard"/>
    <w:link w:val="berschrift7Zchn"/>
    <w:uiPriority w:val="9"/>
    <w:qFormat/>
    <w:rsid w:val="00BD3C99"/>
    <w:pPr>
      <w:numPr>
        <w:ilvl w:val="6"/>
        <w:numId w:val="15"/>
      </w:numPr>
      <w:spacing w:before="240" w:after="60"/>
      <w:outlineLvl w:val="6"/>
    </w:pPr>
    <w:rPr>
      <w:b/>
      <w:szCs w:val="24"/>
    </w:rPr>
  </w:style>
  <w:style w:type="paragraph" w:styleId="berschrift8">
    <w:name w:val="heading 8"/>
    <w:basedOn w:val="Standard"/>
    <w:next w:val="Standard"/>
    <w:link w:val="berschrift8Zchn"/>
    <w:uiPriority w:val="9"/>
    <w:rsid w:val="00BD3C99"/>
    <w:pPr>
      <w:spacing w:before="240" w:after="60"/>
      <w:outlineLvl w:val="7"/>
    </w:pPr>
    <w:rPr>
      <w:b/>
      <w:iCs/>
      <w:szCs w:val="24"/>
    </w:rPr>
  </w:style>
  <w:style w:type="paragraph" w:styleId="berschrift9">
    <w:name w:val="heading 9"/>
    <w:basedOn w:val="Standard"/>
    <w:next w:val="Standard"/>
    <w:link w:val="berschrift9Zchn"/>
    <w:uiPriority w:val="9"/>
    <w:rsid w:val="00BD3C99"/>
    <w:p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C704A9"/>
    <w:rPr>
      <w:b/>
      <w:bCs/>
      <w:kern w:val="36"/>
      <w:sz w:val="24"/>
      <w:szCs w:val="48"/>
      <w:lang w:val="de-AT" w:eastAsia="cs-CZ"/>
    </w:rPr>
  </w:style>
  <w:style w:type="character" w:customStyle="1" w:styleId="berschrift2Zchn">
    <w:name w:val="Überschrift 2 Zchn"/>
    <w:link w:val="berschrift2"/>
    <w:locked/>
    <w:rsid w:val="006E567B"/>
    <w:rPr>
      <w:b/>
      <w:bCs/>
      <w:sz w:val="24"/>
      <w:szCs w:val="26"/>
      <w:lang w:val="de-AT" w:eastAsia="de-DE"/>
    </w:rPr>
  </w:style>
  <w:style w:type="character" w:customStyle="1" w:styleId="berschrift3Zchn">
    <w:name w:val="Überschrift 3 Zchn"/>
    <w:link w:val="berschrift3"/>
    <w:uiPriority w:val="9"/>
    <w:locked/>
    <w:rsid w:val="00647F06"/>
    <w:rPr>
      <w:rFonts w:cs="Arial"/>
      <w:b/>
      <w:bCs/>
      <w:sz w:val="24"/>
      <w:szCs w:val="26"/>
      <w:lang w:val="de-AT" w:eastAsia="de-DE"/>
    </w:rPr>
  </w:style>
  <w:style w:type="character" w:customStyle="1" w:styleId="berschrift4Zchn">
    <w:name w:val="Überschrift 4 Zchn"/>
    <w:link w:val="berschrift4"/>
    <w:uiPriority w:val="9"/>
    <w:locked/>
    <w:rsid w:val="002111F3"/>
    <w:rPr>
      <w:bCs/>
      <w:sz w:val="22"/>
      <w:szCs w:val="28"/>
      <w:lang w:val="de-AT" w:eastAsia="de-DE"/>
    </w:rPr>
  </w:style>
  <w:style w:type="character" w:customStyle="1" w:styleId="berschrift5Zchn">
    <w:name w:val="Überschrift 5 Zchn"/>
    <w:link w:val="berschrift5"/>
    <w:uiPriority w:val="9"/>
    <w:locked/>
    <w:rsid w:val="002111F3"/>
    <w:rPr>
      <w:bCs/>
      <w:iCs/>
      <w:sz w:val="22"/>
      <w:szCs w:val="26"/>
      <w:lang w:val="de-AT" w:eastAsia="de-DE"/>
    </w:rPr>
  </w:style>
  <w:style w:type="character" w:customStyle="1" w:styleId="berschrift6Zchn">
    <w:name w:val="Überschrift 6 Zchn"/>
    <w:link w:val="berschrift6"/>
    <w:uiPriority w:val="9"/>
    <w:locked/>
    <w:rPr>
      <w:rFonts w:cs="Times New Roman"/>
      <w:b/>
      <w:bCs/>
      <w:sz w:val="22"/>
      <w:szCs w:val="22"/>
      <w:lang w:val="de-DE" w:eastAsia="de-DE"/>
    </w:rPr>
  </w:style>
  <w:style w:type="character" w:customStyle="1" w:styleId="berschrift7Zchn">
    <w:name w:val="Überschrift 7 Zchn"/>
    <w:link w:val="berschrift7"/>
    <w:uiPriority w:val="9"/>
    <w:locked/>
    <w:rPr>
      <w:rFonts w:cs="Times New Roman"/>
      <w:b/>
      <w:sz w:val="24"/>
      <w:szCs w:val="24"/>
      <w:lang w:val="de-DE" w:eastAsia="de-DE"/>
    </w:rPr>
  </w:style>
  <w:style w:type="character" w:customStyle="1" w:styleId="berschrift8Zchn">
    <w:name w:val="Überschrift 8 Zchn"/>
    <w:link w:val="berschrift8"/>
    <w:uiPriority w:val="9"/>
    <w:semiHidden/>
    <w:locked/>
    <w:rPr>
      <w:rFonts w:ascii="Calibri" w:eastAsia="Times New Roman" w:hAnsi="Calibri" w:cs="Times New Roman"/>
      <w:i/>
      <w:iCs/>
      <w:sz w:val="24"/>
      <w:szCs w:val="24"/>
      <w:lang w:val="de-DE" w:eastAsia="de-DE"/>
    </w:rPr>
  </w:style>
  <w:style w:type="character" w:customStyle="1" w:styleId="berschrift9Zchn">
    <w:name w:val="Überschrift 9 Zchn"/>
    <w:link w:val="berschrift9"/>
    <w:uiPriority w:val="9"/>
    <w:semiHidden/>
    <w:locked/>
    <w:rPr>
      <w:rFonts w:ascii="Cambria" w:eastAsia="Times New Roman" w:hAnsi="Cambria" w:cs="Times New Roman"/>
      <w:sz w:val="22"/>
      <w:szCs w:val="22"/>
      <w:lang w:val="de-DE" w:eastAsia="de-DE"/>
    </w:rPr>
  </w:style>
  <w:style w:type="paragraph" w:styleId="Funotentext">
    <w:name w:val="footnote text"/>
    <w:basedOn w:val="Standard"/>
    <w:link w:val="FunotentextZchn"/>
    <w:qFormat/>
    <w:rsid w:val="005E7A04"/>
    <w:pPr>
      <w:spacing w:after="0" w:line="240" w:lineRule="auto"/>
      <w:ind w:left="284" w:hanging="284"/>
      <w:jc w:val="left"/>
    </w:pPr>
    <w:rPr>
      <w:sz w:val="20"/>
    </w:rPr>
  </w:style>
  <w:style w:type="character" w:customStyle="1" w:styleId="FunotentextZchn">
    <w:name w:val="Fußnotentext Zchn"/>
    <w:link w:val="Funotentext"/>
    <w:locked/>
    <w:rsid w:val="005E7A04"/>
    <w:rPr>
      <w:szCs w:val="22"/>
      <w:lang w:val="de-AT" w:eastAsia="de-DE"/>
    </w:rPr>
  </w:style>
  <w:style w:type="paragraph" w:customStyle="1" w:styleId="LiteraturVz">
    <w:name w:val="LiteraturVz"/>
    <w:basedOn w:val="Standard"/>
    <w:rsid w:val="00BD3C99"/>
  </w:style>
  <w:style w:type="paragraph" w:customStyle="1" w:styleId="Hinweise">
    <w:name w:val="Hinweise"/>
    <w:basedOn w:val="Standard"/>
    <w:rsid w:val="00BD3C99"/>
    <w:pPr>
      <w:pBdr>
        <w:left w:val="single" w:sz="48" w:space="0" w:color="FFFF00"/>
      </w:pBdr>
      <w:ind w:left="1134"/>
    </w:pPr>
  </w:style>
  <w:style w:type="paragraph" w:customStyle="1" w:styleId="Tipps">
    <w:name w:val="Tipps"/>
    <w:basedOn w:val="Standard"/>
    <w:rsid w:val="00BD3C99"/>
    <w:pPr>
      <w:pBdr>
        <w:left w:val="single" w:sz="48" w:space="0" w:color="00FF00"/>
      </w:pBdr>
      <w:ind w:left="1134"/>
    </w:pPr>
  </w:style>
  <w:style w:type="paragraph" w:customStyle="1" w:styleId="Autor">
    <w:name w:val="Autor"/>
    <w:basedOn w:val="Standard"/>
    <w:qFormat/>
    <w:rsid w:val="006E567B"/>
    <w:pPr>
      <w:spacing w:before="480" w:after="480"/>
      <w:jc w:val="center"/>
    </w:pPr>
    <w:rPr>
      <w:sz w:val="32"/>
      <w:szCs w:val="36"/>
      <w:lang w:val="de-DE"/>
    </w:rPr>
  </w:style>
  <w:style w:type="paragraph" w:customStyle="1" w:styleId="Blickfang1">
    <w:name w:val="Blickfang 1"/>
    <w:basedOn w:val="Standard"/>
    <w:rsid w:val="00BD3C99"/>
    <w:pPr>
      <w:pBdr>
        <w:left w:val="single" w:sz="48" w:space="0" w:color="FF9900"/>
      </w:pBdr>
      <w:ind w:left="1134"/>
    </w:pPr>
  </w:style>
  <w:style w:type="character" w:styleId="Funotenzeichen">
    <w:name w:val="footnote reference"/>
    <w:uiPriority w:val="99"/>
    <w:qFormat/>
    <w:rsid w:val="0042443F"/>
    <w:rPr>
      <w:rFonts w:cs="Times New Roman"/>
      <w:position w:val="0"/>
      <w:vertAlign w:val="superscript"/>
    </w:rPr>
  </w:style>
  <w:style w:type="paragraph" w:styleId="StandardWeb">
    <w:name w:val="Normal (Web)"/>
    <w:basedOn w:val="Standard"/>
    <w:uiPriority w:val="99"/>
    <w:rsid w:val="00BD3C99"/>
    <w:pPr>
      <w:autoSpaceDE/>
      <w:spacing w:before="100" w:after="100"/>
      <w:jc w:val="left"/>
    </w:pPr>
    <w:rPr>
      <w:szCs w:val="24"/>
    </w:rPr>
  </w:style>
  <w:style w:type="paragraph" w:customStyle="1" w:styleId="ListeEbene1">
    <w:name w:val="Liste Ebene 1"/>
    <w:basedOn w:val="Standard"/>
    <w:qFormat/>
    <w:rsid w:val="00C65A39"/>
    <w:pPr>
      <w:numPr>
        <w:numId w:val="26"/>
      </w:numPr>
      <w:spacing w:line="240" w:lineRule="auto"/>
      <w:ind w:left="652" w:hanging="425"/>
    </w:pPr>
  </w:style>
  <w:style w:type="paragraph" w:styleId="Verzeichnis1">
    <w:name w:val="toc 1"/>
    <w:basedOn w:val="Standard"/>
    <w:next w:val="Standard"/>
    <w:autoRedefine/>
    <w:uiPriority w:val="39"/>
    <w:rsid w:val="00BD3C99"/>
    <w:pPr>
      <w:spacing w:before="240"/>
      <w:jc w:val="left"/>
    </w:pPr>
    <w:rPr>
      <w:b/>
      <w:sz w:val="20"/>
    </w:rPr>
  </w:style>
  <w:style w:type="paragraph" w:customStyle="1" w:styleId="Blickfang2">
    <w:name w:val="Blickfang 2"/>
    <w:basedOn w:val="Standard"/>
    <w:rsid w:val="00BD3C99"/>
    <w:pPr>
      <w:pBdr>
        <w:left w:val="single" w:sz="48" w:space="0" w:color="000000"/>
      </w:pBdr>
      <w:ind w:left="1134"/>
    </w:pPr>
  </w:style>
  <w:style w:type="paragraph" w:customStyle="1" w:styleId="ListeEbene2">
    <w:name w:val="Liste Ebene 2"/>
    <w:basedOn w:val="ListeEbene1"/>
    <w:qFormat/>
    <w:rsid w:val="00C65A39"/>
    <w:pPr>
      <w:numPr>
        <w:numId w:val="17"/>
      </w:numPr>
      <w:ind w:left="1077" w:hanging="425"/>
    </w:pPr>
  </w:style>
  <w:style w:type="paragraph" w:customStyle="1" w:styleId="ListeEbene3">
    <w:name w:val="Liste Ebene 3"/>
    <w:basedOn w:val="ListeEbene2"/>
    <w:qFormat/>
    <w:rsid w:val="00C65A39"/>
    <w:pPr>
      <w:numPr>
        <w:numId w:val="18"/>
      </w:numPr>
      <w:ind w:left="1418" w:hanging="425"/>
    </w:pPr>
  </w:style>
  <w:style w:type="paragraph" w:styleId="Verzeichnis2">
    <w:name w:val="toc 2"/>
    <w:basedOn w:val="Standard"/>
    <w:next w:val="Standard"/>
    <w:autoRedefine/>
    <w:uiPriority w:val="39"/>
    <w:rsid w:val="00BD3C99"/>
    <w:pPr>
      <w:spacing w:before="120"/>
      <w:ind w:left="240"/>
      <w:jc w:val="left"/>
    </w:pPr>
    <w:rPr>
      <w:i/>
      <w:sz w:val="20"/>
    </w:rPr>
  </w:style>
  <w:style w:type="paragraph" w:styleId="Verzeichnis3">
    <w:name w:val="toc 3"/>
    <w:basedOn w:val="Standard"/>
    <w:next w:val="Standard"/>
    <w:autoRedefine/>
    <w:uiPriority w:val="39"/>
    <w:rsid w:val="00BD3C99"/>
    <w:pPr>
      <w:ind w:left="480"/>
      <w:jc w:val="left"/>
    </w:pPr>
    <w:rPr>
      <w:sz w:val="20"/>
    </w:rPr>
  </w:style>
  <w:style w:type="paragraph" w:styleId="Verzeichnis4">
    <w:name w:val="toc 4"/>
    <w:basedOn w:val="Standard"/>
    <w:next w:val="Standard"/>
    <w:autoRedefine/>
    <w:uiPriority w:val="39"/>
    <w:rsid w:val="00BD3C99"/>
    <w:pPr>
      <w:ind w:left="720"/>
      <w:jc w:val="left"/>
    </w:pPr>
    <w:rPr>
      <w:sz w:val="20"/>
    </w:rPr>
  </w:style>
  <w:style w:type="paragraph" w:customStyle="1" w:styleId="Randziffer">
    <w:name w:val="Randziffer"/>
    <w:basedOn w:val="Standard"/>
    <w:rsid w:val="00BD3C99"/>
    <w:rPr>
      <w:rFonts w:ascii="Arial" w:hAnsi="Arial"/>
      <w:b/>
    </w:rPr>
  </w:style>
  <w:style w:type="paragraph" w:customStyle="1" w:styleId="Marginalie">
    <w:name w:val="Marginalie"/>
    <w:basedOn w:val="Standard"/>
    <w:rsid w:val="00BD3C99"/>
    <w:rPr>
      <w:rFonts w:ascii="Arial" w:hAnsi="Arial"/>
    </w:rPr>
  </w:style>
  <w:style w:type="paragraph" w:customStyle="1" w:styleId="Gesetzestext">
    <w:name w:val="Gesetzestext"/>
    <w:basedOn w:val="Standard"/>
    <w:next w:val="Standard"/>
    <w:rsid w:val="00BD3C99"/>
    <w:rPr>
      <w:b/>
    </w:rPr>
  </w:style>
  <w:style w:type="paragraph" w:customStyle="1" w:styleId="Bildunterschrift">
    <w:name w:val="Bildunterschrift"/>
    <w:basedOn w:val="AbbildungTabelle"/>
    <w:rsid w:val="008F0993"/>
  </w:style>
  <w:style w:type="paragraph" w:styleId="Verzeichnis5">
    <w:name w:val="toc 5"/>
    <w:basedOn w:val="Standard"/>
    <w:next w:val="Standard"/>
    <w:autoRedefine/>
    <w:uiPriority w:val="39"/>
    <w:rsid w:val="00BD3C99"/>
    <w:pPr>
      <w:ind w:left="960"/>
      <w:jc w:val="left"/>
    </w:pPr>
    <w:rPr>
      <w:sz w:val="20"/>
    </w:rPr>
  </w:style>
  <w:style w:type="paragraph" w:styleId="Verzeichnis6">
    <w:name w:val="toc 6"/>
    <w:basedOn w:val="Standard"/>
    <w:next w:val="Standard"/>
    <w:autoRedefine/>
    <w:uiPriority w:val="39"/>
    <w:rsid w:val="00BD3C99"/>
    <w:pPr>
      <w:ind w:left="1200"/>
      <w:jc w:val="left"/>
    </w:pPr>
    <w:rPr>
      <w:sz w:val="20"/>
    </w:rPr>
  </w:style>
  <w:style w:type="paragraph" w:styleId="Verzeichnis7">
    <w:name w:val="toc 7"/>
    <w:basedOn w:val="Standard"/>
    <w:next w:val="Standard"/>
    <w:autoRedefine/>
    <w:uiPriority w:val="39"/>
    <w:rsid w:val="00BD3C99"/>
    <w:pPr>
      <w:ind w:left="1440"/>
      <w:jc w:val="left"/>
    </w:pPr>
    <w:rPr>
      <w:sz w:val="20"/>
    </w:rPr>
  </w:style>
  <w:style w:type="paragraph" w:styleId="Verzeichnis8">
    <w:name w:val="toc 8"/>
    <w:basedOn w:val="Standard"/>
    <w:next w:val="Standard"/>
    <w:autoRedefine/>
    <w:uiPriority w:val="39"/>
    <w:rsid w:val="00BD3C99"/>
    <w:pPr>
      <w:ind w:left="1680"/>
      <w:jc w:val="left"/>
    </w:pPr>
    <w:rPr>
      <w:sz w:val="20"/>
    </w:rPr>
  </w:style>
  <w:style w:type="paragraph" w:styleId="Verzeichnis9">
    <w:name w:val="toc 9"/>
    <w:basedOn w:val="Standard"/>
    <w:next w:val="Standard"/>
    <w:autoRedefine/>
    <w:uiPriority w:val="39"/>
    <w:rsid w:val="00BD3C99"/>
    <w:pPr>
      <w:ind w:left="1920"/>
      <w:jc w:val="left"/>
    </w:pPr>
    <w:rPr>
      <w:sz w:val="20"/>
    </w:rPr>
  </w:style>
  <w:style w:type="paragraph" w:customStyle="1" w:styleId="berschrift10">
    <w:name w:val="Überschrift10"/>
    <w:basedOn w:val="Standard"/>
    <w:rsid w:val="00BD3C99"/>
    <w:pPr>
      <w:spacing w:before="240" w:after="60"/>
    </w:pPr>
    <w:rPr>
      <w:b/>
    </w:rPr>
  </w:style>
  <w:style w:type="paragraph" w:styleId="Dokumentstruktur">
    <w:name w:val="Document Map"/>
    <w:basedOn w:val="Standard"/>
    <w:link w:val="DokumentstrukturZchn"/>
    <w:uiPriority w:val="99"/>
    <w:rsid w:val="00BD3C99"/>
    <w:pPr>
      <w:shd w:val="clear" w:color="auto" w:fill="000080"/>
    </w:pPr>
    <w:rPr>
      <w:rFonts w:ascii="Tahoma" w:hAnsi="Tahoma" w:cs="Tahoma"/>
      <w:sz w:val="20"/>
    </w:rPr>
  </w:style>
  <w:style w:type="character" w:customStyle="1" w:styleId="DokumentstrukturZchn">
    <w:name w:val="Dokumentstruktur Zchn"/>
    <w:link w:val="Dokumentstruktur"/>
    <w:uiPriority w:val="99"/>
    <w:semiHidden/>
    <w:locked/>
    <w:rPr>
      <w:rFonts w:ascii="Tahoma" w:hAnsi="Tahoma" w:cs="Tahoma"/>
      <w:sz w:val="16"/>
      <w:szCs w:val="16"/>
      <w:lang w:val="de-DE" w:eastAsia="de-DE"/>
    </w:rPr>
  </w:style>
  <w:style w:type="character" w:styleId="Hyperlink">
    <w:name w:val="Hyperlink"/>
    <w:uiPriority w:val="99"/>
    <w:rsid w:val="00BD3C99"/>
    <w:rPr>
      <w:rFonts w:cs="Times New Roman"/>
      <w:color w:val="0000FF"/>
      <w:u w:val="single"/>
    </w:rPr>
  </w:style>
  <w:style w:type="paragraph" w:styleId="Kopfzeile">
    <w:name w:val="header"/>
    <w:basedOn w:val="Standard"/>
    <w:link w:val="KopfzeileZchn"/>
    <w:uiPriority w:val="99"/>
    <w:rsid w:val="00BD3C99"/>
    <w:pPr>
      <w:tabs>
        <w:tab w:val="left" w:pos="567"/>
        <w:tab w:val="left" w:pos="1134"/>
        <w:tab w:val="left" w:pos="1701"/>
        <w:tab w:val="left" w:pos="2268"/>
        <w:tab w:val="center" w:pos="4536"/>
        <w:tab w:val="right" w:pos="9072"/>
      </w:tabs>
      <w:autoSpaceDE/>
      <w:spacing w:line="300" w:lineRule="auto"/>
      <w:jc w:val="left"/>
    </w:pPr>
    <w:rPr>
      <w:rFonts w:ascii="Helvetica" w:hAnsi="Helvetica"/>
    </w:rPr>
  </w:style>
  <w:style w:type="character" w:customStyle="1" w:styleId="KopfzeileZchn">
    <w:name w:val="Kopfzeile Zchn"/>
    <w:link w:val="Kopfzeile"/>
    <w:uiPriority w:val="99"/>
    <w:semiHidden/>
    <w:locked/>
    <w:rPr>
      <w:rFonts w:cs="Times New Roman"/>
      <w:sz w:val="24"/>
      <w:lang w:val="de-DE" w:eastAsia="de-DE"/>
    </w:rPr>
  </w:style>
  <w:style w:type="character" w:styleId="Seitenzahl">
    <w:name w:val="page number"/>
    <w:uiPriority w:val="99"/>
    <w:rsid w:val="00BD3C99"/>
    <w:rPr>
      <w:rFonts w:ascii="Helvetica" w:hAnsi="Helvetica" w:cs="Times New Roman"/>
      <w:sz w:val="24"/>
    </w:rPr>
  </w:style>
  <w:style w:type="paragraph" w:customStyle="1" w:styleId="Beispiele">
    <w:name w:val="Beispiele"/>
    <w:basedOn w:val="Standard"/>
    <w:rsid w:val="00BD3C99"/>
    <w:pPr>
      <w:ind w:left="1134"/>
    </w:pPr>
    <w:rPr>
      <w:i/>
    </w:rPr>
  </w:style>
  <w:style w:type="paragraph" w:customStyle="1" w:styleId="Kleindruck">
    <w:name w:val="Kleindruck"/>
    <w:basedOn w:val="Standard"/>
    <w:rsid w:val="00BD3C99"/>
    <w:rPr>
      <w:sz w:val="20"/>
    </w:rPr>
  </w:style>
  <w:style w:type="paragraph" w:customStyle="1" w:styleId="Blickfang3">
    <w:name w:val="Blickfang 3"/>
    <w:basedOn w:val="Standard"/>
    <w:rsid w:val="00BD3C99"/>
    <w:pPr>
      <w:pBdr>
        <w:left w:val="single" w:sz="48" w:space="0" w:color="0000FF"/>
      </w:pBdr>
      <w:ind w:left="1134"/>
    </w:pPr>
  </w:style>
  <w:style w:type="paragraph" w:customStyle="1" w:styleId="Paragraph">
    <w:name w:val="Paragraph"/>
    <w:basedOn w:val="Standard"/>
    <w:next w:val="Gesetzestext"/>
    <w:rsid w:val="00BD3C99"/>
    <w:rPr>
      <w:b/>
      <w:sz w:val="28"/>
    </w:rPr>
  </w:style>
  <w:style w:type="paragraph" w:customStyle="1" w:styleId="GesetzListeEbene1">
    <w:name w:val="GesetzListe Ebene 1"/>
    <w:basedOn w:val="Gesetzestext"/>
    <w:next w:val="Gesetzestext"/>
    <w:rsid w:val="00BD3C99"/>
    <w:pPr>
      <w:tabs>
        <w:tab w:val="left" w:pos="567"/>
      </w:tabs>
      <w:ind w:left="567" w:hanging="567"/>
    </w:pPr>
  </w:style>
  <w:style w:type="paragraph" w:customStyle="1" w:styleId="GesetzListeEbene2">
    <w:name w:val="GesetzListe Ebene 2"/>
    <w:basedOn w:val="GesetzListeEbene1"/>
    <w:next w:val="Gesetzestext"/>
    <w:rsid w:val="00BD3C99"/>
    <w:pPr>
      <w:ind w:left="1134"/>
    </w:pPr>
  </w:style>
  <w:style w:type="paragraph" w:customStyle="1" w:styleId="GesetzListeEbene3">
    <w:name w:val="GesetzListe Ebene 3"/>
    <w:basedOn w:val="GesetzListeEbene2"/>
    <w:next w:val="Gesetzestext"/>
    <w:rsid w:val="00BD3C99"/>
    <w:pPr>
      <w:ind w:left="1701"/>
    </w:pPr>
  </w:style>
  <w:style w:type="paragraph" w:customStyle="1" w:styleId="Gesetztitel8">
    <w:name w:val="Gesetztitel 8"/>
    <w:basedOn w:val="Standard"/>
    <w:next w:val="Paragraph"/>
    <w:rsid w:val="00BD3C99"/>
    <w:rPr>
      <w:sz w:val="32"/>
    </w:rPr>
  </w:style>
  <w:style w:type="paragraph" w:customStyle="1" w:styleId="Gesetztitel9">
    <w:name w:val="Gesetztitel 9"/>
    <w:basedOn w:val="Gesetztitel8"/>
    <w:next w:val="Paragraph"/>
    <w:rsid w:val="00BD3C99"/>
  </w:style>
  <w:style w:type="paragraph" w:customStyle="1" w:styleId="Gesetztitel10">
    <w:name w:val="Gesetztitel 10"/>
    <w:basedOn w:val="Gesetztitel9"/>
    <w:next w:val="Paragraph"/>
    <w:rsid w:val="00BD3C99"/>
  </w:style>
  <w:style w:type="character" w:customStyle="1" w:styleId="LiteraturVzZchn">
    <w:name w:val="LiteraturVz Zchn"/>
    <w:rsid w:val="00BD3C99"/>
    <w:rPr>
      <w:rFonts w:cs="Times New Roman"/>
      <w:sz w:val="24"/>
      <w:lang w:val="de-DE" w:eastAsia="de-DE" w:bidi="ar-SA"/>
    </w:rPr>
  </w:style>
  <w:style w:type="character" w:styleId="Kommentarzeichen">
    <w:name w:val="annotation reference"/>
    <w:uiPriority w:val="99"/>
    <w:rsid w:val="00BD3C99"/>
    <w:rPr>
      <w:rFonts w:cs="Times New Roman"/>
      <w:sz w:val="16"/>
      <w:szCs w:val="16"/>
    </w:rPr>
  </w:style>
  <w:style w:type="paragraph" w:styleId="Kommentartext">
    <w:name w:val="annotation text"/>
    <w:basedOn w:val="Standard"/>
    <w:link w:val="KommentartextZchn"/>
    <w:uiPriority w:val="99"/>
    <w:rsid w:val="00BD3C99"/>
    <w:rPr>
      <w:sz w:val="20"/>
    </w:rPr>
  </w:style>
  <w:style w:type="character" w:customStyle="1" w:styleId="KommentartextZchn">
    <w:name w:val="Kommentartext Zchn"/>
    <w:link w:val="Kommentartext"/>
    <w:uiPriority w:val="99"/>
    <w:locked/>
    <w:rsid w:val="00BD3C99"/>
    <w:rPr>
      <w:rFonts w:cs="Times New Roman"/>
      <w:lang w:val="de-DE" w:eastAsia="de-DE"/>
    </w:rPr>
  </w:style>
  <w:style w:type="paragraph" w:styleId="Kommentarthema">
    <w:name w:val="annotation subject"/>
    <w:basedOn w:val="Kommentartext"/>
    <w:next w:val="Kommentartext"/>
    <w:link w:val="KommentarthemaZchn"/>
    <w:uiPriority w:val="99"/>
    <w:rsid w:val="00BD3C99"/>
    <w:rPr>
      <w:b/>
      <w:bCs/>
    </w:rPr>
  </w:style>
  <w:style w:type="character" w:customStyle="1" w:styleId="KommentarthemaZchn">
    <w:name w:val="Kommentarthema Zchn"/>
    <w:link w:val="Kommentarthema"/>
    <w:uiPriority w:val="99"/>
    <w:semiHidden/>
    <w:locked/>
    <w:rPr>
      <w:rFonts w:cs="Times New Roman"/>
      <w:b/>
      <w:bCs/>
      <w:lang w:val="de-DE" w:eastAsia="de-DE"/>
    </w:rPr>
  </w:style>
  <w:style w:type="paragraph" w:styleId="Sprechblasentext">
    <w:name w:val="Balloon Text"/>
    <w:basedOn w:val="Standard"/>
    <w:link w:val="SprechblasentextZchn"/>
    <w:uiPriority w:val="99"/>
    <w:rsid w:val="00BD3C99"/>
    <w:rPr>
      <w:rFonts w:ascii="Tahoma" w:hAnsi="Tahoma" w:cs="Tahoma"/>
      <w:sz w:val="16"/>
      <w:szCs w:val="16"/>
    </w:rPr>
  </w:style>
  <w:style w:type="character" w:customStyle="1" w:styleId="SprechblasentextZchn">
    <w:name w:val="Sprechblasentext Zchn"/>
    <w:link w:val="Sprechblasentext"/>
    <w:uiPriority w:val="99"/>
    <w:semiHidden/>
    <w:locked/>
    <w:rPr>
      <w:rFonts w:ascii="Tahoma" w:hAnsi="Tahoma" w:cs="Tahoma"/>
      <w:sz w:val="16"/>
      <w:szCs w:val="16"/>
      <w:lang w:val="de-DE" w:eastAsia="de-DE"/>
    </w:rPr>
  </w:style>
  <w:style w:type="paragraph" w:styleId="Titel">
    <w:name w:val="Title"/>
    <w:basedOn w:val="Standard"/>
    <w:next w:val="Standard"/>
    <w:link w:val="TitelZchn"/>
    <w:qFormat/>
    <w:rsid w:val="006E567B"/>
    <w:pPr>
      <w:spacing w:before="240" w:after="120" w:line="240" w:lineRule="auto"/>
      <w:jc w:val="center"/>
      <w:outlineLvl w:val="0"/>
    </w:pPr>
    <w:rPr>
      <w:b/>
      <w:bCs/>
      <w:caps/>
      <w:kern w:val="3"/>
      <w:sz w:val="36"/>
      <w:szCs w:val="32"/>
    </w:rPr>
  </w:style>
  <w:style w:type="character" w:customStyle="1" w:styleId="TitelZchn">
    <w:name w:val="Titel Zchn"/>
    <w:link w:val="Titel"/>
    <w:locked/>
    <w:rsid w:val="006E567B"/>
    <w:rPr>
      <w:b/>
      <w:bCs/>
      <w:caps/>
      <w:kern w:val="3"/>
      <w:sz w:val="36"/>
      <w:szCs w:val="32"/>
      <w:lang w:val="de-AT" w:eastAsia="de-DE"/>
    </w:rPr>
  </w:style>
  <w:style w:type="paragraph" w:customStyle="1" w:styleId="Standardtext">
    <w:name w:val="Standardtext"/>
    <w:basedOn w:val="Standard"/>
    <w:autoRedefine/>
    <w:rsid w:val="00BD3C99"/>
    <w:pPr>
      <w:autoSpaceDE/>
      <w:spacing w:line="220" w:lineRule="atLeast"/>
      <w:ind w:firstLine="284"/>
    </w:pPr>
    <w:rPr>
      <w:rFonts w:ascii="Arial" w:hAnsi="Arial"/>
      <w:sz w:val="19"/>
    </w:rPr>
  </w:style>
  <w:style w:type="paragraph" w:customStyle="1" w:styleId="Affiliation">
    <w:name w:val="Affiliation"/>
    <w:basedOn w:val="Standard"/>
    <w:qFormat/>
    <w:rsid w:val="006E567B"/>
    <w:pPr>
      <w:spacing w:after="60" w:line="240" w:lineRule="auto"/>
      <w:jc w:val="left"/>
    </w:pPr>
    <w:rPr>
      <w:sz w:val="18"/>
      <w:lang w:val="de-DE"/>
    </w:rPr>
  </w:style>
  <w:style w:type="paragraph" w:customStyle="1" w:styleId="AnschriftStrae">
    <w:name w:val="Anschrift: Straße"/>
    <w:basedOn w:val="Standard"/>
    <w:rsid w:val="00BD3C99"/>
  </w:style>
  <w:style w:type="paragraph" w:customStyle="1" w:styleId="Institution">
    <w:name w:val="Institution"/>
    <w:basedOn w:val="Standard"/>
    <w:rsid w:val="00BD3C99"/>
  </w:style>
  <w:style w:type="paragraph" w:customStyle="1" w:styleId="E-Mail">
    <w:name w:val="E-Mail"/>
    <w:basedOn w:val="Standard"/>
    <w:autoRedefine/>
    <w:rsid w:val="00BD3C99"/>
    <w:pPr>
      <w:spacing w:after="480"/>
    </w:pPr>
  </w:style>
  <w:style w:type="paragraph" w:customStyle="1" w:styleId="Schlagworte">
    <w:name w:val="Schlagworte"/>
    <w:basedOn w:val="Kleindruck"/>
    <w:qFormat/>
    <w:rsid w:val="006E567B"/>
    <w:pPr>
      <w:spacing w:before="240" w:after="120"/>
      <w:ind w:left="1418" w:hanging="1418"/>
    </w:pPr>
    <w:rPr>
      <w:b/>
      <w:i/>
      <w:sz w:val="22"/>
    </w:rPr>
  </w:style>
  <w:style w:type="paragraph" w:customStyle="1" w:styleId="Abstract">
    <w:name w:val="Abstract"/>
    <w:basedOn w:val="Kleindruck"/>
    <w:qFormat/>
    <w:rsid w:val="006E567B"/>
    <w:pPr>
      <w:spacing w:after="480" w:line="240" w:lineRule="auto"/>
      <w:ind w:left="1418" w:hanging="1418"/>
    </w:pPr>
    <w:rPr>
      <w:i/>
      <w:sz w:val="22"/>
    </w:rPr>
  </w:style>
  <w:style w:type="paragraph" w:customStyle="1" w:styleId="Literatur">
    <w:name w:val="Literatur"/>
    <w:basedOn w:val="LiteraturVz"/>
    <w:qFormat/>
    <w:rsid w:val="00671187"/>
    <w:pPr>
      <w:spacing w:after="60" w:line="240" w:lineRule="auto"/>
    </w:pPr>
    <w:rPr>
      <w:sz w:val="20"/>
    </w:rPr>
  </w:style>
  <w:style w:type="character" w:customStyle="1" w:styleId="LiteraturZchn">
    <w:name w:val="Literatur Zchn"/>
    <w:rsid w:val="00BD3C99"/>
    <w:rPr>
      <w:rFonts w:cs="Times New Roman"/>
      <w:sz w:val="24"/>
      <w:lang w:val="de-DE" w:eastAsia="de-DE" w:bidi="ar-SA"/>
    </w:rPr>
  </w:style>
  <w:style w:type="paragraph" w:styleId="Aufzhlungszeichen">
    <w:name w:val="List Bullet"/>
    <w:basedOn w:val="Standardtext"/>
    <w:autoRedefine/>
    <w:uiPriority w:val="99"/>
    <w:rsid w:val="00BD3C99"/>
    <w:pPr>
      <w:numPr>
        <w:numId w:val="4"/>
      </w:numPr>
    </w:pPr>
  </w:style>
  <w:style w:type="paragraph" w:customStyle="1" w:styleId="ErsterAbsatz">
    <w:name w:val="Erster Absatz"/>
    <w:basedOn w:val="Standard"/>
    <w:rsid w:val="00BD3C99"/>
  </w:style>
  <w:style w:type="paragraph" w:customStyle="1" w:styleId="WeitererAbsatz">
    <w:name w:val="Weiterer Absatz"/>
    <w:basedOn w:val="Standard"/>
    <w:rsid w:val="00BD3C99"/>
    <w:pPr>
      <w:ind w:firstLine="284"/>
    </w:pPr>
  </w:style>
  <w:style w:type="paragraph" w:customStyle="1" w:styleId="Funotennummer">
    <w:name w:val="Fußnotennummer"/>
    <w:basedOn w:val="Funotentext"/>
    <w:rsid w:val="00BD3C99"/>
    <w:rPr>
      <w:lang w:val="en-GB"/>
    </w:rPr>
  </w:style>
  <w:style w:type="paragraph" w:styleId="Listenabsatz">
    <w:name w:val="List Paragraph"/>
    <w:basedOn w:val="Standard"/>
    <w:uiPriority w:val="34"/>
    <w:qFormat/>
    <w:rsid w:val="00BD3C99"/>
    <w:pPr>
      <w:ind w:left="720"/>
    </w:pPr>
  </w:style>
  <w:style w:type="paragraph" w:styleId="Fuzeile">
    <w:name w:val="footer"/>
    <w:basedOn w:val="Standard"/>
    <w:link w:val="FuzeileZchn"/>
    <w:uiPriority w:val="99"/>
    <w:rsid w:val="00BD3C99"/>
    <w:pPr>
      <w:tabs>
        <w:tab w:val="center" w:pos="4536"/>
        <w:tab w:val="right" w:pos="9072"/>
      </w:tabs>
    </w:pPr>
  </w:style>
  <w:style w:type="character" w:customStyle="1" w:styleId="FuzeileZchn">
    <w:name w:val="Fußzeile Zchn"/>
    <w:link w:val="Fuzeile"/>
    <w:uiPriority w:val="99"/>
    <w:locked/>
    <w:rsid w:val="00BD3C99"/>
    <w:rPr>
      <w:rFonts w:cs="Times New Roman"/>
      <w:sz w:val="24"/>
      <w:lang w:val="de-DE" w:eastAsia="de-DE"/>
    </w:rPr>
  </w:style>
  <w:style w:type="paragraph" w:customStyle="1" w:styleId="AbbildungTabelle">
    <w:name w:val="Abbildung Tabelle"/>
    <w:rsid w:val="008F0993"/>
    <w:pPr>
      <w:autoSpaceDN w:val="0"/>
      <w:spacing w:before="120" w:after="240"/>
      <w:jc w:val="center"/>
      <w:textAlignment w:val="baseline"/>
    </w:pPr>
    <w:rPr>
      <w:b/>
      <w:lang w:val="de-AT" w:eastAsia="de-DE"/>
    </w:rPr>
  </w:style>
  <w:style w:type="paragraph" w:styleId="berarbeitung">
    <w:name w:val="Revision"/>
    <w:uiPriority w:val="99"/>
    <w:rsid w:val="00BD3C99"/>
    <w:pPr>
      <w:suppressAutoHyphens/>
      <w:autoSpaceDN w:val="0"/>
      <w:textAlignment w:val="baseline"/>
    </w:pPr>
    <w:rPr>
      <w:sz w:val="24"/>
      <w:lang w:val="de-DE" w:eastAsia="de-DE"/>
    </w:rPr>
  </w:style>
  <w:style w:type="character" w:customStyle="1" w:styleId="st">
    <w:name w:val="st"/>
    <w:rsid w:val="00BD3C99"/>
    <w:rPr>
      <w:rFonts w:cs="Times New Roman"/>
    </w:rPr>
  </w:style>
  <w:style w:type="paragraph" w:styleId="NurText">
    <w:name w:val="Plain Text"/>
    <w:basedOn w:val="Standard"/>
    <w:link w:val="NurTextZchn"/>
    <w:uiPriority w:val="99"/>
    <w:unhideWhenUsed/>
    <w:rsid w:val="00716D30"/>
    <w:pPr>
      <w:autoSpaceDE/>
      <w:autoSpaceDN/>
      <w:spacing w:after="0"/>
      <w:jc w:val="left"/>
      <w:textAlignment w:val="auto"/>
    </w:pPr>
    <w:rPr>
      <w:rFonts w:ascii="Calibri" w:hAnsi="Calibri"/>
      <w:szCs w:val="21"/>
      <w:lang w:eastAsia="en-US"/>
    </w:rPr>
  </w:style>
  <w:style w:type="character" w:customStyle="1" w:styleId="NurTextZchn">
    <w:name w:val="Nur Text Zchn"/>
    <w:link w:val="NurText"/>
    <w:uiPriority w:val="99"/>
    <w:locked/>
    <w:rsid w:val="00716D30"/>
    <w:rPr>
      <w:rFonts w:ascii="Calibri" w:hAnsi="Calibri" w:cs="Times New Roman"/>
      <w:sz w:val="21"/>
      <w:szCs w:val="21"/>
      <w:lang w:val="x-none" w:eastAsia="en-US"/>
    </w:rPr>
  </w:style>
  <w:style w:type="paragraph" w:styleId="Beschriftung">
    <w:name w:val="caption"/>
    <w:basedOn w:val="Standard"/>
    <w:next w:val="Standard"/>
    <w:uiPriority w:val="35"/>
    <w:unhideWhenUsed/>
    <w:qFormat/>
    <w:rsid w:val="00E43186"/>
    <w:pPr>
      <w:spacing w:before="160" w:after="160"/>
      <w:jc w:val="center"/>
    </w:pPr>
    <w:rPr>
      <w:b/>
      <w:bCs/>
      <w:sz w:val="20"/>
      <w:lang w:val="en-GB"/>
    </w:rPr>
  </w:style>
  <w:style w:type="paragraph" w:customStyle="1" w:styleId="Tabellentext">
    <w:name w:val="Tabellentext"/>
    <w:basedOn w:val="Standard"/>
    <w:qFormat/>
    <w:rsid w:val="0042443F"/>
    <w:pPr>
      <w:spacing w:after="0"/>
      <w:jc w:val="left"/>
    </w:pPr>
  </w:style>
  <w:style w:type="paragraph" w:customStyle="1" w:styleId="Affiliationetc">
    <w:name w:val="Affiliation etc."/>
    <w:basedOn w:val="Standard"/>
    <w:qFormat/>
    <w:rsid w:val="0042443F"/>
    <w:pPr>
      <w:suppressAutoHyphens/>
      <w:spacing w:after="0"/>
    </w:pPr>
    <w:rPr>
      <w:rFonts w:cs="Calibri"/>
      <w:sz w:val="20"/>
    </w:rPr>
  </w:style>
  <w:style w:type="numbering" w:customStyle="1" w:styleId="WWOutlineListStyle">
    <w:name w:val="WW_OutlineListStyle"/>
    <w:pPr>
      <w:numPr>
        <w:numId w:val="3"/>
      </w:numPr>
    </w:pPr>
  </w:style>
  <w:style w:type="numbering" w:customStyle="1" w:styleId="LFO2">
    <w:name w:val="LFO2"/>
    <w:pPr>
      <w:numPr>
        <w:numId w:val="4"/>
      </w:numPr>
    </w:pPr>
  </w:style>
  <w:style w:type="character" w:customStyle="1" w:styleId="st1">
    <w:name w:val="st1"/>
    <w:rsid w:val="00FC5ED9"/>
  </w:style>
  <w:style w:type="character" w:styleId="Hervorhebung">
    <w:name w:val="Emphasis"/>
    <w:uiPriority w:val="20"/>
    <w:qFormat/>
    <w:rsid w:val="00FC5ED9"/>
    <w:rPr>
      <w:b/>
      <w:bCs/>
      <w:i w:val="0"/>
      <w:iCs w:val="0"/>
    </w:rPr>
  </w:style>
  <w:style w:type="character" w:customStyle="1" w:styleId="NichtaufgelsteErwhnung1">
    <w:name w:val="Nicht aufgelöste Erwähnung1"/>
    <w:basedOn w:val="Absatz-Standardschriftart"/>
    <w:uiPriority w:val="99"/>
    <w:semiHidden/>
    <w:unhideWhenUsed/>
    <w:rsid w:val="00365438"/>
    <w:rPr>
      <w:color w:val="605E5C"/>
      <w:shd w:val="clear" w:color="auto" w:fill="E1DFDD"/>
    </w:rPr>
  </w:style>
  <w:style w:type="character" w:styleId="HTMLZitat">
    <w:name w:val="HTML Cite"/>
    <w:basedOn w:val="Absatz-Standardschriftart"/>
    <w:uiPriority w:val="99"/>
    <w:semiHidden/>
    <w:unhideWhenUsed/>
    <w:rsid w:val="0074472D"/>
    <w:rPr>
      <w:i/>
      <w:iCs/>
    </w:rPr>
  </w:style>
  <w:style w:type="character" w:styleId="BesuchterLink">
    <w:name w:val="FollowedHyperlink"/>
    <w:basedOn w:val="Absatz-Standardschriftart"/>
    <w:uiPriority w:val="99"/>
    <w:semiHidden/>
    <w:unhideWhenUsed/>
    <w:rsid w:val="0068437A"/>
    <w:rPr>
      <w:color w:val="800080" w:themeColor="followedHyperlink"/>
      <w:u w:val="single"/>
    </w:rPr>
  </w:style>
  <w:style w:type="character" w:customStyle="1" w:styleId="zit">
    <w:name w:val="zit"/>
    <w:basedOn w:val="Absatz-Standardschriftart"/>
    <w:rsid w:val="00A13670"/>
  </w:style>
  <w:style w:type="character" w:customStyle="1" w:styleId="unsichtbar">
    <w:name w:val="unsichtbar"/>
    <w:basedOn w:val="Absatz-Standardschriftart"/>
    <w:rsid w:val="00A13670"/>
  </w:style>
  <w:style w:type="character" w:customStyle="1" w:styleId="NichtaufgelsteErwhnung2">
    <w:name w:val="Nicht aufgelöste Erwähnung2"/>
    <w:basedOn w:val="Absatz-Standardschriftart"/>
    <w:uiPriority w:val="99"/>
    <w:semiHidden/>
    <w:unhideWhenUsed/>
    <w:rsid w:val="00DE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60832">
      <w:bodyDiv w:val="1"/>
      <w:marLeft w:val="0"/>
      <w:marRight w:val="0"/>
      <w:marTop w:val="0"/>
      <w:marBottom w:val="0"/>
      <w:divBdr>
        <w:top w:val="none" w:sz="0" w:space="0" w:color="auto"/>
        <w:left w:val="none" w:sz="0" w:space="0" w:color="auto"/>
        <w:bottom w:val="none" w:sz="0" w:space="0" w:color="auto"/>
        <w:right w:val="none" w:sz="0" w:space="0" w:color="auto"/>
      </w:divBdr>
    </w:div>
    <w:div w:id="148794945">
      <w:bodyDiv w:val="1"/>
      <w:marLeft w:val="0"/>
      <w:marRight w:val="0"/>
      <w:marTop w:val="0"/>
      <w:marBottom w:val="0"/>
      <w:divBdr>
        <w:top w:val="none" w:sz="0" w:space="0" w:color="auto"/>
        <w:left w:val="none" w:sz="0" w:space="0" w:color="auto"/>
        <w:bottom w:val="none" w:sz="0" w:space="0" w:color="auto"/>
        <w:right w:val="none" w:sz="0" w:space="0" w:color="auto"/>
      </w:divBdr>
    </w:div>
    <w:div w:id="236481540">
      <w:marLeft w:val="0"/>
      <w:marRight w:val="0"/>
      <w:marTop w:val="0"/>
      <w:marBottom w:val="0"/>
      <w:divBdr>
        <w:top w:val="none" w:sz="0" w:space="0" w:color="auto"/>
        <w:left w:val="none" w:sz="0" w:space="0" w:color="auto"/>
        <w:bottom w:val="none" w:sz="0" w:space="0" w:color="auto"/>
        <w:right w:val="none" w:sz="0" w:space="0" w:color="auto"/>
      </w:divBdr>
    </w:div>
    <w:div w:id="443578982">
      <w:bodyDiv w:val="1"/>
      <w:marLeft w:val="0"/>
      <w:marRight w:val="0"/>
      <w:marTop w:val="0"/>
      <w:marBottom w:val="0"/>
      <w:divBdr>
        <w:top w:val="none" w:sz="0" w:space="0" w:color="auto"/>
        <w:left w:val="none" w:sz="0" w:space="0" w:color="auto"/>
        <w:bottom w:val="none" w:sz="0" w:space="0" w:color="auto"/>
        <w:right w:val="none" w:sz="0" w:space="0" w:color="auto"/>
      </w:divBdr>
      <w:divsChild>
        <w:div w:id="572088157">
          <w:marLeft w:val="274"/>
          <w:marRight w:val="0"/>
          <w:marTop w:val="0"/>
          <w:marBottom w:val="0"/>
          <w:divBdr>
            <w:top w:val="none" w:sz="0" w:space="0" w:color="auto"/>
            <w:left w:val="none" w:sz="0" w:space="0" w:color="auto"/>
            <w:bottom w:val="none" w:sz="0" w:space="0" w:color="auto"/>
            <w:right w:val="none" w:sz="0" w:space="0" w:color="auto"/>
          </w:divBdr>
        </w:div>
      </w:divsChild>
    </w:div>
    <w:div w:id="447551720">
      <w:bodyDiv w:val="1"/>
      <w:marLeft w:val="0"/>
      <w:marRight w:val="0"/>
      <w:marTop w:val="0"/>
      <w:marBottom w:val="0"/>
      <w:divBdr>
        <w:top w:val="none" w:sz="0" w:space="0" w:color="auto"/>
        <w:left w:val="none" w:sz="0" w:space="0" w:color="auto"/>
        <w:bottom w:val="none" w:sz="0" w:space="0" w:color="auto"/>
        <w:right w:val="none" w:sz="0" w:space="0" w:color="auto"/>
      </w:divBdr>
    </w:div>
    <w:div w:id="562371162">
      <w:bodyDiv w:val="1"/>
      <w:marLeft w:val="0"/>
      <w:marRight w:val="0"/>
      <w:marTop w:val="0"/>
      <w:marBottom w:val="0"/>
      <w:divBdr>
        <w:top w:val="none" w:sz="0" w:space="0" w:color="auto"/>
        <w:left w:val="none" w:sz="0" w:space="0" w:color="auto"/>
        <w:bottom w:val="none" w:sz="0" w:space="0" w:color="auto"/>
        <w:right w:val="none" w:sz="0" w:space="0" w:color="auto"/>
      </w:divBdr>
      <w:divsChild>
        <w:div w:id="1191141397">
          <w:marLeft w:val="0"/>
          <w:marRight w:val="0"/>
          <w:marTop w:val="0"/>
          <w:marBottom w:val="0"/>
          <w:divBdr>
            <w:top w:val="none" w:sz="0" w:space="0" w:color="auto"/>
            <w:left w:val="none" w:sz="0" w:space="0" w:color="auto"/>
            <w:bottom w:val="none" w:sz="0" w:space="0" w:color="auto"/>
            <w:right w:val="none" w:sz="0" w:space="0" w:color="auto"/>
          </w:divBdr>
          <w:divsChild>
            <w:div w:id="1025792885">
              <w:marLeft w:val="0"/>
              <w:marRight w:val="0"/>
              <w:marTop w:val="0"/>
              <w:marBottom w:val="0"/>
              <w:divBdr>
                <w:top w:val="none" w:sz="0" w:space="0" w:color="auto"/>
                <w:left w:val="none" w:sz="0" w:space="0" w:color="auto"/>
                <w:bottom w:val="none" w:sz="0" w:space="0" w:color="auto"/>
                <w:right w:val="none" w:sz="0" w:space="0" w:color="auto"/>
              </w:divBdr>
              <w:divsChild>
                <w:div w:id="1775783059">
                  <w:marLeft w:val="0"/>
                  <w:marRight w:val="0"/>
                  <w:marTop w:val="0"/>
                  <w:marBottom w:val="0"/>
                  <w:divBdr>
                    <w:top w:val="none" w:sz="0" w:space="0" w:color="auto"/>
                    <w:left w:val="none" w:sz="0" w:space="0" w:color="auto"/>
                    <w:bottom w:val="none" w:sz="0" w:space="0" w:color="auto"/>
                    <w:right w:val="none" w:sz="0" w:space="0" w:color="auto"/>
                  </w:divBdr>
                  <w:divsChild>
                    <w:div w:id="21359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67041">
      <w:bodyDiv w:val="1"/>
      <w:marLeft w:val="0"/>
      <w:marRight w:val="0"/>
      <w:marTop w:val="0"/>
      <w:marBottom w:val="0"/>
      <w:divBdr>
        <w:top w:val="none" w:sz="0" w:space="0" w:color="auto"/>
        <w:left w:val="none" w:sz="0" w:space="0" w:color="auto"/>
        <w:bottom w:val="none" w:sz="0" w:space="0" w:color="auto"/>
        <w:right w:val="none" w:sz="0" w:space="0" w:color="auto"/>
      </w:divBdr>
    </w:div>
    <w:div w:id="709763274">
      <w:bodyDiv w:val="1"/>
      <w:marLeft w:val="0"/>
      <w:marRight w:val="0"/>
      <w:marTop w:val="0"/>
      <w:marBottom w:val="0"/>
      <w:divBdr>
        <w:top w:val="none" w:sz="0" w:space="0" w:color="auto"/>
        <w:left w:val="none" w:sz="0" w:space="0" w:color="auto"/>
        <w:bottom w:val="none" w:sz="0" w:space="0" w:color="auto"/>
        <w:right w:val="none" w:sz="0" w:space="0" w:color="auto"/>
      </w:divBdr>
    </w:div>
    <w:div w:id="1043283815">
      <w:bodyDiv w:val="1"/>
      <w:marLeft w:val="0"/>
      <w:marRight w:val="0"/>
      <w:marTop w:val="0"/>
      <w:marBottom w:val="0"/>
      <w:divBdr>
        <w:top w:val="none" w:sz="0" w:space="0" w:color="auto"/>
        <w:left w:val="none" w:sz="0" w:space="0" w:color="auto"/>
        <w:bottom w:val="none" w:sz="0" w:space="0" w:color="auto"/>
        <w:right w:val="none" w:sz="0" w:space="0" w:color="auto"/>
      </w:divBdr>
    </w:div>
    <w:div w:id="1208373418">
      <w:bodyDiv w:val="1"/>
      <w:marLeft w:val="0"/>
      <w:marRight w:val="0"/>
      <w:marTop w:val="0"/>
      <w:marBottom w:val="0"/>
      <w:divBdr>
        <w:top w:val="none" w:sz="0" w:space="0" w:color="auto"/>
        <w:left w:val="none" w:sz="0" w:space="0" w:color="auto"/>
        <w:bottom w:val="none" w:sz="0" w:space="0" w:color="auto"/>
        <w:right w:val="none" w:sz="0" w:space="0" w:color="auto"/>
      </w:divBdr>
    </w:div>
    <w:div w:id="1237328143">
      <w:bodyDiv w:val="1"/>
      <w:marLeft w:val="0"/>
      <w:marRight w:val="0"/>
      <w:marTop w:val="0"/>
      <w:marBottom w:val="0"/>
      <w:divBdr>
        <w:top w:val="none" w:sz="0" w:space="0" w:color="auto"/>
        <w:left w:val="none" w:sz="0" w:space="0" w:color="auto"/>
        <w:bottom w:val="none" w:sz="0" w:space="0" w:color="auto"/>
        <w:right w:val="none" w:sz="0" w:space="0" w:color="auto"/>
      </w:divBdr>
    </w:div>
    <w:div w:id="1332755755">
      <w:bodyDiv w:val="1"/>
      <w:marLeft w:val="0"/>
      <w:marRight w:val="0"/>
      <w:marTop w:val="0"/>
      <w:marBottom w:val="0"/>
      <w:divBdr>
        <w:top w:val="none" w:sz="0" w:space="0" w:color="auto"/>
        <w:left w:val="none" w:sz="0" w:space="0" w:color="auto"/>
        <w:bottom w:val="none" w:sz="0" w:space="0" w:color="auto"/>
        <w:right w:val="none" w:sz="0" w:space="0" w:color="auto"/>
      </w:divBdr>
    </w:div>
    <w:div w:id="20015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p.heinrich@fau.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76E57-956B-4CAB-B2D3-E06D8794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4333</Words>
  <Characters>27302</Characters>
  <Application>Microsoft Office Word</Application>
  <DocSecurity>0</DocSecurity>
  <Lines>227</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zulässigkeit facebok</vt:lpstr>
      <vt:lpstr>zulässigkeit facebok</vt:lpstr>
    </vt:vector>
  </TitlesOfParts>
  <Company>Universität Wien</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zulässigkeit facebok</dc:title>
  <dc:creator>peter.schilling@fokus-extern.fraunhofer.de</dc:creator>
  <cp:keywords>iris 2016</cp:keywords>
  <cp:lastModifiedBy>Keuchen, Michael</cp:lastModifiedBy>
  <cp:revision>7</cp:revision>
  <cp:lastPrinted>2020-10-15T09:48:00Z</cp:lastPrinted>
  <dcterms:created xsi:type="dcterms:W3CDTF">2020-12-17T10:40:00Z</dcterms:created>
  <dcterms:modified xsi:type="dcterms:W3CDTF">2020-12-17T19:17:00Z</dcterms:modified>
</cp:coreProperties>
</file>